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AE692">
      <w:pPr>
        <w:shd w:val="clear"/>
        <w:topLinePunct/>
        <w:snapToGrid w:val="0"/>
        <w:jc w:val="both"/>
        <w:rPr>
          <w:rFonts w:hint="eastAsia" w:ascii="黑体" w:hAnsi="黑体" w:eastAsia="黑体" w:cs="黑体"/>
          <w:color w:val="000000" w:themeColor="text1"/>
          <w:sz w:val="32"/>
          <w:szCs w:val="32"/>
          <w:highlight w:val="none"/>
          <w:lang w:val="en-US" w:eastAsia="zh-CN"/>
          <w14:textFill>
            <w14:solidFill>
              <w14:schemeClr w14:val="tx1"/>
            </w14:solidFill>
          </w14:textFill>
        </w:rPr>
      </w:pPr>
      <w:bookmarkStart w:id="100" w:name="_GoBack"/>
      <w:bookmarkEnd w:id="100"/>
    </w:p>
    <w:p w14:paraId="201C438F">
      <w:pPr>
        <w:shd w:val="clear"/>
        <w:topLinePunct/>
        <w:snapToGrid w:val="0"/>
        <w:jc w:val="both"/>
        <w:rPr>
          <w:rFonts w:ascii="Times New Roman" w:hAnsi="Times New Roman" w:eastAsia="方正小标宋简体" w:cs="Times New Roman"/>
          <w:color w:val="000000" w:themeColor="text1"/>
          <w:sz w:val="44"/>
          <w:szCs w:val="44"/>
          <w:highlight w:val="none"/>
          <w14:textFill>
            <w14:solidFill>
              <w14:schemeClr w14:val="tx1"/>
            </w14:solidFill>
          </w14:textFill>
        </w:rPr>
      </w:pPr>
    </w:p>
    <w:p w14:paraId="228AD899">
      <w:pPr>
        <w:shd w:val="clear"/>
        <w:topLinePunct/>
        <w:snapToGrid w:val="0"/>
        <w:jc w:val="both"/>
        <w:rPr>
          <w:rFonts w:ascii="Times New Roman" w:hAnsi="Times New Roman" w:eastAsia="方正小标宋简体" w:cs="Times New Roman"/>
          <w:color w:val="000000" w:themeColor="text1"/>
          <w:sz w:val="44"/>
          <w:szCs w:val="44"/>
          <w:highlight w:val="none"/>
          <w14:textFill>
            <w14:solidFill>
              <w14:schemeClr w14:val="tx1"/>
            </w14:solidFill>
          </w14:textFill>
        </w:rPr>
      </w:pPr>
    </w:p>
    <w:p w14:paraId="67DA7FA8">
      <w:pPr>
        <w:shd w:val="clear"/>
        <w:topLinePunct/>
        <w:snapToGrid w:val="0"/>
        <w:jc w:val="center"/>
        <w:rPr>
          <w:rFonts w:ascii="Times New Roman" w:hAnsi="Times New Roman" w:eastAsia="方正小标宋简体" w:cs="Times New Roman"/>
          <w:color w:val="000000" w:themeColor="text1"/>
          <w:sz w:val="44"/>
          <w:szCs w:val="44"/>
          <w:highlight w:val="none"/>
          <w14:textFill>
            <w14:solidFill>
              <w14:schemeClr w14:val="tx1"/>
            </w14:solidFill>
          </w14:textFill>
        </w:rPr>
      </w:pPr>
      <w:r>
        <w:rPr>
          <w:rFonts w:ascii="Times New Roman" w:hAnsi="Times New Roman" w:eastAsia="方正小标宋简体" w:cs="Times New Roman"/>
          <w:color w:val="000000" w:themeColor="text1"/>
          <w:sz w:val="44"/>
          <w:szCs w:val="44"/>
          <w:highlight w:val="none"/>
          <w14:textFill>
            <w14:solidFill>
              <w14:schemeClr w14:val="tx1"/>
            </w14:solidFill>
          </w14:textFill>
        </w:rPr>
        <w:t>美丽</w:t>
      </w:r>
      <w:r>
        <w:rPr>
          <w:rFonts w:hint="eastAsia" w:ascii="Times New Roman" w:hAnsi="Times New Roman" w:eastAsia="方正小标宋简体" w:cs="Times New Roman"/>
          <w:color w:val="000000" w:themeColor="text1"/>
          <w:sz w:val="44"/>
          <w:szCs w:val="44"/>
          <w:highlight w:val="none"/>
          <w:lang w:eastAsia="zh-CN"/>
          <w14:textFill>
            <w14:solidFill>
              <w14:schemeClr w14:val="tx1"/>
            </w14:solidFill>
          </w14:textFill>
        </w:rPr>
        <w:t>阿坝</w:t>
      </w:r>
      <w:r>
        <w:rPr>
          <w:rFonts w:ascii="Times New Roman" w:hAnsi="Times New Roman" w:eastAsia="方正小标宋简体" w:cs="Times New Roman"/>
          <w:color w:val="000000" w:themeColor="text1"/>
          <w:sz w:val="44"/>
          <w:szCs w:val="44"/>
          <w:highlight w:val="none"/>
          <w14:textFill>
            <w14:solidFill>
              <w14:schemeClr w14:val="tx1"/>
            </w14:solidFill>
          </w14:textFill>
        </w:rPr>
        <w:t>建设实施方案（202</w:t>
      </w:r>
      <w:r>
        <w:rPr>
          <w:rFonts w:hint="eastAsia"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t>6</w:t>
      </w:r>
      <w:r>
        <w:rPr>
          <w:rFonts w:hint="eastAsia" w:ascii="Times New Roman" w:hAnsi="Times New Roman" w:eastAsia="方正小标宋简体" w:cs="Times New Roman"/>
          <w:color w:val="000000" w:themeColor="text1"/>
          <w:sz w:val="44"/>
          <w:szCs w:val="44"/>
          <w:highlight w:val="none"/>
          <w14:textFill>
            <w14:solidFill>
              <w14:schemeClr w14:val="tx1"/>
            </w14:solidFill>
          </w14:textFill>
        </w:rPr>
        <w:t>—</w:t>
      </w:r>
      <w:r>
        <w:rPr>
          <w:rFonts w:ascii="Times New Roman" w:hAnsi="Times New Roman" w:eastAsia="方正小标宋简体" w:cs="Times New Roman"/>
          <w:color w:val="000000" w:themeColor="text1"/>
          <w:sz w:val="44"/>
          <w:szCs w:val="44"/>
          <w:highlight w:val="none"/>
          <w14:textFill>
            <w14:solidFill>
              <w14:schemeClr w14:val="tx1"/>
            </w14:solidFill>
          </w14:textFill>
        </w:rPr>
        <w:t>203</w:t>
      </w:r>
      <w:r>
        <w:rPr>
          <w:rFonts w:hint="eastAsia"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t>0</w:t>
      </w:r>
      <w:r>
        <w:rPr>
          <w:rFonts w:hint="eastAsia" w:ascii="Times New Roman" w:hAnsi="Times New Roman" w:eastAsia="方正小标宋简体" w:cs="Times New Roman"/>
          <w:color w:val="000000" w:themeColor="text1"/>
          <w:sz w:val="44"/>
          <w:szCs w:val="44"/>
          <w:highlight w:val="none"/>
          <w14:textFill>
            <w14:solidFill>
              <w14:schemeClr w14:val="tx1"/>
            </w14:solidFill>
          </w14:textFill>
        </w:rPr>
        <w:t>年</w:t>
      </w:r>
      <w:r>
        <w:rPr>
          <w:rFonts w:ascii="Times New Roman" w:hAnsi="Times New Roman" w:eastAsia="方正小标宋简体" w:cs="Times New Roman"/>
          <w:color w:val="000000" w:themeColor="text1"/>
          <w:sz w:val="44"/>
          <w:szCs w:val="44"/>
          <w:highlight w:val="none"/>
          <w14:textFill>
            <w14:solidFill>
              <w14:schemeClr w14:val="tx1"/>
            </w14:solidFill>
          </w14:textFill>
        </w:rPr>
        <w:t>）</w:t>
      </w:r>
    </w:p>
    <w:p w14:paraId="4C1327C6">
      <w:pPr>
        <w:pStyle w:val="7"/>
        <w:shd w:val="clear"/>
        <w:jc w:val="center"/>
        <w:rPr>
          <w:rFonts w:hint="default" w:ascii="Times New Roman" w:hAnsi="Times New Roman" w:eastAsia="方正小标宋简体"/>
          <w:color w:val="000000" w:themeColor="text1"/>
          <w:sz w:val="44"/>
          <w:szCs w:val="44"/>
          <w:highlight w:val="none"/>
          <w:lang w:val="en-US" w:eastAsia="zh-CN"/>
          <w14:textFill>
            <w14:solidFill>
              <w14:schemeClr w14:val="tx1"/>
            </w14:solidFill>
          </w14:textFill>
        </w:rPr>
      </w:pPr>
      <w:r>
        <w:rPr>
          <w:rFonts w:hint="eastAsia" w:ascii="Times New Roman" w:hAnsi="Times New Roman" w:eastAsia="方正小标宋简体"/>
          <w:color w:val="000000" w:themeColor="text1"/>
          <w:sz w:val="44"/>
          <w:szCs w:val="44"/>
          <w:highlight w:val="none"/>
          <w:lang w:eastAsia="zh-CN"/>
          <w14:textFill>
            <w14:solidFill>
              <w14:schemeClr w14:val="tx1"/>
            </w14:solidFill>
          </w14:textFill>
        </w:rPr>
        <w:t>（</w:t>
      </w:r>
      <w:r>
        <w:rPr>
          <w:rFonts w:hint="eastAsia" w:ascii="Times New Roman" w:hAnsi="Times New Roman" w:eastAsia="方正小标宋简体"/>
          <w:color w:val="000000" w:themeColor="text1"/>
          <w:sz w:val="44"/>
          <w:szCs w:val="44"/>
          <w:highlight w:val="none"/>
          <w:lang w:val="en-US" w:eastAsia="zh-CN"/>
          <w14:textFill>
            <w14:solidFill>
              <w14:schemeClr w14:val="tx1"/>
            </w14:solidFill>
          </w14:textFill>
        </w:rPr>
        <w:t>送审稿）</w:t>
      </w:r>
    </w:p>
    <w:p w14:paraId="15E9C18E">
      <w:pPr>
        <w:shd w:val="clear"/>
        <w:rPr>
          <w:color w:val="000000" w:themeColor="text1"/>
          <w:highlight w:val="none"/>
          <w14:textFill>
            <w14:solidFill>
              <w14:schemeClr w14:val="tx1"/>
            </w14:solidFill>
          </w14:textFill>
        </w:rPr>
      </w:pPr>
    </w:p>
    <w:p w14:paraId="43B32A45">
      <w:pPr>
        <w:shd w:val="clear"/>
        <w:rPr>
          <w:rFonts w:hint="eastAsia" w:eastAsiaTheme="minorEastAsia"/>
          <w:color w:val="000000" w:themeColor="text1"/>
          <w:highlight w:val="none"/>
          <w:lang w:eastAsia="zh-CN"/>
          <w14:textFill>
            <w14:solidFill>
              <w14:schemeClr w14:val="tx1"/>
            </w14:solidFill>
          </w14:textFill>
        </w:rPr>
      </w:pPr>
    </w:p>
    <w:p w14:paraId="4B69700F">
      <w:pPr>
        <w:shd w:val="clear"/>
        <w:rPr>
          <w:rFonts w:ascii="Times New Roman" w:hAnsi="Times New Roman" w:cs="Times New Roman"/>
          <w:color w:val="000000" w:themeColor="text1"/>
          <w:highlight w:val="none"/>
          <w14:textFill>
            <w14:solidFill>
              <w14:schemeClr w14:val="tx1"/>
            </w14:solidFill>
          </w14:textFill>
        </w:rPr>
      </w:pPr>
      <w:r>
        <w:rPr>
          <w:rFonts w:hint="eastAsia" w:eastAsiaTheme="minorEastAsia"/>
          <w:color w:val="000000" w:themeColor="text1"/>
          <w:highlight w:val="none"/>
          <w:lang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10160</wp:posOffset>
            </wp:positionH>
            <wp:positionV relativeFrom="paragraph">
              <wp:posOffset>34925</wp:posOffset>
            </wp:positionV>
            <wp:extent cx="5666105" cy="3952875"/>
            <wp:effectExtent l="0" t="0" r="10795" b="9525"/>
            <wp:wrapNone/>
            <wp:docPr id="5" name="图片 5" descr="图片变清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变清晰"/>
                    <pic:cNvPicPr>
                      <a:picLocks noChangeAspect="1"/>
                    </pic:cNvPicPr>
                  </pic:nvPicPr>
                  <pic:blipFill>
                    <a:blip r:embed="rId10"/>
                    <a:srcRect b="5995"/>
                    <a:stretch>
                      <a:fillRect/>
                    </a:stretch>
                  </pic:blipFill>
                  <pic:spPr>
                    <a:xfrm>
                      <a:off x="0" y="0"/>
                      <a:ext cx="5666105" cy="3952875"/>
                    </a:xfrm>
                    <a:prstGeom prst="rect">
                      <a:avLst/>
                    </a:prstGeom>
                  </pic:spPr>
                </pic:pic>
              </a:graphicData>
            </a:graphic>
          </wp:anchor>
        </w:drawing>
      </w:r>
    </w:p>
    <w:p w14:paraId="26FCC4DF">
      <w:pPr>
        <w:shd w:val="clear"/>
        <w:rPr>
          <w:rFonts w:ascii="Times New Roman" w:hAnsi="Times New Roman" w:cs="Times New Roman"/>
          <w:color w:val="000000" w:themeColor="text1"/>
          <w:highlight w:val="none"/>
          <w14:textFill>
            <w14:solidFill>
              <w14:schemeClr w14:val="tx1"/>
            </w14:solidFill>
          </w14:textFill>
        </w:rPr>
      </w:pPr>
    </w:p>
    <w:p w14:paraId="4A19552F">
      <w:pPr>
        <w:shd w:val="clear"/>
        <w:rPr>
          <w:rFonts w:ascii="Times New Roman" w:hAnsi="Times New Roman" w:cs="Times New Roman"/>
          <w:color w:val="000000" w:themeColor="text1"/>
          <w:highlight w:val="none"/>
          <w14:textFill>
            <w14:solidFill>
              <w14:schemeClr w14:val="tx1"/>
            </w14:solidFill>
          </w14:textFill>
        </w:rPr>
      </w:pPr>
    </w:p>
    <w:p w14:paraId="48E5D26D">
      <w:pPr>
        <w:pStyle w:val="7"/>
        <w:shd w:val="clear"/>
        <w:rPr>
          <w:color w:val="000000" w:themeColor="text1"/>
          <w:highlight w:val="none"/>
          <w14:textFill>
            <w14:solidFill>
              <w14:schemeClr w14:val="tx1"/>
            </w14:solidFill>
          </w14:textFill>
        </w:rPr>
      </w:pPr>
    </w:p>
    <w:p w14:paraId="33C67E15">
      <w:pPr>
        <w:shd w:val="clear"/>
        <w:rPr>
          <w:rFonts w:ascii="Times New Roman" w:hAnsi="Times New Roman" w:cs="Times New Roman"/>
          <w:color w:val="000000" w:themeColor="text1"/>
          <w:highlight w:val="none"/>
          <w14:textFill>
            <w14:solidFill>
              <w14:schemeClr w14:val="tx1"/>
            </w14:solidFill>
          </w14:textFill>
        </w:rPr>
      </w:pPr>
    </w:p>
    <w:p w14:paraId="60DFC757">
      <w:pPr>
        <w:shd w:val="clear"/>
        <w:topLinePunct/>
        <w:snapToGrid w:val="0"/>
        <w:jc w:val="center"/>
        <w:rPr>
          <w:rFonts w:ascii="Times New Roman" w:hAnsi="Times New Roman" w:eastAsia="方正小标宋简体" w:cs="Times New Roman"/>
          <w:color w:val="000000" w:themeColor="text1"/>
          <w:sz w:val="44"/>
          <w:szCs w:val="44"/>
          <w:highlight w:val="none"/>
          <w14:textFill>
            <w14:solidFill>
              <w14:schemeClr w14:val="tx1"/>
            </w14:solidFill>
          </w14:textFill>
        </w:rPr>
      </w:pPr>
    </w:p>
    <w:p w14:paraId="03EF3B09">
      <w:pPr>
        <w:shd w:val="clear"/>
        <w:topLinePunct/>
        <w:snapToGrid w:val="0"/>
        <w:jc w:val="center"/>
        <w:rPr>
          <w:rFonts w:ascii="Times New Roman" w:hAnsi="Times New Roman" w:eastAsia="方正小标宋简体" w:cs="Times New Roman"/>
          <w:color w:val="000000" w:themeColor="text1"/>
          <w:sz w:val="44"/>
          <w:szCs w:val="44"/>
          <w:highlight w:val="none"/>
          <w14:textFill>
            <w14:solidFill>
              <w14:schemeClr w14:val="tx1"/>
            </w14:solidFill>
          </w14:textFill>
        </w:rPr>
      </w:pPr>
    </w:p>
    <w:p w14:paraId="0BB8875D">
      <w:pPr>
        <w:shd w:val="clear"/>
        <w:topLinePunct/>
        <w:snapToGrid w:val="0"/>
        <w:jc w:val="center"/>
        <w:rPr>
          <w:rFonts w:ascii="Times New Roman" w:hAnsi="Times New Roman" w:eastAsia="方正小标宋简体" w:cs="Times New Roman"/>
          <w:color w:val="000000" w:themeColor="text1"/>
          <w:sz w:val="44"/>
          <w:szCs w:val="44"/>
          <w:highlight w:val="none"/>
          <w14:textFill>
            <w14:solidFill>
              <w14:schemeClr w14:val="tx1"/>
            </w14:solidFill>
          </w14:textFill>
        </w:rPr>
      </w:pPr>
    </w:p>
    <w:p w14:paraId="412DAC03">
      <w:pPr>
        <w:shd w:val="clear"/>
        <w:topLinePunct/>
        <w:snapToGrid w:val="0"/>
        <w:jc w:val="center"/>
        <w:rPr>
          <w:rFonts w:ascii="Times New Roman" w:hAnsi="Times New Roman" w:eastAsia="方正小标宋简体" w:cs="Times New Roman"/>
          <w:color w:val="000000" w:themeColor="text1"/>
          <w:sz w:val="44"/>
          <w:szCs w:val="44"/>
          <w:highlight w:val="none"/>
          <w14:textFill>
            <w14:solidFill>
              <w14:schemeClr w14:val="tx1"/>
            </w14:solidFill>
          </w14:textFill>
        </w:rPr>
      </w:pPr>
    </w:p>
    <w:p w14:paraId="102CD5E5">
      <w:pPr>
        <w:pStyle w:val="7"/>
        <w:shd w:val="clear"/>
        <w:rPr>
          <w:rFonts w:ascii="Times New Roman" w:hAnsi="Times New Roman" w:eastAsia="方正小标宋简体"/>
          <w:color w:val="000000" w:themeColor="text1"/>
          <w:sz w:val="44"/>
          <w:szCs w:val="44"/>
          <w:highlight w:val="none"/>
          <w14:textFill>
            <w14:solidFill>
              <w14:schemeClr w14:val="tx1"/>
            </w14:solidFill>
          </w14:textFill>
        </w:rPr>
      </w:pPr>
    </w:p>
    <w:p w14:paraId="23166DC3">
      <w:pPr>
        <w:shd w:val="clear"/>
        <w:rPr>
          <w:color w:val="000000" w:themeColor="text1"/>
          <w:highlight w:val="none"/>
          <w14:textFill>
            <w14:solidFill>
              <w14:schemeClr w14:val="tx1"/>
            </w14:solidFill>
          </w14:textFill>
        </w:rPr>
      </w:pPr>
    </w:p>
    <w:p w14:paraId="2E7D94D4">
      <w:pPr>
        <w:pStyle w:val="7"/>
        <w:shd w:val="clear"/>
        <w:rPr>
          <w:color w:val="000000" w:themeColor="text1"/>
          <w:highlight w:val="none"/>
          <w14:textFill>
            <w14:solidFill>
              <w14:schemeClr w14:val="tx1"/>
            </w14:solidFill>
          </w14:textFill>
        </w:rPr>
      </w:pPr>
    </w:p>
    <w:p w14:paraId="22C34B54">
      <w:pPr>
        <w:shd w:val="clear"/>
        <w:rPr>
          <w:color w:val="000000" w:themeColor="text1"/>
          <w:highlight w:val="none"/>
          <w14:textFill>
            <w14:solidFill>
              <w14:schemeClr w14:val="tx1"/>
            </w14:solidFill>
          </w14:textFill>
        </w:rPr>
      </w:pPr>
    </w:p>
    <w:p w14:paraId="273FF828">
      <w:pPr>
        <w:shd w:val="clear"/>
        <w:rPr>
          <w:color w:val="000000" w:themeColor="text1"/>
          <w:highlight w:val="none"/>
          <w14:textFill>
            <w14:solidFill>
              <w14:schemeClr w14:val="tx1"/>
            </w14:solidFill>
          </w14:textFill>
        </w:rPr>
      </w:pPr>
    </w:p>
    <w:p w14:paraId="5C1FE235">
      <w:pPr>
        <w:pStyle w:val="7"/>
        <w:shd w:val="clear"/>
        <w:rPr>
          <w:color w:val="000000" w:themeColor="text1"/>
          <w:highlight w:val="none"/>
          <w14:textFill>
            <w14:solidFill>
              <w14:schemeClr w14:val="tx1"/>
            </w14:solidFill>
          </w14:textFill>
        </w:rPr>
      </w:pPr>
    </w:p>
    <w:p w14:paraId="4E35F6A0">
      <w:pPr>
        <w:shd w:val="clear"/>
        <w:rPr>
          <w:color w:val="000000" w:themeColor="text1"/>
          <w:highlight w:val="none"/>
          <w14:textFill>
            <w14:solidFill>
              <w14:schemeClr w14:val="tx1"/>
            </w14:solidFill>
          </w14:textFill>
        </w:rPr>
      </w:pPr>
    </w:p>
    <w:p w14:paraId="5C9DD2D4">
      <w:pPr>
        <w:keepNext w:val="0"/>
        <w:keepLines w:val="0"/>
        <w:pageBreakBefore w:val="0"/>
        <w:widowControl w:val="0"/>
        <w:shd w:val="clear"/>
        <w:kinsoku/>
        <w:wordWrap/>
        <w:overflowPunct/>
        <w:topLinePunct/>
        <w:autoSpaceDE/>
        <w:autoSpaceDN/>
        <w:bidi w:val="0"/>
        <w:adjustRightInd/>
        <w:snapToGrid w:val="0"/>
        <w:spacing w:line="288" w:lineRule="auto"/>
        <w:jc w:val="center"/>
        <w:textAlignment w:val="auto"/>
        <w:rPr>
          <w:rFonts w:ascii="Times New Roman" w:hAnsi="Times New Roman" w:eastAsia="方正小标宋简体" w:cs="Times New Roman"/>
          <w:color w:val="000000" w:themeColor="text1"/>
          <w:sz w:val="36"/>
          <w:szCs w:val="36"/>
          <w:highlight w:val="none"/>
          <w14:textFill>
            <w14:solidFill>
              <w14:schemeClr w14:val="tx1"/>
            </w14:solidFill>
          </w14:textFill>
        </w:rPr>
      </w:pPr>
    </w:p>
    <w:p w14:paraId="2B778819">
      <w:pPr>
        <w:keepNext w:val="0"/>
        <w:keepLines w:val="0"/>
        <w:pageBreakBefore w:val="0"/>
        <w:widowControl w:val="0"/>
        <w:shd w:val="clear"/>
        <w:kinsoku/>
        <w:wordWrap/>
        <w:overflowPunct/>
        <w:topLinePunct/>
        <w:autoSpaceDE/>
        <w:autoSpaceDN/>
        <w:bidi w:val="0"/>
        <w:adjustRightInd/>
        <w:snapToGrid w:val="0"/>
        <w:spacing w:line="288" w:lineRule="auto"/>
        <w:jc w:val="center"/>
        <w:textAlignment w:val="auto"/>
        <w:rPr>
          <w:rFonts w:hint="default" w:ascii="Times New Roman" w:hAnsi="Times New Roman" w:eastAsia="方正小标宋简体" w:cs="Times New Roman"/>
          <w:color w:val="000000" w:themeColor="text1"/>
          <w:sz w:val="36"/>
          <w:szCs w:val="36"/>
          <w:highlight w:val="none"/>
          <w:lang w:val="en-US" w:eastAsia="zh-CN"/>
          <w14:textFill>
            <w14:solidFill>
              <w14:schemeClr w14:val="tx1"/>
            </w14:solidFill>
          </w14:textFill>
        </w:rPr>
      </w:pPr>
      <w:r>
        <w:rPr>
          <w:rFonts w:hint="eastAsia" w:ascii="Times New Roman" w:hAnsi="Times New Roman" w:eastAsia="方正小标宋简体" w:cs="Times New Roman"/>
          <w:color w:val="000000" w:themeColor="text1"/>
          <w:sz w:val="36"/>
          <w:szCs w:val="36"/>
          <w:highlight w:val="none"/>
          <w:lang w:val="en-US" w:eastAsia="zh-CN"/>
          <w14:textFill>
            <w14:solidFill>
              <w14:schemeClr w14:val="tx1"/>
            </w14:solidFill>
          </w14:textFill>
        </w:rPr>
        <w:t>阿坝州阿坝生态环境局</w:t>
      </w:r>
    </w:p>
    <w:p w14:paraId="2785DBA3">
      <w:pPr>
        <w:keepNext w:val="0"/>
        <w:keepLines w:val="0"/>
        <w:pageBreakBefore w:val="0"/>
        <w:widowControl w:val="0"/>
        <w:shd w:val="clear"/>
        <w:kinsoku/>
        <w:wordWrap/>
        <w:overflowPunct/>
        <w:topLinePunct/>
        <w:autoSpaceDE/>
        <w:autoSpaceDN/>
        <w:bidi w:val="0"/>
        <w:adjustRightInd/>
        <w:snapToGrid w:val="0"/>
        <w:spacing w:line="288" w:lineRule="auto"/>
        <w:jc w:val="center"/>
        <w:textAlignment w:val="auto"/>
        <w:rPr>
          <w:rFonts w:ascii="Times New Roman" w:hAnsi="Times New Roman" w:eastAsia="方正小标宋简体" w:cs="Times New Roman"/>
          <w:color w:val="000000" w:themeColor="text1"/>
          <w:sz w:val="36"/>
          <w:szCs w:val="36"/>
          <w:highlight w:val="none"/>
          <w14:textFill>
            <w14:solidFill>
              <w14:schemeClr w14:val="tx1"/>
            </w14:solidFill>
          </w14:textFill>
        </w:rPr>
      </w:pPr>
      <w:r>
        <w:rPr>
          <w:rFonts w:ascii="Times New Roman" w:hAnsi="Times New Roman" w:eastAsia="方正小标宋简体" w:cs="Times New Roman"/>
          <w:color w:val="000000" w:themeColor="text1"/>
          <w:sz w:val="36"/>
          <w:szCs w:val="36"/>
          <w:highlight w:val="none"/>
          <w14:textFill>
            <w14:solidFill>
              <w14:schemeClr w14:val="tx1"/>
            </w14:solidFill>
          </w14:textFill>
        </w:rPr>
        <w:t>202</w:t>
      </w:r>
      <w:r>
        <w:rPr>
          <w:rFonts w:hint="eastAsia" w:ascii="Times New Roman" w:hAnsi="Times New Roman" w:eastAsia="方正小标宋简体" w:cs="Times New Roman"/>
          <w:color w:val="000000" w:themeColor="text1"/>
          <w:sz w:val="36"/>
          <w:szCs w:val="36"/>
          <w:highlight w:val="none"/>
          <w:lang w:val="en-US" w:eastAsia="zh-CN"/>
          <w14:textFill>
            <w14:solidFill>
              <w14:schemeClr w14:val="tx1"/>
            </w14:solidFill>
          </w14:textFill>
        </w:rPr>
        <w:t>6</w:t>
      </w:r>
      <w:r>
        <w:rPr>
          <w:rFonts w:ascii="Times New Roman" w:hAnsi="Times New Roman" w:eastAsia="方正小标宋简体" w:cs="Times New Roman"/>
          <w:color w:val="000000" w:themeColor="text1"/>
          <w:sz w:val="36"/>
          <w:szCs w:val="36"/>
          <w:highlight w:val="none"/>
          <w14:textFill>
            <w14:solidFill>
              <w14:schemeClr w14:val="tx1"/>
            </w14:solidFill>
          </w14:textFill>
        </w:rPr>
        <w:t>年</w:t>
      </w:r>
      <w:r>
        <w:rPr>
          <w:rFonts w:hint="eastAsia" w:ascii="Times New Roman" w:hAnsi="Times New Roman" w:eastAsia="方正小标宋简体" w:cs="Times New Roman"/>
          <w:color w:val="000000" w:themeColor="text1"/>
          <w:sz w:val="36"/>
          <w:szCs w:val="36"/>
          <w:highlight w:val="none"/>
          <w:lang w:val="en-US" w:eastAsia="zh-CN"/>
          <w14:textFill>
            <w14:solidFill>
              <w14:schemeClr w14:val="tx1"/>
            </w14:solidFill>
          </w14:textFill>
        </w:rPr>
        <w:t>7</w:t>
      </w:r>
      <w:r>
        <w:rPr>
          <w:rFonts w:ascii="Times New Roman" w:hAnsi="Times New Roman" w:eastAsia="方正小标宋简体" w:cs="Times New Roman"/>
          <w:color w:val="000000" w:themeColor="text1"/>
          <w:sz w:val="36"/>
          <w:szCs w:val="36"/>
          <w:highlight w:val="none"/>
          <w14:textFill>
            <w14:solidFill>
              <w14:schemeClr w14:val="tx1"/>
            </w14:solidFill>
          </w14:textFill>
        </w:rPr>
        <w:t>月</w:t>
      </w:r>
    </w:p>
    <w:p w14:paraId="7FE80B23">
      <w:pPr>
        <w:pStyle w:val="7"/>
        <w:sectPr>
          <w:pgSz w:w="11906" w:h="16838"/>
          <w:pgMar w:top="2098" w:right="1474" w:bottom="1984" w:left="1587" w:header="851" w:footer="1417" w:gutter="0"/>
          <w:pgNumType w:fmt="decimal"/>
          <w:cols w:space="0" w:num="1"/>
          <w:docGrid w:type="lines" w:linePitch="312" w:charSpace="0"/>
        </w:sectPr>
      </w:pPr>
    </w:p>
    <w:sdt>
      <w:sdtPr>
        <w:rPr>
          <w:rFonts w:ascii="宋体" w:hAnsi="宋体" w:eastAsia="宋体"/>
          <w:b/>
          <w:bCs/>
          <w:color w:val="0000FF"/>
          <w:sz w:val="36"/>
          <w:szCs w:val="36"/>
          <w:highlight w:val="none"/>
        </w:rPr>
        <w:id w:val="147471866"/>
        <w15:color w:val="DBDBDB"/>
        <w:docPartObj>
          <w:docPartGallery w:val="Table of Contents"/>
          <w:docPartUnique/>
        </w:docPartObj>
      </w:sdtPr>
      <w:sdtEndPr>
        <w:rPr>
          <w:rFonts w:ascii="Times New Roman" w:hAnsi="Times New Roman" w:eastAsia="宋体" w:cs="Times New Roman"/>
          <w:b/>
          <w:bCs/>
          <w:color w:val="0000FF"/>
          <w:sz w:val="24"/>
          <w:szCs w:val="24"/>
          <w:highlight w:val="none"/>
        </w:rPr>
      </w:sdtEndPr>
      <w:sdtContent>
        <w:p w14:paraId="5547D468">
          <w:pPr>
            <w:shd w:val="clear"/>
            <w:jc w:val="center"/>
            <w:rPr>
              <w:rFonts w:hint="eastAsia" w:ascii="方正小标宋_GBK" w:hAnsi="方正小标宋_GBK" w:eastAsia="方正小标宋_GBK" w:cs="方正小标宋_GBK"/>
              <w:b/>
              <w:bCs/>
              <w:color w:val="000000" w:themeColor="text1"/>
              <w:sz w:val="36"/>
              <w:szCs w:val="36"/>
              <w:highlight w:val="none"/>
              <w14:textFill>
                <w14:solidFill>
                  <w14:schemeClr w14:val="tx1"/>
                </w14:solidFill>
              </w14:textFill>
            </w:rPr>
          </w:pPr>
          <w:r>
            <w:rPr>
              <w:rFonts w:hint="eastAsia" w:ascii="方正小标宋_GBK" w:hAnsi="方正小标宋_GBK" w:eastAsia="方正小标宋_GBK" w:cs="方正小标宋_GBK"/>
              <w:b/>
              <w:bCs/>
              <w:color w:val="000000" w:themeColor="text1"/>
              <w:sz w:val="36"/>
              <w:szCs w:val="36"/>
              <w:highlight w:val="none"/>
              <w14:textFill>
                <w14:solidFill>
                  <w14:schemeClr w14:val="tx1"/>
                </w14:solidFill>
              </w14:textFill>
            </w:rPr>
            <w:t>目 录</w:t>
          </w:r>
        </w:p>
        <w:p w14:paraId="2A524780">
          <w:pPr>
            <w:pStyle w:val="12"/>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_GB2312" w:cs="Times New Roman"/>
              <w:color w:val="0000FF"/>
              <w:sz w:val="28"/>
              <w:szCs w:val="28"/>
              <w:highlight w:val="none"/>
            </w:rPr>
            <w:fldChar w:fldCharType="begin"/>
          </w:r>
          <w:r>
            <w:rPr>
              <w:rFonts w:hint="default" w:ascii="Times New Roman" w:hAnsi="Times New Roman" w:eastAsia="仿宋_GB2312" w:cs="Times New Roman"/>
              <w:color w:val="0000FF"/>
              <w:sz w:val="28"/>
              <w:szCs w:val="28"/>
              <w:highlight w:val="none"/>
            </w:rPr>
            <w:instrText xml:space="preserve">TOC \o "1-3" \h \u </w:instrText>
          </w:r>
          <w:r>
            <w:rPr>
              <w:rFonts w:hint="default" w:ascii="Times New Roman" w:hAnsi="Times New Roman" w:eastAsia="仿宋_GB2312" w:cs="Times New Roman"/>
              <w:color w:val="0000FF"/>
              <w:sz w:val="28"/>
              <w:szCs w:val="28"/>
              <w:highlight w:val="none"/>
            </w:rPr>
            <w:fldChar w:fldCharType="separate"/>
          </w:r>
          <w:r>
            <w:rPr>
              <w:rFonts w:hint="eastAsia" w:ascii="黑体" w:hAnsi="黑体" w:eastAsia="黑体" w:cs="黑体"/>
              <w:b w:val="0"/>
              <w:bCs w:val="0"/>
              <w:color w:val="0000FF"/>
              <w:sz w:val="28"/>
              <w:szCs w:val="28"/>
              <w:highlight w:val="none"/>
            </w:rPr>
            <w:fldChar w:fldCharType="begin"/>
          </w:r>
          <w:r>
            <w:rPr>
              <w:rFonts w:hint="eastAsia" w:ascii="黑体" w:hAnsi="黑体" w:eastAsia="黑体" w:cs="黑体"/>
              <w:b w:val="0"/>
              <w:bCs w:val="0"/>
              <w:sz w:val="28"/>
              <w:szCs w:val="28"/>
              <w:highlight w:val="none"/>
            </w:rPr>
            <w:instrText xml:space="preserve"> HYPERLINK \l _Toc24651 </w:instrText>
          </w:r>
          <w:r>
            <w:rPr>
              <w:rFonts w:hint="eastAsia" w:ascii="黑体" w:hAnsi="黑体" w:eastAsia="黑体" w:cs="黑体"/>
              <w:b w:val="0"/>
              <w:bCs w:val="0"/>
              <w:sz w:val="28"/>
              <w:szCs w:val="28"/>
              <w:highlight w:val="none"/>
            </w:rPr>
            <w:fldChar w:fldCharType="separate"/>
          </w:r>
          <w:r>
            <w:rPr>
              <w:rFonts w:hint="eastAsia" w:ascii="黑体" w:hAnsi="黑体" w:eastAsia="黑体" w:cs="黑体"/>
              <w:b w:val="0"/>
              <w:bCs w:val="0"/>
              <w:sz w:val="28"/>
              <w:szCs w:val="28"/>
              <w:highlight w:val="none"/>
            </w:rPr>
            <w:t>前 言</w:t>
          </w:r>
          <w:r>
            <w:rPr>
              <w:rFonts w:hint="default" w:ascii="Times New Roman" w:hAnsi="Times New Roman" w:eastAsia="黑体" w:cs="Times New Roman"/>
              <w:b w:val="0"/>
              <w:bCs w:val="0"/>
              <w:sz w:val="28"/>
              <w:szCs w:val="28"/>
            </w:rPr>
            <w:tab/>
          </w:r>
          <w:r>
            <w:rPr>
              <w:rFonts w:hint="default" w:ascii="Times New Roman" w:hAnsi="Times New Roman" w:eastAsia="黑体" w:cs="Times New Roman"/>
              <w:b w:val="0"/>
              <w:bCs w:val="0"/>
              <w:sz w:val="28"/>
              <w:szCs w:val="28"/>
            </w:rPr>
            <w:fldChar w:fldCharType="begin"/>
          </w:r>
          <w:r>
            <w:rPr>
              <w:rFonts w:hint="default" w:ascii="Times New Roman" w:hAnsi="Times New Roman" w:eastAsia="黑体" w:cs="Times New Roman"/>
              <w:b w:val="0"/>
              <w:bCs w:val="0"/>
              <w:sz w:val="28"/>
              <w:szCs w:val="28"/>
            </w:rPr>
            <w:instrText xml:space="preserve"> PAGEREF _Toc24651 \h </w:instrText>
          </w:r>
          <w:r>
            <w:rPr>
              <w:rFonts w:hint="default" w:ascii="Times New Roman" w:hAnsi="Times New Roman" w:eastAsia="黑体" w:cs="Times New Roman"/>
              <w:b w:val="0"/>
              <w:bCs w:val="0"/>
              <w:sz w:val="28"/>
              <w:szCs w:val="28"/>
            </w:rPr>
            <w:fldChar w:fldCharType="separate"/>
          </w:r>
          <w:r>
            <w:rPr>
              <w:rFonts w:hint="default" w:ascii="Times New Roman" w:hAnsi="Times New Roman" w:eastAsia="黑体" w:cs="Times New Roman"/>
              <w:b w:val="0"/>
              <w:bCs w:val="0"/>
              <w:sz w:val="28"/>
              <w:szCs w:val="28"/>
            </w:rPr>
            <w:t>1</w:t>
          </w:r>
          <w:r>
            <w:rPr>
              <w:rFonts w:hint="default" w:ascii="Times New Roman" w:hAnsi="Times New Roman" w:eastAsia="黑体" w:cs="Times New Roman"/>
              <w:b w:val="0"/>
              <w:bCs w:val="0"/>
              <w:sz w:val="28"/>
              <w:szCs w:val="28"/>
            </w:rPr>
            <w:fldChar w:fldCharType="end"/>
          </w:r>
          <w:r>
            <w:rPr>
              <w:rFonts w:hint="eastAsia" w:ascii="黑体" w:hAnsi="黑体" w:eastAsia="黑体" w:cs="黑体"/>
              <w:b w:val="0"/>
              <w:bCs w:val="0"/>
              <w:color w:val="0000FF"/>
              <w:sz w:val="28"/>
              <w:szCs w:val="28"/>
              <w:highlight w:val="none"/>
            </w:rPr>
            <w:fldChar w:fldCharType="end"/>
          </w:r>
        </w:p>
        <w:p w14:paraId="18821EAB">
          <w:pPr>
            <w:pStyle w:val="12"/>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fldChar w:fldCharType="begin"/>
          </w:r>
          <w:r>
            <w:rPr>
              <w:rFonts w:hint="default" w:ascii="Times New Roman" w:hAnsi="Times New Roman" w:eastAsia="黑体" w:cs="Times New Roman"/>
              <w:bCs/>
              <w:sz w:val="28"/>
              <w:szCs w:val="28"/>
              <w:highlight w:val="none"/>
            </w:rPr>
            <w:instrText xml:space="preserve"> HYPERLINK \l _Toc14235 </w:instrText>
          </w:r>
          <w:r>
            <w:rPr>
              <w:rFonts w:hint="default" w:ascii="Times New Roman" w:hAnsi="Times New Roman" w:eastAsia="黑体" w:cs="Times New Roman"/>
              <w:bCs/>
              <w:sz w:val="28"/>
              <w:szCs w:val="28"/>
              <w:highlight w:val="none"/>
            </w:rPr>
            <w:fldChar w:fldCharType="separate"/>
          </w:r>
          <w:r>
            <w:rPr>
              <w:rFonts w:hint="default" w:ascii="Times New Roman" w:hAnsi="Times New Roman" w:eastAsia="黑体" w:cs="Times New Roman"/>
              <w:bCs/>
              <w:sz w:val="28"/>
              <w:szCs w:val="28"/>
              <w:highlight w:val="none"/>
            </w:rPr>
            <w:t>一、 实施背景</w:t>
          </w:r>
          <w:r>
            <w:rPr>
              <w:rFonts w:hint="default" w:ascii="Times New Roman" w:hAnsi="Times New Roman" w:eastAsia="黑体" w:cs="Times New Roman"/>
              <w:bCs/>
              <w:sz w:val="28"/>
              <w:szCs w:val="28"/>
              <w:highlight w:val="none"/>
            </w:rPr>
            <w:tab/>
          </w:r>
          <w:r>
            <w:rPr>
              <w:rFonts w:hint="default" w:ascii="Times New Roman" w:hAnsi="Times New Roman" w:eastAsia="黑体" w:cs="Times New Roman"/>
              <w:bCs/>
              <w:sz w:val="28"/>
              <w:szCs w:val="28"/>
              <w:highlight w:val="none"/>
            </w:rPr>
            <w:fldChar w:fldCharType="begin"/>
          </w:r>
          <w:r>
            <w:rPr>
              <w:rFonts w:hint="default" w:ascii="Times New Roman" w:hAnsi="Times New Roman" w:eastAsia="黑体" w:cs="Times New Roman"/>
              <w:bCs/>
              <w:sz w:val="28"/>
              <w:szCs w:val="28"/>
              <w:highlight w:val="none"/>
            </w:rPr>
            <w:instrText xml:space="preserve"> PAGEREF _Toc14235 \h </w:instrText>
          </w:r>
          <w:r>
            <w:rPr>
              <w:rFonts w:hint="default" w:ascii="Times New Roman" w:hAnsi="Times New Roman" w:eastAsia="黑体" w:cs="Times New Roman"/>
              <w:bCs/>
              <w:sz w:val="28"/>
              <w:szCs w:val="28"/>
              <w:highlight w:val="none"/>
            </w:rPr>
            <w:fldChar w:fldCharType="separate"/>
          </w:r>
          <w:r>
            <w:rPr>
              <w:rFonts w:hint="default" w:ascii="Times New Roman" w:hAnsi="Times New Roman" w:eastAsia="黑体" w:cs="Times New Roman"/>
              <w:bCs/>
              <w:sz w:val="28"/>
              <w:szCs w:val="28"/>
              <w:highlight w:val="none"/>
            </w:rPr>
            <w:t>4</w:t>
          </w:r>
          <w:r>
            <w:rPr>
              <w:rFonts w:hint="default" w:ascii="Times New Roman" w:hAnsi="Times New Roman" w:eastAsia="黑体" w:cs="Times New Roman"/>
              <w:bCs/>
              <w:sz w:val="28"/>
              <w:szCs w:val="28"/>
              <w:highlight w:val="none"/>
            </w:rPr>
            <w:fldChar w:fldCharType="end"/>
          </w:r>
          <w:r>
            <w:rPr>
              <w:rFonts w:hint="default" w:ascii="Times New Roman" w:hAnsi="Times New Roman" w:eastAsia="黑体" w:cs="Times New Roman"/>
              <w:bCs/>
              <w:sz w:val="28"/>
              <w:szCs w:val="28"/>
              <w:highlight w:val="none"/>
            </w:rPr>
            <w:fldChar w:fldCharType="end"/>
          </w:r>
        </w:p>
        <w:p w14:paraId="1E56B0EE">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_Toc767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（一） </w:t>
          </w:r>
          <w:r>
            <w:rPr>
              <w:rFonts w:hint="default" w:ascii="Times New Roman" w:hAnsi="Times New Roman" w:eastAsia="仿宋" w:cs="Times New Roman"/>
              <w:sz w:val="28"/>
              <w:szCs w:val="28"/>
              <w:highlight w:val="none"/>
              <w:lang w:val="en-US" w:eastAsia="zh-CN"/>
            </w:rPr>
            <w:t>区域概况</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_Toc767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47727F2">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_Toc17927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1． </w:t>
          </w:r>
          <w:r>
            <w:rPr>
              <w:rFonts w:hint="default" w:ascii="Times New Roman" w:hAnsi="Times New Roman" w:eastAsia="仿宋" w:cs="Times New Roman"/>
              <w:sz w:val="28"/>
              <w:szCs w:val="28"/>
              <w:highlight w:val="none"/>
              <w:lang w:val="en-US" w:eastAsia="zh-CN"/>
            </w:rPr>
            <w:t>地理位置</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_Toc17927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0B3BD57A">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_Toc457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2． </w:t>
          </w:r>
          <w:r>
            <w:rPr>
              <w:rFonts w:hint="default" w:ascii="Times New Roman" w:hAnsi="Times New Roman" w:eastAsia="仿宋" w:cs="Times New Roman"/>
              <w:sz w:val="28"/>
              <w:szCs w:val="28"/>
              <w:highlight w:val="none"/>
              <w:lang w:val="en-US" w:eastAsia="zh-CN"/>
            </w:rPr>
            <w:t>自然环境概况</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_Toc457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3A18940">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_Toc8872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3． </w:t>
          </w:r>
          <w:r>
            <w:rPr>
              <w:rFonts w:hint="default" w:ascii="Times New Roman" w:hAnsi="Times New Roman" w:eastAsia="仿宋" w:cs="Times New Roman"/>
              <w:sz w:val="28"/>
              <w:szCs w:val="28"/>
              <w:highlight w:val="none"/>
              <w:lang w:val="en-US" w:eastAsia="zh-CN"/>
            </w:rPr>
            <w:t>社会经济现状</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_Toc8872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68562BBE">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_Toc23434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（二） </w:t>
          </w:r>
          <w:r>
            <w:rPr>
              <w:rFonts w:hint="default" w:ascii="Times New Roman" w:hAnsi="Times New Roman" w:eastAsia="仿宋" w:cs="Times New Roman"/>
              <w:sz w:val="28"/>
              <w:szCs w:val="28"/>
              <w:highlight w:val="none"/>
            </w:rPr>
            <w:t>建设优势</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_Toc23434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2DA167F4">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_Toc22163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1． </w:t>
          </w:r>
          <w:r>
            <w:rPr>
              <w:rFonts w:hint="default" w:ascii="Times New Roman" w:hAnsi="Times New Roman" w:eastAsia="仿宋" w:cs="Times New Roman"/>
              <w:sz w:val="28"/>
              <w:szCs w:val="28"/>
              <w:highlight w:val="none"/>
            </w:rPr>
            <w:t>三省交界枢纽，区位联通优势显著</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_Toc22163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6D7D9D94">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_Toc19419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2． </w:t>
          </w:r>
          <w:r>
            <w:rPr>
              <w:rFonts w:hint="default" w:ascii="Times New Roman" w:hAnsi="Times New Roman" w:eastAsia="仿宋" w:cs="Times New Roman"/>
              <w:sz w:val="28"/>
              <w:szCs w:val="28"/>
              <w:highlight w:val="none"/>
            </w:rPr>
            <w:t>生态格局优越，自然基底底蕴厚实</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_Toc19419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716521C">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_Toc29324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3． </w:t>
          </w:r>
          <w:r>
            <w:rPr>
              <w:rFonts w:hint="default" w:ascii="Times New Roman" w:hAnsi="Times New Roman" w:eastAsia="仿宋" w:cs="Times New Roman"/>
              <w:sz w:val="28"/>
              <w:szCs w:val="28"/>
              <w:highlight w:val="none"/>
            </w:rPr>
            <w:t>资源品类富集，要素储备潜力充足</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_Toc29324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1C06DF64">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_Toc32209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4． </w:t>
          </w:r>
          <w:r>
            <w:rPr>
              <w:rFonts w:hint="default" w:ascii="Times New Roman" w:hAnsi="Times New Roman" w:eastAsia="仿宋" w:cs="Times New Roman"/>
              <w:sz w:val="28"/>
              <w:szCs w:val="28"/>
              <w:highlight w:val="none"/>
            </w:rPr>
            <w:t>绿色业态成型，产业经济支撑有力</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_Toc32209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69C3F33A">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_Toc25897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（三） </w:t>
          </w:r>
          <w:r>
            <w:rPr>
              <w:rFonts w:hint="default" w:ascii="Times New Roman" w:hAnsi="Times New Roman" w:eastAsia="仿宋" w:cs="Times New Roman"/>
              <w:sz w:val="28"/>
              <w:szCs w:val="28"/>
              <w:highlight w:val="none"/>
            </w:rPr>
            <w:t>问题与挑战</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_Toc25897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4A9029AB">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_Toc15896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1． </w:t>
          </w:r>
          <w:r>
            <w:rPr>
              <w:rFonts w:hint="default" w:ascii="Times New Roman" w:hAnsi="Times New Roman" w:eastAsia="仿宋" w:cs="Times New Roman"/>
              <w:sz w:val="28"/>
              <w:szCs w:val="28"/>
              <w:highlight w:val="none"/>
            </w:rPr>
            <w:t>基础设施建设滞后，城乡配套短板突出</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_Toc15896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383E31E2">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_Toc18195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2． </w:t>
          </w:r>
          <w:r>
            <w:rPr>
              <w:rFonts w:hint="default" w:ascii="Times New Roman" w:hAnsi="Times New Roman" w:eastAsia="仿宋" w:cs="Times New Roman"/>
              <w:sz w:val="28"/>
              <w:szCs w:val="28"/>
              <w:highlight w:val="none"/>
            </w:rPr>
            <w:t>生态治理能力不足，监管保护水平偏弱</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_Toc18195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14</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2145CFF5">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_Toc28349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3． </w:t>
          </w:r>
          <w:r>
            <w:rPr>
              <w:rFonts w:hint="default" w:ascii="Times New Roman" w:hAnsi="Times New Roman" w:eastAsia="仿宋" w:cs="Times New Roman"/>
              <w:sz w:val="28"/>
              <w:szCs w:val="28"/>
              <w:highlight w:val="none"/>
            </w:rPr>
            <w:t>资金投入缺口较大，多元融资渠道不畅</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_Toc28349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14</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0C2DA37B">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_Toc30237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4． </w:t>
          </w:r>
          <w:r>
            <w:rPr>
              <w:rFonts w:hint="default" w:ascii="Times New Roman" w:hAnsi="Times New Roman" w:eastAsia="仿宋" w:cs="Times New Roman"/>
              <w:sz w:val="28"/>
              <w:szCs w:val="28"/>
              <w:highlight w:val="none"/>
            </w:rPr>
            <w:t>生态系统</w:t>
          </w:r>
          <w:r>
            <w:rPr>
              <w:rFonts w:hint="default" w:ascii="Times New Roman" w:hAnsi="Times New Roman" w:eastAsia="仿宋" w:cs="Times New Roman"/>
              <w:sz w:val="28"/>
              <w:szCs w:val="28"/>
              <w:highlight w:val="none"/>
              <w:lang w:val="en-US" w:eastAsia="zh-CN"/>
            </w:rPr>
            <w:t>敏感</w:t>
          </w:r>
          <w:r>
            <w:rPr>
              <w:rFonts w:hint="default" w:ascii="Times New Roman" w:hAnsi="Times New Roman" w:eastAsia="仿宋" w:cs="Times New Roman"/>
              <w:sz w:val="28"/>
              <w:szCs w:val="28"/>
              <w:highlight w:val="none"/>
            </w:rPr>
            <w:t>脆弱，保护修复难度</w:t>
          </w:r>
          <w:r>
            <w:rPr>
              <w:rFonts w:hint="default" w:ascii="Times New Roman" w:hAnsi="Times New Roman" w:eastAsia="仿宋" w:cs="Times New Roman"/>
              <w:sz w:val="28"/>
              <w:szCs w:val="28"/>
              <w:highlight w:val="none"/>
              <w:lang w:val="en-US" w:eastAsia="zh-CN"/>
            </w:rPr>
            <w:t>较高</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_Toc30237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11E2554">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_Toc21078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5． </w:t>
          </w:r>
          <w:r>
            <w:rPr>
              <w:rFonts w:hint="default" w:ascii="Times New Roman" w:hAnsi="Times New Roman" w:eastAsia="仿宋" w:cs="Times New Roman"/>
              <w:sz w:val="28"/>
              <w:szCs w:val="28"/>
              <w:highlight w:val="none"/>
            </w:rPr>
            <w:t>产业发展质效偏低，绿色动能支撑不足</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_Toc21078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34E09E52">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_Toc24142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（四） </w:t>
          </w:r>
          <w:r>
            <w:rPr>
              <w:rFonts w:hint="default" w:ascii="Times New Roman" w:hAnsi="Times New Roman" w:eastAsia="仿宋" w:cs="Times New Roman"/>
              <w:sz w:val="28"/>
              <w:szCs w:val="28"/>
              <w:highlight w:val="none"/>
            </w:rPr>
            <w:t>重大机遇</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_Toc24142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1C8F7823">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_Toc12657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1． </w:t>
          </w:r>
          <w:r>
            <w:rPr>
              <w:rFonts w:hint="default" w:ascii="Times New Roman" w:hAnsi="Times New Roman" w:eastAsia="仿宋" w:cs="Times New Roman"/>
              <w:sz w:val="28"/>
              <w:szCs w:val="28"/>
              <w:highlight w:val="none"/>
              <w:lang w:val="en-US" w:eastAsia="zh-CN"/>
            </w:rPr>
            <w:t>国家战略叠加赋能，政策红利集中释放</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_Toc12657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304FB8FD">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_Toc2070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2． </w:t>
          </w:r>
          <w:r>
            <w:rPr>
              <w:rFonts w:hint="default" w:ascii="Times New Roman" w:hAnsi="Times New Roman" w:eastAsia="仿宋" w:cs="Times New Roman"/>
              <w:sz w:val="28"/>
              <w:szCs w:val="28"/>
              <w:highlight w:val="none"/>
              <w:lang w:val="en-US" w:eastAsia="zh-CN"/>
            </w:rPr>
            <w:t>清洁能源产业爆发，绿色动能加速集聚</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_Toc2070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375C75A2">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_Toc13421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3． </w:t>
          </w:r>
          <w:r>
            <w:rPr>
              <w:rFonts w:hint="default" w:ascii="Times New Roman" w:hAnsi="Times New Roman" w:eastAsia="仿宋" w:cs="Times New Roman"/>
              <w:sz w:val="28"/>
              <w:szCs w:val="28"/>
              <w:highlight w:val="none"/>
              <w:lang w:val="en-US" w:eastAsia="zh-CN"/>
            </w:rPr>
            <w:t>文旅融合纵深推进，产业能级持续跃升</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_Toc13421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0879D4E3">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_Toc32065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4． </w:t>
          </w:r>
          <w:r>
            <w:rPr>
              <w:rFonts w:hint="default" w:ascii="Times New Roman" w:hAnsi="Times New Roman" w:eastAsia="仿宋" w:cs="Times New Roman"/>
              <w:sz w:val="28"/>
              <w:szCs w:val="28"/>
              <w:highlight w:val="none"/>
              <w:lang w:val="en-US" w:eastAsia="zh-CN"/>
            </w:rPr>
            <w:t>特色农牧业科技赋能，产业价值高效释放</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_Toc32065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320596F5">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_Toc23852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5． </w:t>
          </w:r>
          <w:r>
            <w:rPr>
              <w:rFonts w:hint="default" w:ascii="Times New Roman" w:hAnsi="Times New Roman" w:eastAsia="仿宋" w:cs="Times New Roman"/>
              <w:sz w:val="28"/>
              <w:szCs w:val="28"/>
              <w:highlight w:val="none"/>
              <w:lang w:val="en-US" w:eastAsia="zh-CN"/>
            </w:rPr>
            <w:t>基础设施提档升级，发展支撑全面强化</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_Toc23852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09309EB9">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_Toc25188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6． </w:t>
          </w:r>
          <w:r>
            <w:rPr>
              <w:rFonts w:hint="default" w:ascii="Times New Roman" w:hAnsi="Times New Roman" w:eastAsia="仿宋" w:cs="Times New Roman"/>
              <w:sz w:val="28"/>
              <w:szCs w:val="28"/>
              <w:highlight w:val="none"/>
              <w:lang w:val="en-US" w:eastAsia="zh-CN"/>
            </w:rPr>
            <w:t>生态保护力度加大，绿色本底持续夯实</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_Toc25188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2C04E698">
          <w:pPr>
            <w:pStyle w:val="12"/>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fldChar w:fldCharType="begin"/>
          </w:r>
          <w:r>
            <w:rPr>
              <w:rFonts w:hint="default" w:ascii="Times New Roman" w:hAnsi="Times New Roman" w:eastAsia="黑体" w:cs="Times New Roman"/>
              <w:bCs/>
              <w:sz w:val="28"/>
              <w:szCs w:val="28"/>
              <w:highlight w:val="none"/>
            </w:rPr>
            <w:instrText xml:space="preserve"> HYPERLINK \l _Toc10046 </w:instrText>
          </w:r>
          <w:r>
            <w:rPr>
              <w:rFonts w:hint="default" w:ascii="Times New Roman" w:hAnsi="Times New Roman" w:eastAsia="黑体" w:cs="Times New Roman"/>
              <w:bCs/>
              <w:sz w:val="28"/>
              <w:szCs w:val="28"/>
              <w:highlight w:val="none"/>
            </w:rPr>
            <w:fldChar w:fldCharType="separate"/>
          </w:r>
          <w:r>
            <w:rPr>
              <w:rFonts w:hint="default" w:ascii="Times New Roman" w:hAnsi="Times New Roman" w:eastAsia="黑体" w:cs="Times New Roman"/>
              <w:bCs/>
              <w:sz w:val="28"/>
              <w:szCs w:val="28"/>
              <w:highlight w:val="none"/>
            </w:rPr>
            <w:t>二、 总体要求</w:t>
          </w:r>
          <w:r>
            <w:rPr>
              <w:rFonts w:hint="default" w:ascii="Times New Roman" w:hAnsi="Times New Roman" w:eastAsia="黑体" w:cs="Times New Roman"/>
              <w:bCs/>
              <w:sz w:val="28"/>
              <w:szCs w:val="28"/>
              <w:highlight w:val="none"/>
            </w:rPr>
            <w:tab/>
          </w:r>
          <w:r>
            <w:rPr>
              <w:rFonts w:hint="default" w:ascii="Times New Roman" w:hAnsi="Times New Roman" w:eastAsia="黑体" w:cs="Times New Roman"/>
              <w:bCs/>
              <w:sz w:val="28"/>
              <w:szCs w:val="28"/>
              <w:highlight w:val="none"/>
            </w:rPr>
            <w:fldChar w:fldCharType="begin"/>
          </w:r>
          <w:r>
            <w:rPr>
              <w:rFonts w:hint="default" w:ascii="Times New Roman" w:hAnsi="Times New Roman" w:eastAsia="黑体" w:cs="Times New Roman"/>
              <w:bCs/>
              <w:sz w:val="28"/>
              <w:szCs w:val="28"/>
              <w:highlight w:val="none"/>
            </w:rPr>
            <w:instrText xml:space="preserve"> PAGEREF _Toc10046 \h </w:instrText>
          </w:r>
          <w:r>
            <w:rPr>
              <w:rFonts w:hint="default" w:ascii="Times New Roman" w:hAnsi="Times New Roman" w:eastAsia="黑体" w:cs="Times New Roman"/>
              <w:bCs/>
              <w:sz w:val="28"/>
              <w:szCs w:val="28"/>
              <w:highlight w:val="none"/>
            </w:rPr>
            <w:fldChar w:fldCharType="separate"/>
          </w:r>
          <w:r>
            <w:rPr>
              <w:rFonts w:hint="default" w:ascii="Times New Roman" w:hAnsi="Times New Roman" w:eastAsia="黑体" w:cs="Times New Roman"/>
              <w:bCs/>
              <w:sz w:val="28"/>
              <w:szCs w:val="28"/>
              <w:highlight w:val="none"/>
            </w:rPr>
            <w:t>19</w:t>
          </w:r>
          <w:r>
            <w:rPr>
              <w:rFonts w:hint="default" w:ascii="Times New Roman" w:hAnsi="Times New Roman" w:eastAsia="黑体" w:cs="Times New Roman"/>
              <w:bCs/>
              <w:sz w:val="28"/>
              <w:szCs w:val="28"/>
              <w:highlight w:val="none"/>
            </w:rPr>
            <w:fldChar w:fldCharType="end"/>
          </w:r>
          <w:r>
            <w:rPr>
              <w:rFonts w:hint="default" w:ascii="Times New Roman" w:hAnsi="Times New Roman" w:eastAsia="黑体" w:cs="Times New Roman"/>
              <w:bCs/>
              <w:sz w:val="28"/>
              <w:szCs w:val="28"/>
              <w:highlight w:val="none"/>
            </w:rPr>
            <w:fldChar w:fldCharType="end"/>
          </w:r>
        </w:p>
        <w:p w14:paraId="4C9F7315">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_Toc20700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（一） </w:t>
          </w:r>
          <w:r>
            <w:rPr>
              <w:rFonts w:hint="default" w:ascii="Times New Roman" w:hAnsi="Times New Roman" w:eastAsia="仿宋" w:cs="Times New Roman"/>
              <w:sz w:val="28"/>
              <w:szCs w:val="28"/>
              <w:highlight w:val="none"/>
            </w:rPr>
            <w:t>指导思想</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_Toc20700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19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59A2AD8">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_Toc19057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（二） </w:t>
          </w:r>
          <w:r>
            <w:rPr>
              <w:rFonts w:hint="default" w:ascii="Times New Roman" w:hAnsi="Times New Roman" w:eastAsia="仿宋" w:cs="Times New Roman"/>
              <w:sz w:val="28"/>
              <w:szCs w:val="28"/>
              <w:highlight w:val="none"/>
            </w:rPr>
            <w:t>基本原则</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_Toc19057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3C7FC8CE">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_Toc7572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1． </w:t>
          </w:r>
          <w:r>
            <w:rPr>
              <w:rFonts w:hint="default" w:ascii="Times New Roman" w:hAnsi="Times New Roman" w:eastAsia="仿宋" w:cs="Times New Roman"/>
              <w:sz w:val="28"/>
              <w:szCs w:val="28"/>
              <w:highlight w:val="none"/>
              <w:lang w:val="en-US" w:eastAsia="zh-CN"/>
            </w:rPr>
            <w:t>生态优先、绿色引领，筑牢江源屏障</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_Toc7572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622BE6D2">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_Toc15092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2． </w:t>
          </w:r>
          <w:r>
            <w:rPr>
              <w:rFonts w:hint="default" w:ascii="Times New Roman" w:hAnsi="Times New Roman" w:eastAsia="仿宋" w:cs="Times New Roman"/>
              <w:sz w:val="28"/>
              <w:szCs w:val="28"/>
              <w:highlight w:val="none"/>
              <w:lang w:val="en-US" w:eastAsia="zh-CN"/>
            </w:rPr>
            <w:t>系统谋划、全域统筹，促进协同共进</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_Toc15092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57C31E39">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_Toc23341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3． </w:t>
          </w:r>
          <w:r>
            <w:rPr>
              <w:rFonts w:hint="default" w:ascii="Times New Roman" w:hAnsi="Times New Roman" w:eastAsia="仿宋" w:cs="Times New Roman"/>
              <w:sz w:val="28"/>
              <w:szCs w:val="28"/>
              <w:highlight w:val="none"/>
              <w:lang w:val="en-US" w:eastAsia="zh-CN"/>
            </w:rPr>
            <w:t>以人为本、民生为本，共建共享美丽</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_Toc23341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3DD5081">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_Toc7014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4． </w:t>
          </w:r>
          <w:r>
            <w:rPr>
              <w:rFonts w:hint="default" w:ascii="Times New Roman" w:hAnsi="Times New Roman" w:eastAsia="仿宋" w:cs="Times New Roman"/>
              <w:sz w:val="28"/>
              <w:szCs w:val="28"/>
              <w:highlight w:val="none"/>
              <w:lang w:val="en-US" w:eastAsia="zh-CN"/>
            </w:rPr>
            <w:t>彰显特色、因地制宜，塑造高原风貌</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_Toc7014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57C7028C">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_Toc6721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（三） </w:t>
          </w:r>
          <w:r>
            <w:rPr>
              <w:rFonts w:hint="default" w:ascii="Times New Roman" w:hAnsi="Times New Roman" w:eastAsia="仿宋" w:cs="Times New Roman"/>
              <w:sz w:val="28"/>
              <w:szCs w:val="28"/>
              <w:highlight w:val="none"/>
            </w:rPr>
            <w:t>战略定位</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_Toc6721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0E4737DE">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_Toc14474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（四） </w:t>
          </w:r>
          <w:r>
            <w:rPr>
              <w:rFonts w:hint="default" w:ascii="Times New Roman" w:hAnsi="Times New Roman" w:eastAsia="仿宋" w:cs="Times New Roman"/>
              <w:sz w:val="28"/>
              <w:szCs w:val="28"/>
              <w:highlight w:val="none"/>
            </w:rPr>
            <w:t>建设目标</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_Toc14474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24ACC5EA">
          <w:pPr>
            <w:pStyle w:val="12"/>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黑体" w:cs="Times New Roman"/>
              <w:bCs/>
              <w:sz w:val="28"/>
              <w:szCs w:val="28"/>
              <w:highlight w:val="none"/>
            </w:rPr>
          </w:pPr>
          <w:r>
            <w:rPr>
              <w:rFonts w:hint="default" w:ascii="Times New Roman" w:hAnsi="Times New Roman" w:eastAsia="黑体" w:cs="Times New Roman"/>
              <w:bCs/>
              <w:sz w:val="28"/>
              <w:szCs w:val="28"/>
              <w:highlight w:val="none"/>
            </w:rPr>
            <w:fldChar w:fldCharType="begin"/>
          </w:r>
          <w:r>
            <w:rPr>
              <w:rFonts w:hint="default" w:ascii="Times New Roman" w:hAnsi="Times New Roman" w:eastAsia="黑体" w:cs="Times New Roman"/>
              <w:bCs/>
              <w:sz w:val="28"/>
              <w:szCs w:val="28"/>
              <w:highlight w:val="none"/>
            </w:rPr>
            <w:instrText xml:space="preserve"> HYPERLINK \l _Toc16595 </w:instrText>
          </w:r>
          <w:r>
            <w:rPr>
              <w:rFonts w:hint="default" w:ascii="Times New Roman" w:hAnsi="Times New Roman" w:eastAsia="黑体" w:cs="Times New Roman"/>
              <w:bCs/>
              <w:sz w:val="28"/>
              <w:szCs w:val="28"/>
              <w:highlight w:val="none"/>
            </w:rPr>
            <w:fldChar w:fldCharType="separate"/>
          </w:r>
          <w:r>
            <w:rPr>
              <w:rFonts w:hint="default" w:ascii="Times New Roman" w:hAnsi="Times New Roman" w:eastAsia="黑体" w:cs="Times New Roman"/>
              <w:bCs/>
              <w:sz w:val="28"/>
              <w:szCs w:val="28"/>
              <w:highlight w:val="none"/>
            </w:rPr>
            <w:t>三、 重点任务</w:t>
          </w:r>
          <w:r>
            <w:rPr>
              <w:rFonts w:hint="default" w:ascii="Times New Roman" w:hAnsi="Times New Roman" w:eastAsia="黑体" w:cs="Times New Roman"/>
              <w:bCs/>
              <w:sz w:val="28"/>
              <w:szCs w:val="28"/>
              <w:highlight w:val="none"/>
            </w:rPr>
            <w:tab/>
          </w:r>
          <w:r>
            <w:rPr>
              <w:rFonts w:hint="default" w:ascii="Times New Roman" w:hAnsi="Times New Roman" w:eastAsia="黑体" w:cs="Times New Roman"/>
              <w:bCs/>
              <w:sz w:val="28"/>
              <w:szCs w:val="28"/>
              <w:highlight w:val="none"/>
            </w:rPr>
            <w:fldChar w:fldCharType="begin"/>
          </w:r>
          <w:r>
            <w:rPr>
              <w:rFonts w:hint="default" w:ascii="Times New Roman" w:hAnsi="Times New Roman" w:eastAsia="黑体" w:cs="Times New Roman"/>
              <w:bCs/>
              <w:sz w:val="28"/>
              <w:szCs w:val="28"/>
              <w:highlight w:val="none"/>
            </w:rPr>
            <w:instrText xml:space="preserve"> PAGEREF _Toc16595 \h </w:instrText>
          </w:r>
          <w:r>
            <w:rPr>
              <w:rFonts w:hint="default" w:ascii="Times New Roman" w:hAnsi="Times New Roman" w:eastAsia="黑体" w:cs="Times New Roman"/>
              <w:bCs/>
              <w:sz w:val="28"/>
              <w:szCs w:val="28"/>
              <w:highlight w:val="none"/>
            </w:rPr>
            <w:fldChar w:fldCharType="separate"/>
          </w:r>
          <w:r>
            <w:rPr>
              <w:rFonts w:hint="default" w:ascii="Times New Roman" w:hAnsi="Times New Roman" w:eastAsia="黑体" w:cs="Times New Roman"/>
              <w:bCs/>
              <w:sz w:val="28"/>
              <w:szCs w:val="28"/>
              <w:highlight w:val="none"/>
            </w:rPr>
            <w:t>25</w:t>
          </w:r>
          <w:r>
            <w:rPr>
              <w:rFonts w:hint="default" w:ascii="Times New Roman" w:hAnsi="Times New Roman" w:eastAsia="黑体" w:cs="Times New Roman"/>
              <w:bCs/>
              <w:sz w:val="28"/>
              <w:szCs w:val="28"/>
              <w:highlight w:val="none"/>
            </w:rPr>
            <w:fldChar w:fldCharType="end"/>
          </w:r>
          <w:r>
            <w:rPr>
              <w:rFonts w:hint="default" w:ascii="Times New Roman" w:hAnsi="Times New Roman" w:eastAsia="黑体" w:cs="Times New Roman"/>
              <w:bCs/>
              <w:sz w:val="28"/>
              <w:szCs w:val="28"/>
              <w:highlight w:val="none"/>
            </w:rPr>
            <w:fldChar w:fldCharType="end"/>
          </w:r>
        </w:p>
        <w:p w14:paraId="64EED011">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_Toc9083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（一） </w:t>
          </w:r>
          <w:r>
            <w:rPr>
              <w:rFonts w:hint="default" w:ascii="Times New Roman" w:hAnsi="Times New Roman" w:eastAsia="仿宋" w:cs="Times New Roman"/>
              <w:sz w:val="28"/>
              <w:szCs w:val="28"/>
              <w:highlight w:val="none"/>
              <w:lang w:val="en-US" w:eastAsia="zh-CN"/>
            </w:rPr>
            <w:t>守护高原秘境，勾勒美丽山川</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_Toc9083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1FAF6D47">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_Toc23085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1． </w:t>
          </w:r>
          <w:r>
            <w:rPr>
              <w:rFonts w:hint="default" w:ascii="Times New Roman" w:hAnsi="Times New Roman" w:eastAsia="仿宋" w:cs="Times New Roman"/>
              <w:bCs w:val="0"/>
              <w:sz w:val="28"/>
              <w:szCs w:val="28"/>
              <w:highlight w:val="none"/>
            </w:rPr>
            <w:t>锚定生态格局，筑牢屏障基底</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_Toc23085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0C572F07">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_Toc26254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2． </w:t>
          </w:r>
          <w:r>
            <w:rPr>
              <w:rFonts w:hint="default" w:ascii="Times New Roman" w:hAnsi="Times New Roman" w:eastAsia="仿宋" w:cs="Times New Roman"/>
              <w:sz w:val="28"/>
              <w:szCs w:val="28"/>
              <w:highlight w:val="none"/>
            </w:rPr>
            <w:t>系统施治林草，修复生态肌理</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_Toc26254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51F107D0">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_Toc2742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3． </w:t>
          </w:r>
          <w:r>
            <w:rPr>
              <w:rFonts w:hint="default" w:ascii="Times New Roman" w:hAnsi="Times New Roman" w:eastAsia="仿宋" w:cs="Times New Roman"/>
              <w:sz w:val="28"/>
              <w:szCs w:val="28"/>
              <w:highlight w:val="none"/>
            </w:rPr>
            <w:t>守护物种基因，夯实多样根基</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_Toc2742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028D333">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_Toc29259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4． </w:t>
          </w:r>
          <w:r>
            <w:rPr>
              <w:rFonts w:hint="default" w:ascii="Times New Roman" w:hAnsi="Times New Roman" w:eastAsia="仿宋" w:cs="Times New Roman"/>
              <w:sz w:val="28"/>
              <w:szCs w:val="28"/>
              <w:highlight w:val="none"/>
            </w:rPr>
            <w:t>强化生物安全，严管有害生物</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_Toc29259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416B2726">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_Toc28560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5． </w:t>
          </w:r>
          <w:r>
            <w:rPr>
              <w:rFonts w:hint="default" w:ascii="Times New Roman" w:hAnsi="Times New Roman" w:eastAsia="仿宋" w:cs="Times New Roman"/>
              <w:sz w:val="28"/>
              <w:szCs w:val="28"/>
              <w:highlight w:val="none"/>
            </w:rPr>
            <w:t>整治地质灾害，稳固山川安全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_Toc28560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39DAB06D">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_Toc2852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6． </w:t>
          </w:r>
          <w:r>
            <w:rPr>
              <w:rFonts w:hint="default" w:ascii="Times New Roman" w:hAnsi="Times New Roman" w:eastAsia="仿宋" w:cs="Times New Roman"/>
              <w:sz w:val="28"/>
              <w:szCs w:val="28"/>
              <w:highlight w:val="none"/>
              <w:lang w:val="en-US" w:eastAsia="zh-CN"/>
            </w:rPr>
            <w:t>系统整治矿山，重塑高原地貌</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_Toc2852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3A4AC5EB">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_Toc12277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7． </w:t>
          </w:r>
          <w:r>
            <w:rPr>
              <w:rFonts w:hint="default" w:ascii="Times New Roman" w:hAnsi="Times New Roman" w:eastAsia="仿宋" w:cs="Times New Roman"/>
              <w:sz w:val="28"/>
              <w:szCs w:val="28"/>
              <w:highlight w:val="none"/>
              <w:lang w:val="en-US" w:eastAsia="zh-CN"/>
            </w:rPr>
            <w:t>健全管护体系，推进保护地建管监</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_Toc12277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29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40DD969E">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_Toc1479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（二） </w:t>
          </w:r>
          <w:r>
            <w:rPr>
              <w:rFonts w:hint="default" w:ascii="Times New Roman" w:hAnsi="Times New Roman" w:eastAsia="仿宋" w:cs="Times New Roman"/>
              <w:sz w:val="28"/>
              <w:szCs w:val="28"/>
              <w:highlight w:val="none"/>
              <w:lang w:val="en-US" w:eastAsia="zh-CN"/>
            </w:rPr>
            <w:t>润泽江河源流，涵养美丽河湖</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_Toc1479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55D8117">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_Toc30383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1． </w:t>
          </w:r>
          <w:r>
            <w:rPr>
              <w:rFonts w:hint="default" w:ascii="Times New Roman" w:hAnsi="Times New Roman" w:eastAsia="仿宋" w:cs="Times New Roman"/>
              <w:bCs w:val="0"/>
              <w:sz w:val="28"/>
              <w:szCs w:val="28"/>
              <w:highlight w:val="none"/>
            </w:rPr>
            <w:t>严控流域管护，守护干支清流</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_Toc30383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20B05798">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_Toc20301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2． </w:t>
          </w:r>
          <w:r>
            <w:rPr>
              <w:rFonts w:hint="default" w:ascii="Times New Roman" w:hAnsi="Times New Roman" w:eastAsia="仿宋" w:cs="Times New Roman"/>
              <w:bCs w:val="0"/>
              <w:sz w:val="28"/>
              <w:szCs w:val="28"/>
              <w:highlight w:val="none"/>
            </w:rPr>
            <w:t>修复湿地生态，涵养水源命脉</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_Toc20301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153AE9A">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_Toc31776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3． </w:t>
          </w:r>
          <w:r>
            <w:rPr>
              <w:rFonts w:hint="default" w:ascii="Times New Roman" w:hAnsi="Times New Roman" w:eastAsia="仿宋" w:cs="Times New Roman"/>
              <w:bCs w:val="0"/>
              <w:sz w:val="28"/>
              <w:szCs w:val="28"/>
              <w:highlight w:val="none"/>
            </w:rPr>
            <w:t>规范水源保护，保障饮水安全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_Toc31776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1D79E554">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_Toc26513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4． </w:t>
          </w:r>
          <w:r>
            <w:rPr>
              <w:rFonts w:hint="default" w:ascii="Times New Roman" w:hAnsi="Times New Roman" w:eastAsia="仿宋" w:cs="Times New Roman"/>
              <w:bCs w:val="0"/>
              <w:sz w:val="28"/>
              <w:szCs w:val="28"/>
              <w:highlight w:val="none"/>
            </w:rPr>
            <w:t>打造生态廊道，勾勒河湖景致</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_Toc26513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62DC8F81">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_Toc19889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5． </w:t>
          </w:r>
          <w:r>
            <w:rPr>
              <w:rFonts w:hint="default" w:ascii="Times New Roman" w:hAnsi="Times New Roman" w:eastAsia="仿宋" w:cs="Times New Roman"/>
              <w:bCs w:val="0"/>
              <w:sz w:val="28"/>
              <w:szCs w:val="28"/>
              <w:highlight w:val="none"/>
            </w:rPr>
            <w:t>聚力污水综合治理，全域提升治污效能</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_Toc19889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34</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4A95F04B">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_Toc26473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lang w:val="en-US" w:eastAsia="zh-CN"/>
            </w:rPr>
            <w:t xml:space="preserve">6． </w:t>
          </w:r>
          <w:r>
            <w:rPr>
              <w:rFonts w:hint="default" w:ascii="Times New Roman" w:hAnsi="Times New Roman" w:eastAsia="仿宋" w:cs="Times New Roman"/>
              <w:bCs w:val="0"/>
              <w:sz w:val="28"/>
              <w:szCs w:val="28"/>
              <w:highlight w:val="none"/>
              <w:lang w:val="en-US" w:eastAsia="zh-CN"/>
            </w:rPr>
            <w:t>深耕幸福河湖创建，绘就高原水美画卷</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_Toc26473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62EDF45D">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_Toc9640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（三） </w:t>
          </w:r>
          <w:r>
            <w:rPr>
              <w:rFonts w:hint="default" w:ascii="Times New Roman" w:hAnsi="Times New Roman" w:eastAsia="仿宋" w:cs="Times New Roman"/>
              <w:sz w:val="28"/>
              <w:szCs w:val="28"/>
              <w:highlight w:val="none"/>
              <w:lang w:val="en-US" w:eastAsia="zh-CN"/>
            </w:rPr>
            <w:t>雕琢高原新城，共建美丽城市</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_Toc9640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D1E58F4">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_Toc14758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1． </w:t>
          </w:r>
          <w:r>
            <w:rPr>
              <w:rFonts w:hint="default" w:ascii="Times New Roman" w:hAnsi="Times New Roman" w:eastAsia="仿宋" w:cs="Times New Roman"/>
              <w:bCs w:val="0"/>
              <w:sz w:val="28"/>
              <w:szCs w:val="28"/>
              <w:highlight w:val="none"/>
            </w:rPr>
            <w:t>优化城市风貌，彰显藏韵气质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_Toc14758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B324FF4">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_Toc32430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2． </w:t>
          </w:r>
          <w:r>
            <w:rPr>
              <w:rFonts w:hint="default" w:ascii="Times New Roman" w:hAnsi="Times New Roman" w:eastAsia="仿宋" w:cs="Times New Roman"/>
              <w:bCs w:val="0"/>
              <w:sz w:val="28"/>
              <w:szCs w:val="28"/>
              <w:highlight w:val="none"/>
            </w:rPr>
            <w:t>完善市政配套，夯实宜居根基</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_Toc32430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5F5D7E88">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_Toc9467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3． </w:t>
          </w:r>
          <w:r>
            <w:rPr>
              <w:rFonts w:hint="default" w:ascii="Times New Roman" w:hAnsi="Times New Roman" w:eastAsia="仿宋" w:cs="Times New Roman"/>
              <w:bCs w:val="0"/>
              <w:sz w:val="28"/>
              <w:szCs w:val="28"/>
              <w:highlight w:val="none"/>
            </w:rPr>
            <w:t>抓实蓝天保卫攻坚，持续优化空气环境</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_Toc9467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1E0E8094">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_Toc10387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4． </w:t>
          </w:r>
          <w:r>
            <w:rPr>
              <w:rFonts w:hint="default" w:ascii="Times New Roman" w:hAnsi="Times New Roman" w:eastAsia="仿宋" w:cs="Times New Roman"/>
              <w:bCs w:val="0"/>
              <w:sz w:val="28"/>
              <w:szCs w:val="28"/>
              <w:highlight w:val="none"/>
              <w:lang w:val="en-US" w:eastAsia="zh-CN"/>
            </w:rPr>
            <w:t>精修城市绿美肌理，提升生态宜居品质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_Toc10387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39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55B25B49">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_Toc30272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5． </w:t>
          </w:r>
          <w:r>
            <w:rPr>
              <w:rFonts w:hint="default" w:ascii="Times New Roman" w:hAnsi="Times New Roman" w:eastAsia="仿宋" w:cs="Times New Roman"/>
              <w:bCs w:val="0"/>
              <w:sz w:val="28"/>
              <w:szCs w:val="28"/>
              <w:highlight w:val="none"/>
            </w:rPr>
            <w:t>推进低碳智慧，提升治理能级</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_Toc30272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36C4B262">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_Toc4106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（四） </w:t>
          </w:r>
          <w:r>
            <w:rPr>
              <w:rFonts w:hint="default" w:ascii="Times New Roman" w:hAnsi="Times New Roman" w:eastAsia="仿宋" w:cs="Times New Roman"/>
              <w:sz w:val="28"/>
              <w:szCs w:val="28"/>
              <w:highlight w:val="none"/>
              <w:lang w:val="en-US" w:eastAsia="zh-CN"/>
            </w:rPr>
            <w:t>焕新藏乡田园，扮靓美丽乡村</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_Toc4106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4570FF5A">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_Toc21933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1． </w:t>
          </w:r>
          <w:r>
            <w:rPr>
              <w:rFonts w:hint="default" w:ascii="Times New Roman" w:hAnsi="Times New Roman" w:eastAsia="仿宋" w:cs="Times New Roman"/>
              <w:bCs w:val="0"/>
              <w:sz w:val="28"/>
              <w:szCs w:val="28"/>
              <w:highlight w:val="none"/>
            </w:rPr>
            <w:t>全域整治人居，擦亮乡村底色</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_Toc21933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1B911EC5">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_Toc14708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2． </w:t>
          </w:r>
          <w:r>
            <w:rPr>
              <w:rFonts w:hint="default" w:ascii="Times New Roman" w:hAnsi="Times New Roman" w:eastAsia="仿宋" w:cs="Times New Roman"/>
              <w:bCs w:val="0"/>
              <w:sz w:val="28"/>
              <w:szCs w:val="28"/>
              <w:highlight w:val="none"/>
            </w:rPr>
            <w:t>打造示范标杆，串靓乡村群落</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_Toc14708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1A9FA2A9">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_Toc26363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3． </w:t>
          </w:r>
          <w:r>
            <w:rPr>
              <w:rFonts w:hint="default" w:ascii="Times New Roman" w:hAnsi="Times New Roman" w:eastAsia="仿宋" w:cs="Times New Roman"/>
              <w:bCs w:val="0"/>
              <w:sz w:val="28"/>
              <w:szCs w:val="28"/>
              <w:highlight w:val="none"/>
            </w:rPr>
            <w:t>补齐乡村基建，均衡城乡服务</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_Toc26363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F2679C2">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_Toc12033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4． </w:t>
          </w:r>
          <w:r>
            <w:rPr>
              <w:rFonts w:hint="default" w:ascii="Times New Roman" w:hAnsi="Times New Roman" w:eastAsia="仿宋" w:cs="Times New Roman"/>
              <w:bCs w:val="0"/>
              <w:sz w:val="28"/>
              <w:szCs w:val="28"/>
              <w:highlight w:val="none"/>
            </w:rPr>
            <w:t>发展生态乡村，兴业富民赋能</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_Toc12033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5AF10558">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_Toc5012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lang w:val="en-US" w:eastAsia="zh-CN"/>
            </w:rPr>
            <w:t xml:space="preserve">5． </w:t>
          </w:r>
          <w:r>
            <w:rPr>
              <w:rFonts w:hint="default" w:ascii="Times New Roman" w:hAnsi="Times New Roman" w:eastAsia="仿宋" w:cs="Times New Roman"/>
              <w:bCs w:val="0"/>
              <w:sz w:val="28"/>
              <w:szCs w:val="28"/>
              <w:highlight w:val="none"/>
              <w:lang w:val="en-US" w:eastAsia="zh-CN"/>
            </w:rPr>
            <w:t>深化价值转化，激活生态红利</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_Toc5012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44</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43DF4A95">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_Toc25755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6． </w:t>
          </w:r>
          <w:r>
            <w:rPr>
              <w:rFonts w:hint="default" w:ascii="Times New Roman" w:hAnsi="Times New Roman" w:eastAsia="仿宋" w:cs="Times New Roman"/>
              <w:bCs w:val="0"/>
              <w:sz w:val="28"/>
              <w:szCs w:val="28"/>
              <w:highlight w:val="none"/>
            </w:rPr>
            <w:t>严守水资源底线，全域推进节水增效</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_Toc25755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555E6E12">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_Toc5942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（五） </w:t>
          </w:r>
          <w:r>
            <w:rPr>
              <w:rFonts w:hint="default" w:ascii="Times New Roman" w:hAnsi="Times New Roman" w:eastAsia="仿宋" w:cs="Times New Roman"/>
              <w:sz w:val="28"/>
              <w:szCs w:val="28"/>
              <w:highlight w:val="none"/>
              <w:lang w:val="en-US" w:eastAsia="zh-CN"/>
            </w:rPr>
            <w:t>深耕生态赋能，壮大绿色产业</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_Toc5942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FA88C95">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_Toc26754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1． </w:t>
          </w:r>
          <w:r>
            <w:rPr>
              <w:rFonts w:hint="default" w:ascii="Times New Roman" w:hAnsi="Times New Roman" w:eastAsia="仿宋" w:cs="Times New Roman"/>
              <w:bCs w:val="0"/>
              <w:sz w:val="28"/>
              <w:szCs w:val="28"/>
              <w:highlight w:val="none"/>
            </w:rPr>
            <w:t>做强生态农牧业，夯实绿色产业根基</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_Toc26754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50731154">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_Toc27316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2． </w:t>
          </w:r>
          <w:r>
            <w:rPr>
              <w:rFonts w:hint="default" w:ascii="Times New Roman" w:hAnsi="Times New Roman" w:eastAsia="仿宋" w:cs="Times New Roman"/>
              <w:bCs w:val="0"/>
              <w:sz w:val="28"/>
              <w:szCs w:val="28"/>
              <w:highlight w:val="none"/>
            </w:rPr>
            <w:t>做大清洁能源产业</w:t>
          </w:r>
          <w:r>
            <w:rPr>
              <w:rFonts w:hint="default" w:ascii="Times New Roman" w:hAnsi="Times New Roman" w:eastAsia="仿宋" w:cs="Times New Roman"/>
              <w:bCs w:val="0"/>
              <w:sz w:val="28"/>
              <w:szCs w:val="28"/>
              <w:highlight w:val="none"/>
              <w:lang w:val="en-US" w:eastAsia="zh-CN"/>
            </w:rPr>
            <w:t>，构建多能互补格局</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_Toc27316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6B249417">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_Toc11657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3． </w:t>
          </w:r>
          <w:r>
            <w:rPr>
              <w:rFonts w:hint="default" w:ascii="Times New Roman" w:hAnsi="Times New Roman" w:eastAsia="仿宋" w:cs="Times New Roman"/>
              <w:bCs w:val="0"/>
              <w:sz w:val="28"/>
              <w:szCs w:val="28"/>
              <w:highlight w:val="none"/>
            </w:rPr>
            <w:t>做精文旅融合产业，打造生态文旅标杆</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_Toc11657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58EEBD3E">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_Toc17852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4． </w:t>
          </w:r>
          <w:r>
            <w:rPr>
              <w:rFonts w:hint="default" w:ascii="Times New Roman" w:hAnsi="Times New Roman" w:eastAsia="仿宋" w:cs="Times New Roman"/>
              <w:bCs w:val="0"/>
              <w:sz w:val="28"/>
              <w:szCs w:val="28"/>
              <w:highlight w:val="none"/>
            </w:rPr>
            <w:t>做优绿色加工产业，激活循环工业动能</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_Toc17852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49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106DF160">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_Toc25665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lang w:val="en-US" w:eastAsia="zh-CN"/>
            </w:rPr>
            <w:t xml:space="preserve">5． </w:t>
          </w:r>
          <w:r>
            <w:rPr>
              <w:rFonts w:hint="default" w:ascii="Times New Roman" w:hAnsi="Times New Roman" w:eastAsia="仿宋" w:cs="Times New Roman"/>
              <w:bCs w:val="0"/>
              <w:sz w:val="28"/>
              <w:szCs w:val="28"/>
              <w:highlight w:val="none"/>
              <w:lang w:val="en-US" w:eastAsia="zh-CN"/>
            </w:rPr>
            <w:t>严控能耗总量强度，推动产业节能降碳</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_Toc25665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1E8BE174">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_Toc30663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lang w:val="en-US" w:eastAsia="zh-CN"/>
            </w:rPr>
            <w:t xml:space="preserve">6． </w:t>
          </w:r>
          <w:r>
            <w:rPr>
              <w:rFonts w:hint="default" w:ascii="Times New Roman" w:hAnsi="Times New Roman" w:eastAsia="仿宋" w:cs="Times New Roman"/>
              <w:bCs w:val="0"/>
              <w:sz w:val="28"/>
              <w:szCs w:val="28"/>
              <w:highlight w:val="none"/>
              <w:lang w:val="en-US" w:eastAsia="zh-CN"/>
            </w:rPr>
            <w:t>倡导低碳生产生活，营造绿色发展氛围</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_Toc30663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56BF3329">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_Toc17063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（六） </w:t>
          </w:r>
          <w:r>
            <w:rPr>
              <w:rFonts w:hint="default" w:ascii="Times New Roman" w:hAnsi="Times New Roman" w:eastAsia="仿宋" w:cs="Times New Roman"/>
              <w:sz w:val="28"/>
              <w:szCs w:val="28"/>
              <w:highlight w:val="none"/>
              <w:lang w:val="en-US" w:eastAsia="zh-CN"/>
            </w:rPr>
            <w:t>普惠民生福祉，缔造美好生活</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_Toc17063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4F0FA0D0">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_Toc6564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1． </w:t>
          </w:r>
          <w:r>
            <w:rPr>
              <w:rFonts w:hint="default" w:ascii="Times New Roman" w:hAnsi="Times New Roman" w:eastAsia="仿宋" w:cs="Times New Roman"/>
              <w:bCs w:val="0"/>
              <w:sz w:val="28"/>
              <w:szCs w:val="28"/>
              <w:highlight w:val="none"/>
            </w:rPr>
            <w:t>拓宽增收渠道，均衡城乡收入水平</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_Toc6564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361DC071">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_Toc22024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2． </w:t>
          </w:r>
          <w:r>
            <w:rPr>
              <w:rFonts w:hint="default" w:ascii="Times New Roman" w:hAnsi="Times New Roman" w:eastAsia="仿宋" w:cs="Times New Roman"/>
              <w:bCs w:val="0"/>
              <w:sz w:val="28"/>
              <w:szCs w:val="28"/>
              <w:highlight w:val="none"/>
              <w:lang w:val="en-US" w:eastAsia="zh-CN"/>
            </w:rPr>
            <w:t>健全医疗体系，筑牢群众健康保障</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_Toc22024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6A23F799">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_Toc25658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3． </w:t>
          </w:r>
          <w:r>
            <w:rPr>
              <w:rFonts w:hint="default" w:ascii="Times New Roman" w:hAnsi="Times New Roman" w:eastAsia="仿宋" w:cs="Times New Roman"/>
              <w:bCs w:val="0"/>
              <w:sz w:val="28"/>
              <w:szCs w:val="28"/>
              <w:highlight w:val="none"/>
            </w:rPr>
            <w:t>优化教育资源，提升办学育人质效</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_Toc25658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54</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2F799C52">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_Toc6455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4． </w:t>
          </w:r>
          <w:r>
            <w:rPr>
              <w:rFonts w:hint="default" w:ascii="Times New Roman" w:hAnsi="Times New Roman" w:eastAsia="仿宋" w:cs="Times New Roman"/>
              <w:bCs w:val="0"/>
              <w:sz w:val="28"/>
              <w:szCs w:val="28"/>
              <w:highlight w:val="none"/>
            </w:rPr>
            <w:t>传承特色文脉，擦亮本土文化名片</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_Toc6455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6E74DAC1">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_Toc7797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5． </w:t>
          </w:r>
          <w:r>
            <w:rPr>
              <w:rFonts w:hint="default" w:ascii="Times New Roman" w:hAnsi="Times New Roman" w:eastAsia="仿宋" w:cs="Times New Roman"/>
              <w:bCs w:val="0"/>
              <w:sz w:val="28"/>
              <w:szCs w:val="28"/>
              <w:highlight w:val="none"/>
            </w:rPr>
            <w:t>深耕绿色宣教，涵养生态文化氛围</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_Toc7797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29B15D5D">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_Toc6477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6． </w:t>
          </w:r>
          <w:r>
            <w:rPr>
              <w:rFonts w:hint="default" w:ascii="Times New Roman" w:hAnsi="Times New Roman" w:eastAsia="仿宋" w:cs="Times New Roman"/>
              <w:bCs w:val="0"/>
              <w:sz w:val="28"/>
              <w:szCs w:val="28"/>
              <w:highlight w:val="none"/>
            </w:rPr>
            <w:t>升级公共服务，提升城乡宜居质感</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_Toc6477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66F49C2E">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_Toc25465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7． </w:t>
          </w:r>
          <w:r>
            <w:rPr>
              <w:rFonts w:hint="default" w:ascii="Times New Roman" w:hAnsi="Times New Roman" w:eastAsia="仿宋" w:cs="Times New Roman"/>
              <w:bCs w:val="0"/>
              <w:sz w:val="28"/>
              <w:szCs w:val="28"/>
              <w:highlight w:val="none"/>
            </w:rPr>
            <w:t>聚力生态共建，深化生态文明建设</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_Toc25465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4F568183">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_Toc1418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（七） </w:t>
          </w:r>
          <w:r>
            <w:rPr>
              <w:rFonts w:hint="default" w:ascii="Times New Roman" w:hAnsi="Times New Roman" w:eastAsia="仿宋" w:cs="Times New Roman"/>
              <w:sz w:val="28"/>
              <w:szCs w:val="28"/>
              <w:highlight w:val="none"/>
              <w:lang w:val="en-US" w:eastAsia="zh-CN"/>
            </w:rPr>
            <w:t>筑牢安全底线，营造宜人安全环境</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_Toc1418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10FA7DBF">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_Toc19342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1． </w:t>
          </w:r>
          <w:r>
            <w:rPr>
              <w:rFonts w:hint="default" w:ascii="Times New Roman" w:hAnsi="Times New Roman" w:eastAsia="仿宋" w:cs="Times New Roman"/>
              <w:bCs w:val="0"/>
              <w:sz w:val="28"/>
              <w:szCs w:val="28"/>
              <w:highlight w:val="none"/>
            </w:rPr>
            <w:t>严守耕地安全底线，推进受污染耕地利用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_Toc19342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06B54953">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_Toc11018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2． </w:t>
          </w:r>
          <w:r>
            <w:rPr>
              <w:rFonts w:hint="default" w:ascii="Times New Roman" w:hAnsi="Times New Roman" w:eastAsia="仿宋" w:cs="Times New Roman"/>
              <w:bCs w:val="0"/>
              <w:sz w:val="28"/>
              <w:szCs w:val="28"/>
              <w:highlight w:val="none"/>
            </w:rPr>
            <w:t>严控建设用地风险，保障人居用地安全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_Toc11018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59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310A235C">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_Toc5484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3． </w:t>
          </w:r>
          <w:r>
            <w:rPr>
              <w:rFonts w:hint="default" w:ascii="Times New Roman" w:hAnsi="Times New Roman" w:eastAsia="仿宋" w:cs="Times New Roman"/>
              <w:bCs w:val="0"/>
              <w:sz w:val="28"/>
              <w:szCs w:val="28"/>
              <w:highlight w:val="none"/>
            </w:rPr>
            <w:t>健全风险应急体系，强化灾险处置能力</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_Toc5484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280E2695">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_Toc9075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4． </w:t>
          </w:r>
          <w:r>
            <w:rPr>
              <w:rFonts w:hint="default" w:ascii="Times New Roman" w:hAnsi="Times New Roman" w:eastAsia="仿宋" w:cs="Times New Roman"/>
              <w:bCs w:val="0"/>
              <w:sz w:val="28"/>
              <w:szCs w:val="28"/>
              <w:highlight w:val="none"/>
            </w:rPr>
            <w:t>赋能智慧监测执法，提升基层治理效能</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_Toc9075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894D4B1">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_Toc6853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5． </w:t>
          </w:r>
          <w:r>
            <w:rPr>
              <w:rFonts w:hint="default" w:ascii="Times New Roman" w:hAnsi="Times New Roman" w:eastAsia="仿宋" w:cs="Times New Roman"/>
              <w:bCs w:val="0"/>
              <w:sz w:val="28"/>
              <w:szCs w:val="28"/>
              <w:highlight w:val="none"/>
            </w:rPr>
            <w:t>统筹城乡综合防控，筑牢全域安全屏障</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_Toc6853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62</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7FA9F5C1">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_Toc30153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6． </w:t>
          </w:r>
          <w:r>
            <w:rPr>
              <w:rFonts w:hint="default" w:ascii="Times New Roman" w:hAnsi="Times New Roman" w:eastAsia="仿宋" w:cs="Times New Roman"/>
              <w:bCs w:val="0"/>
              <w:sz w:val="28"/>
              <w:szCs w:val="28"/>
              <w:highlight w:val="none"/>
            </w:rPr>
            <w:t>深化地灾隐患治理，夯实高原安全根基</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_Toc30153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63</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631DA8CD">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_Toc29249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7． </w:t>
          </w:r>
          <w:r>
            <w:rPr>
              <w:rFonts w:hint="default" w:ascii="Times New Roman" w:hAnsi="Times New Roman" w:eastAsia="仿宋" w:cs="Times New Roman"/>
              <w:bCs w:val="0"/>
              <w:sz w:val="28"/>
              <w:szCs w:val="28"/>
              <w:highlight w:val="none"/>
            </w:rPr>
            <w:t>深耕噪声污染治理，静谧宜居城</w:t>
          </w:r>
          <w:r>
            <w:rPr>
              <w:rFonts w:hint="default" w:ascii="Times New Roman" w:hAnsi="Times New Roman" w:eastAsia="仿宋" w:cs="Times New Roman"/>
              <w:bCs w:val="0"/>
              <w:sz w:val="28"/>
              <w:szCs w:val="28"/>
              <w:highlight w:val="none"/>
              <w:lang w:val="en-US" w:eastAsia="zh-CN"/>
            </w:rPr>
            <w:t>市</w:t>
          </w:r>
          <w:r>
            <w:rPr>
              <w:rFonts w:hint="default" w:ascii="Times New Roman" w:hAnsi="Times New Roman" w:eastAsia="仿宋" w:cs="Times New Roman"/>
              <w:bCs w:val="0"/>
              <w:sz w:val="28"/>
              <w:szCs w:val="28"/>
              <w:highlight w:val="none"/>
            </w:rPr>
            <w:t>环境</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_Toc29249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64</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4AD39136">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_Toc8957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lang w:val="en-US" w:eastAsia="zh-CN"/>
            </w:rPr>
            <w:t xml:space="preserve">（八） </w:t>
          </w:r>
          <w:r>
            <w:rPr>
              <w:rFonts w:hint="default" w:ascii="Times New Roman" w:hAnsi="Times New Roman" w:eastAsia="仿宋" w:cs="Times New Roman"/>
              <w:sz w:val="28"/>
              <w:szCs w:val="28"/>
              <w:highlight w:val="none"/>
              <w:lang w:val="en-US" w:eastAsia="zh-CN"/>
            </w:rPr>
            <w:t>彰显地域禀赋，擦亮县域特色</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_Toc8957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137ECFEB">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_Toc29263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1． </w:t>
          </w:r>
          <w:r>
            <w:rPr>
              <w:rFonts w:hint="default" w:ascii="Times New Roman" w:hAnsi="Times New Roman" w:eastAsia="仿宋" w:cs="Times New Roman"/>
              <w:bCs w:val="0"/>
              <w:sz w:val="28"/>
              <w:szCs w:val="28"/>
              <w:highlight w:val="none"/>
            </w:rPr>
            <w:t>深耕净土资源禀赋，塑造高原生态特色</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_Toc29263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0BBACBFE">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_Toc9214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2． </w:t>
          </w:r>
          <w:r>
            <w:rPr>
              <w:rFonts w:hint="default" w:ascii="Times New Roman" w:hAnsi="Times New Roman" w:eastAsia="仿宋" w:cs="Times New Roman"/>
              <w:bCs w:val="0"/>
              <w:sz w:val="28"/>
              <w:szCs w:val="28"/>
              <w:highlight w:val="none"/>
            </w:rPr>
            <w:t>深挖安多民俗文脉，铸就藏乡地域特色</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_Toc9214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65</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2CE346D1">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_Toc9069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3． </w:t>
          </w:r>
          <w:r>
            <w:rPr>
              <w:rFonts w:hint="default" w:ascii="Times New Roman" w:hAnsi="Times New Roman" w:eastAsia="仿宋" w:cs="Times New Roman"/>
              <w:bCs w:val="0"/>
              <w:sz w:val="28"/>
              <w:szCs w:val="28"/>
              <w:highlight w:val="none"/>
            </w:rPr>
            <w:t>激活交界区位优势，构筑三省门户特色</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_Toc9069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66</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3FF106A6">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_Toc19801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4． </w:t>
          </w:r>
          <w:r>
            <w:rPr>
              <w:rFonts w:hint="default" w:ascii="Times New Roman" w:hAnsi="Times New Roman" w:eastAsia="仿宋" w:cs="Times New Roman"/>
              <w:bCs w:val="0"/>
              <w:sz w:val="28"/>
              <w:szCs w:val="28"/>
              <w:highlight w:val="none"/>
            </w:rPr>
            <w:t>盘活生态资源价值，赋能生态旅游提质</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_Toc19801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67</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3C062E88">
          <w:pPr>
            <w:pStyle w:val="9"/>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_Toc26080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val="0"/>
              <w:sz w:val="28"/>
              <w:szCs w:val="28"/>
            </w:rPr>
            <w:t xml:space="preserve">5． </w:t>
          </w:r>
          <w:r>
            <w:rPr>
              <w:rFonts w:hint="default" w:ascii="Times New Roman" w:hAnsi="Times New Roman" w:eastAsia="仿宋" w:cs="Times New Roman"/>
              <w:bCs w:val="0"/>
              <w:sz w:val="28"/>
              <w:szCs w:val="28"/>
              <w:highlight w:val="none"/>
            </w:rPr>
            <w:t>健全治理长效机制，夯实美丽建设根基</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_Toc26080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68</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22BA903B">
          <w:pPr>
            <w:pStyle w:val="12"/>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黑体" w:hAnsi="黑体" w:eastAsia="黑体" w:cs="黑体"/>
              <w:bCs/>
              <w:sz w:val="28"/>
              <w:szCs w:val="28"/>
              <w:highlight w:val="none"/>
            </w:rPr>
          </w:pPr>
          <w:r>
            <w:rPr>
              <w:rFonts w:hint="default" w:ascii="Times New Roman" w:hAnsi="Times New Roman" w:eastAsia="黑体" w:cs="Times New Roman"/>
              <w:bCs/>
              <w:sz w:val="28"/>
              <w:szCs w:val="28"/>
              <w:highlight w:val="none"/>
            </w:rPr>
            <w:fldChar w:fldCharType="begin"/>
          </w:r>
          <w:r>
            <w:rPr>
              <w:rFonts w:hint="default" w:ascii="Times New Roman" w:hAnsi="Times New Roman" w:eastAsia="黑体" w:cs="Times New Roman"/>
              <w:bCs/>
              <w:sz w:val="28"/>
              <w:szCs w:val="28"/>
              <w:highlight w:val="none"/>
            </w:rPr>
            <w:instrText xml:space="preserve"> HYPERLINK \l _Toc27802 </w:instrText>
          </w:r>
          <w:r>
            <w:rPr>
              <w:rFonts w:hint="default" w:ascii="Times New Roman" w:hAnsi="Times New Roman" w:eastAsia="黑体" w:cs="Times New Roman"/>
              <w:bCs/>
              <w:sz w:val="28"/>
              <w:szCs w:val="28"/>
              <w:highlight w:val="none"/>
            </w:rPr>
            <w:fldChar w:fldCharType="separate"/>
          </w:r>
          <w:r>
            <w:rPr>
              <w:rFonts w:hint="default" w:ascii="Times New Roman" w:hAnsi="Times New Roman" w:eastAsia="黑体" w:cs="Times New Roman"/>
              <w:bCs/>
              <w:sz w:val="28"/>
              <w:szCs w:val="28"/>
              <w:highlight w:val="none"/>
            </w:rPr>
            <w:t>四、 保障措施</w:t>
          </w:r>
          <w:r>
            <w:rPr>
              <w:rFonts w:hint="default" w:ascii="Times New Roman" w:hAnsi="Times New Roman" w:eastAsia="黑体" w:cs="Times New Roman"/>
              <w:bCs/>
              <w:sz w:val="28"/>
              <w:szCs w:val="28"/>
              <w:highlight w:val="none"/>
            </w:rPr>
            <w:tab/>
          </w:r>
          <w:r>
            <w:rPr>
              <w:rFonts w:hint="default" w:ascii="Times New Roman" w:hAnsi="Times New Roman" w:eastAsia="黑体" w:cs="Times New Roman"/>
              <w:bCs/>
              <w:sz w:val="28"/>
              <w:szCs w:val="28"/>
              <w:highlight w:val="none"/>
            </w:rPr>
            <w:fldChar w:fldCharType="begin"/>
          </w:r>
          <w:r>
            <w:rPr>
              <w:rFonts w:hint="default" w:ascii="Times New Roman" w:hAnsi="Times New Roman" w:eastAsia="黑体" w:cs="Times New Roman"/>
              <w:bCs/>
              <w:sz w:val="28"/>
              <w:szCs w:val="28"/>
              <w:highlight w:val="none"/>
            </w:rPr>
            <w:instrText xml:space="preserve"> PAGEREF _Toc27802 \h </w:instrText>
          </w:r>
          <w:r>
            <w:rPr>
              <w:rFonts w:hint="default" w:ascii="Times New Roman" w:hAnsi="Times New Roman" w:eastAsia="黑体" w:cs="Times New Roman"/>
              <w:bCs/>
              <w:sz w:val="28"/>
              <w:szCs w:val="28"/>
              <w:highlight w:val="none"/>
            </w:rPr>
            <w:fldChar w:fldCharType="separate"/>
          </w:r>
          <w:r>
            <w:rPr>
              <w:rFonts w:hint="default" w:ascii="Times New Roman" w:hAnsi="Times New Roman" w:eastAsia="黑体" w:cs="Times New Roman"/>
              <w:bCs/>
              <w:sz w:val="28"/>
              <w:szCs w:val="28"/>
              <w:highlight w:val="none"/>
            </w:rPr>
            <w:t>69</w:t>
          </w:r>
          <w:r>
            <w:rPr>
              <w:rFonts w:hint="default" w:ascii="Times New Roman" w:hAnsi="Times New Roman" w:eastAsia="黑体" w:cs="Times New Roman"/>
              <w:bCs/>
              <w:sz w:val="28"/>
              <w:szCs w:val="28"/>
              <w:highlight w:val="none"/>
            </w:rPr>
            <w:fldChar w:fldCharType="end"/>
          </w:r>
          <w:r>
            <w:rPr>
              <w:rFonts w:hint="default" w:ascii="Times New Roman" w:hAnsi="Times New Roman" w:eastAsia="黑体" w:cs="Times New Roman"/>
              <w:bCs/>
              <w:sz w:val="28"/>
              <w:szCs w:val="28"/>
              <w:highlight w:val="none"/>
            </w:rPr>
            <w:fldChar w:fldCharType="end"/>
          </w:r>
        </w:p>
        <w:p w14:paraId="3134B73A">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_Toc28141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（一） </w:t>
          </w:r>
          <w:r>
            <w:rPr>
              <w:rFonts w:hint="default" w:ascii="Times New Roman" w:hAnsi="Times New Roman" w:eastAsia="仿宋" w:cs="Times New Roman"/>
              <w:sz w:val="28"/>
              <w:szCs w:val="28"/>
              <w:highlight w:val="none"/>
            </w:rPr>
            <w:t>强化组织领导，压实工作推进责任</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_Toc28141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5BD63103">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_Toc22042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（二） </w:t>
          </w:r>
          <w:r>
            <w:rPr>
              <w:rFonts w:hint="default" w:ascii="Times New Roman" w:hAnsi="Times New Roman" w:eastAsia="仿宋" w:cs="Times New Roman"/>
              <w:sz w:val="28"/>
              <w:szCs w:val="28"/>
              <w:highlight w:val="none"/>
            </w:rPr>
            <w:t>深化政策衔接，健全制度保障体系</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_Toc22042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69</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57BFE244">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_Toc4882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（三） </w:t>
          </w:r>
          <w:r>
            <w:rPr>
              <w:rFonts w:hint="default" w:ascii="Times New Roman" w:hAnsi="Times New Roman" w:eastAsia="仿宋" w:cs="Times New Roman"/>
              <w:sz w:val="28"/>
              <w:szCs w:val="28"/>
              <w:highlight w:val="none"/>
            </w:rPr>
            <w:t>加大资金投入，拓宽多元融资渠道</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_Toc4882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70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0C7580ED">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_Toc3549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（四） </w:t>
          </w:r>
          <w:r>
            <w:rPr>
              <w:rFonts w:hint="default" w:ascii="Times New Roman" w:hAnsi="Times New Roman" w:eastAsia="仿宋" w:cs="Times New Roman"/>
              <w:sz w:val="28"/>
              <w:szCs w:val="28"/>
              <w:highlight w:val="none"/>
            </w:rPr>
            <w:t>聚焦项目赋能，夯实建设硬件支撑</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_Toc3549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70</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6BCA7563">
          <w:pPr>
            <w:pStyle w:val="13"/>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sz w:val="28"/>
              <w:szCs w:val="28"/>
            </w:rPr>
          </w:pPr>
          <w:r>
            <w:rPr>
              <w:rFonts w:hint="default" w:ascii="Times New Roman" w:hAnsi="Times New Roman" w:eastAsia="仿宋" w:cs="Times New Roman"/>
              <w:color w:val="0000FF"/>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_Toc4562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rPr>
            <w:t xml:space="preserve">（五） </w:t>
          </w:r>
          <w:r>
            <w:rPr>
              <w:rFonts w:hint="default" w:ascii="Times New Roman" w:hAnsi="Times New Roman" w:eastAsia="仿宋" w:cs="Times New Roman"/>
              <w:sz w:val="28"/>
              <w:szCs w:val="28"/>
              <w:highlight w:val="none"/>
            </w:rPr>
            <w:t>浓厚宣传氛围，构建全民共建格局</w:t>
          </w:r>
          <w:r>
            <w:rPr>
              <w:rFonts w:hint="default" w:ascii="Times New Roman" w:hAnsi="Times New Roman" w:eastAsia="仿宋" w:cs="Times New Roman"/>
              <w:sz w:val="28"/>
              <w:szCs w:val="28"/>
            </w:rPr>
            <w:tab/>
          </w:r>
          <w:r>
            <w:rPr>
              <w:rFonts w:hint="default" w:ascii="Times New Roman" w:hAnsi="Times New Roman" w:eastAsia="仿宋" w:cs="Times New Roman"/>
              <w:sz w:val="28"/>
              <w:szCs w:val="28"/>
            </w:rPr>
            <w:fldChar w:fldCharType="begin"/>
          </w:r>
          <w:r>
            <w:rPr>
              <w:rFonts w:hint="default" w:ascii="Times New Roman" w:hAnsi="Times New Roman" w:eastAsia="仿宋" w:cs="Times New Roman"/>
              <w:sz w:val="28"/>
              <w:szCs w:val="28"/>
            </w:rPr>
            <w:instrText xml:space="preserve"> PAGEREF _Toc4562 \h </w:instrText>
          </w:r>
          <w:r>
            <w:rPr>
              <w:rFonts w:hint="default" w:ascii="Times New Roman" w:hAnsi="Times New Roman" w:eastAsia="仿宋" w:cs="Times New Roman"/>
              <w:sz w:val="28"/>
              <w:szCs w:val="28"/>
            </w:rPr>
            <w:fldChar w:fldCharType="separate"/>
          </w:r>
          <w:r>
            <w:rPr>
              <w:rFonts w:hint="default" w:ascii="Times New Roman" w:hAnsi="Times New Roman" w:eastAsia="仿宋" w:cs="Times New Roman"/>
              <w:sz w:val="28"/>
              <w:szCs w:val="28"/>
            </w:rPr>
            <w:t>71</w:t>
          </w:r>
          <w:r>
            <w:rPr>
              <w:rFonts w:hint="default" w:ascii="Times New Roman" w:hAnsi="Times New Roman" w:eastAsia="仿宋" w:cs="Times New Roman"/>
              <w:sz w:val="28"/>
              <w:szCs w:val="28"/>
            </w:rPr>
            <w:fldChar w:fldCharType="end"/>
          </w:r>
          <w:r>
            <w:rPr>
              <w:rFonts w:hint="default" w:ascii="Times New Roman" w:hAnsi="Times New Roman" w:eastAsia="仿宋" w:cs="Times New Roman"/>
              <w:color w:val="0000FF"/>
              <w:sz w:val="28"/>
              <w:szCs w:val="28"/>
              <w:highlight w:val="none"/>
            </w:rPr>
            <w:fldChar w:fldCharType="end"/>
          </w:r>
        </w:p>
        <w:p w14:paraId="29338651">
          <w:pPr>
            <w:pStyle w:val="12"/>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Times New Roman" w:hAnsi="Times New Roman" w:eastAsia="黑体" w:cs="Times New Roman"/>
              <w:bCs/>
              <w:sz w:val="28"/>
              <w:szCs w:val="28"/>
              <w:highlight w:val="none"/>
            </w:rPr>
          </w:pPr>
          <w:r>
            <w:rPr>
              <w:rFonts w:hint="eastAsia" w:ascii="Times New Roman" w:hAnsi="Times New Roman" w:eastAsia="黑体" w:cs="Times New Roman"/>
              <w:bCs/>
              <w:sz w:val="28"/>
              <w:szCs w:val="28"/>
              <w:highlight w:val="none"/>
            </w:rPr>
            <w:fldChar w:fldCharType="begin"/>
          </w:r>
          <w:r>
            <w:rPr>
              <w:rFonts w:hint="eastAsia" w:ascii="Times New Roman" w:hAnsi="Times New Roman" w:eastAsia="黑体" w:cs="Times New Roman"/>
              <w:bCs/>
              <w:sz w:val="28"/>
              <w:szCs w:val="28"/>
              <w:highlight w:val="none"/>
            </w:rPr>
            <w:instrText xml:space="preserve"> HYPERLINK \l _Toc19621 </w:instrText>
          </w:r>
          <w:r>
            <w:rPr>
              <w:rFonts w:hint="eastAsia" w:ascii="Times New Roman" w:hAnsi="Times New Roman" w:eastAsia="黑体" w:cs="Times New Roman"/>
              <w:bCs/>
              <w:sz w:val="28"/>
              <w:szCs w:val="28"/>
              <w:highlight w:val="none"/>
            </w:rPr>
            <w:fldChar w:fldCharType="separate"/>
          </w:r>
          <w:r>
            <w:rPr>
              <w:rFonts w:hint="eastAsia" w:ascii="Times New Roman" w:hAnsi="Times New Roman" w:eastAsia="黑体" w:cs="Times New Roman"/>
              <w:bCs/>
              <w:sz w:val="28"/>
              <w:szCs w:val="28"/>
              <w:highlight w:val="none"/>
            </w:rPr>
            <w:t>五、 重点工程</w:t>
          </w:r>
          <w:r>
            <w:rPr>
              <w:rFonts w:hint="eastAsia" w:ascii="Times New Roman" w:hAnsi="Times New Roman" w:eastAsia="黑体" w:cs="Times New Roman"/>
              <w:bCs/>
              <w:sz w:val="28"/>
              <w:szCs w:val="28"/>
              <w:highlight w:val="none"/>
            </w:rPr>
            <w:tab/>
          </w:r>
          <w:r>
            <w:rPr>
              <w:rFonts w:hint="eastAsia" w:ascii="Times New Roman" w:hAnsi="Times New Roman" w:eastAsia="黑体" w:cs="Times New Roman"/>
              <w:bCs/>
              <w:sz w:val="28"/>
              <w:szCs w:val="28"/>
              <w:highlight w:val="none"/>
            </w:rPr>
            <w:fldChar w:fldCharType="begin"/>
          </w:r>
          <w:r>
            <w:rPr>
              <w:rFonts w:hint="eastAsia" w:ascii="Times New Roman" w:hAnsi="Times New Roman" w:eastAsia="黑体" w:cs="Times New Roman"/>
              <w:bCs/>
              <w:sz w:val="28"/>
              <w:szCs w:val="28"/>
              <w:highlight w:val="none"/>
            </w:rPr>
            <w:instrText xml:space="preserve"> PAGEREF _Toc19621 \h </w:instrText>
          </w:r>
          <w:r>
            <w:rPr>
              <w:rFonts w:hint="eastAsia" w:ascii="Times New Roman" w:hAnsi="Times New Roman" w:eastAsia="黑体" w:cs="Times New Roman"/>
              <w:bCs/>
              <w:sz w:val="28"/>
              <w:szCs w:val="28"/>
              <w:highlight w:val="none"/>
            </w:rPr>
            <w:fldChar w:fldCharType="separate"/>
          </w:r>
          <w:r>
            <w:rPr>
              <w:rFonts w:hint="eastAsia" w:ascii="Times New Roman" w:hAnsi="Times New Roman" w:eastAsia="黑体" w:cs="Times New Roman"/>
              <w:bCs/>
              <w:sz w:val="28"/>
              <w:szCs w:val="28"/>
              <w:highlight w:val="none"/>
            </w:rPr>
            <w:t>72</w:t>
          </w:r>
          <w:r>
            <w:rPr>
              <w:rFonts w:hint="eastAsia" w:ascii="Times New Roman" w:hAnsi="Times New Roman" w:eastAsia="黑体" w:cs="Times New Roman"/>
              <w:bCs/>
              <w:sz w:val="28"/>
              <w:szCs w:val="28"/>
              <w:highlight w:val="none"/>
            </w:rPr>
            <w:fldChar w:fldCharType="end"/>
          </w:r>
          <w:r>
            <w:rPr>
              <w:rFonts w:hint="eastAsia" w:ascii="Times New Roman" w:hAnsi="Times New Roman" w:eastAsia="黑体" w:cs="Times New Roman"/>
              <w:bCs/>
              <w:sz w:val="28"/>
              <w:szCs w:val="28"/>
              <w:highlight w:val="none"/>
            </w:rPr>
            <w:fldChar w:fldCharType="end"/>
          </w:r>
        </w:p>
        <w:p w14:paraId="233B57AF">
          <w:pPr>
            <w:pStyle w:val="12"/>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pPr>
          <w:r>
            <w:rPr>
              <w:rFonts w:hint="eastAsia" w:ascii="Times New Roman" w:hAnsi="Times New Roman" w:eastAsia="黑体" w:cs="Times New Roman"/>
              <w:bCs/>
              <w:sz w:val="28"/>
              <w:szCs w:val="28"/>
              <w:highlight w:val="none"/>
            </w:rPr>
            <w:fldChar w:fldCharType="begin"/>
          </w:r>
          <w:r>
            <w:rPr>
              <w:rFonts w:hint="eastAsia" w:ascii="Times New Roman" w:hAnsi="Times New Roman" w:eastAsia="黑体" w:cs="Times New Roman"/>
              <w:bCs/>
              <w:sz w:val="28"/>
              <w:szCs w:val="28"/>
              <w:highlight w:val="none"/>
            </w:rPr>
            <w:instrText xml:space="preserve"> HYPERLINK \l _Toc7435 </w:instrText>
          </w:r>
          <w:r>
            <w:rPr>
              <w:rFonts w:hint="eastAsia" w:ascii="Times New Roman" w:hAnsi="Times New Roman" w:eastAsia="黑体" w:cs="Times New Roman"/>
              <w:bCs/>
              <w:sz w:val="28"/>
              <w:szCs w:val="28"/>
              <w:highlight w:val="none"/>
            </w:rPr>
            <w:fldChar w:fldCharType="separate"/>
          </w:r>
          <w:r>
            <w:rPr>
              <w:rFonts w:hint="eastAsia" w:ascii="Times New Roman" w:hAnsi="Times New Roman" w:eastAsia="黑体" w:cs="Times New Roman"/>
              <w:bCs/>
              <w:sz w:val="28"/>
              <w:szCs w:val="28"/>
              <w:highlight w:val="none"/>
              <w:lang w:val="en-US" w:eastAsia="zh-CN"/>
            </w:rPr>
            <w:t>六、</w:t>
          </w:r>
          <w:r>
            <w:rPr>
              <w:rFonts w:hint="eastAsia" w:ascii="Times New Roman" w:hAnsi="Times New Roman" w:eastAsia="黑体" w:cs="Times New Roman"/>
              <w:bCs/>
              <w:sz w:val="28"/>
              <w:szCs w:val="28"/>
              <w:highlight w:val="none"/>
            </w:rPr>
            <w:t>美丽</w:t>
          </w:r>
          <w:r>
            <w:rPr>
              <w:rFonts w:hint="eastAsia" w:ascii="Times New Roman" w:hAnsi="Times New Roman" w:eastAsia="黑体" w:cs="Times New Roman"/>
              <w:bCs/>
              <w:sz w:val="28"/>
              <w:szCs w:val="28"/>
              <w:highlight w:val="none"/>
              <w:lang w:eastAsia="zh-CN"/>
            </w:rPr>
            <w:t>阿坝</w:t>
          </w:r>
          <w:r>
            <w:rPr>
              <w:rFonts w:hint="eastAsia" w:ascii="Times New Roman" w:hAnsi="Times New Roman" w:eastAsia="黑体" w:cs="Times New Roman"/>
              <w:bCs/>
              <w:sz w:val="28"/>
              <w:szCs w:val="28"/>
              <w:highlight w:val="none"/>
            </w:rPr>
            <w:t>建设指标体系</w:t>
          </w:r>
          <w:r>
            <w:rPr>
              <w:rFonts w:hint="eastAsia" w:ascii="Times New Roman" w:hAnsi="Times New Roman" w:eastAsia="黑体" w:cs="Times New Roman"/>
              <w:bCs/>
              <w:sz w:val="28"/>
              <w:szCs w:val="28"/>
              <w:highlight w:val="none"/>
            </w:rPr>
            <w:tab/>
          </w:r>
          <w:r>
            <w:rPr>
              <w:rFonts w:hint="eastAsia" w:ascii="Times New Roman" w:hAnsi="Times New Roman" w:eastAsia="黑体" w:cs="Times New Roman"/>
              <w:bCs/>
              <w:sz w:val="28"/>
              <w:szCs w:val="28"/>
              <w:highlight w:val="none"/>
            </w:rPr>
            <w:fldChar w:fldCharType="begin"/>
          </w:r>
          <w:r>
            <w:rPr>
              <w:rFonts w:hint="eastAsia" w:ascii="Times New Roman" w:hAnsi="Times New Roman" w:eastAsia="黑体" w:cs="Times New Roman"/>
              <w:bCs/>
              <w:sz w:val="28"/>
              <w:szCs w:val="28"/>
              <w:highlight w:val="none"/>
            </w:rPr>
            <w:instrText xml:space="preserve"> PAGEREF _Toc7435 \h </w:instrText>
          </w:r>
          <w:r>
            <w:rPr>
              <w:rFonts w:hint="eastAsia" w:ascii="Times New Roman" w:hAnsi="Times New Roman" w:eastAsia="黑体" w:cs="Times New Roman"/>
              <w:bCs/>
              <w:sz w:val="28"/>
              <w:szCs w:val="28"/>
              <w:highlight w:val="none"/>
            </w:rPr>
            <w:fldChar w:fldCharType="separate"/>
          </w:r>
          <w:r>
            <w:rPr>
              <w:rFonts w:hint="eastAsia" w:ascii="Times New Roman" w:hAnsi="Times New Roman" w:eastAsia="黑体" w:cs="Times New Roman"/>
              <w:bCs/>
              <w:sz w:val="28"/>
              <w:szCs w:val="28"/>
              <w:highlight w:val="none"/>
            </w:rPr>
            <w:t>92</w:t>
          </w:r>
          <w:r>
            <w:rPr>
              <w:rFonts w:hint="eastAsia" w:ascii="Times New Roman" w:hAnsi="Times New Roman" w:eastAsia="黑体" w:cs="Times New Roman"/>
              <w:bCs/>
              <w:sz w:val="28"/>
              <w:szCs w:val="28"/>
              <w:highlight w:val="none"/>
            </w:rPr>
            <w:fldChar w:fldCharType="end"/>
          </w:r>
          <w:r>
            <w:rPr>
              <w:rFonts w:hint="eastAsia" w:ascii="Times New Roman" w:hAnsi="Times New Roman" w:eastAsia="黑体" w:cs="Times New Roman"/>
              <w:bCs/>
              <w:sz w:val="28"/>
              <w:szCs w:val="28"/>
              <w:highlight w:val="none"/>
            </w:rPr>
            <w:fldChar w:fldCharType="end"/>
          </w:r>
        </w:p>
        <w:p w14:paraId="70453091">
          <w:pPr>
            <w:keepNext w:val="0"/>
            <w:keepLines w:val="0"/>
            <w:pageBreakBefore w:val="0"/>
            <w:widowControl w:val="0"/>
            <w:shd w:val="clear"/>
            <w:kinsoku/>
            <w:wordWrap/>
            <w:overflowPunct/>
            <w:topLinePunct w:val="0"/>
            <w:autoSpaceDE/>
            <w:autoSpaceDN/>
            <w:bidi w:val="0"/>
            <w:adjustRightInd/>
            <w:snapToGrid/>
            <w:spacing w:line="480" w:lineRule="exact"/>
            <w:textAlignment w:val="auto"/>
            <w:rPr>
              <w:rFonts w:hint="eastAsia" w:ascii="宋体" w:hAnsi="宋体" w:eastAsia="黑体" w:cs="Times New Roman"/>
              <w:bCs/>
              <w:color w:val="0000FF"/>
              <w:sz w:val="32"/>
              <w:szCs w:val="48"/>
              <w:highlight w:val="none"/>
            </w:rPr>
            <w:sectPr>
              <w:footerReference r:id="rId3" w:type="default"/>
              <w:footerReference r:id="rId4" w:type="even"/>
              <w:pgSz w:w="11906" w:h="16838"/>
              <w:pgMar w:top="2098" w:right="1474" w:bottom="1984" w:left="1587" w:header="851" w:footer="1417" w:gutter="0"/>
              <w:pgNumType w:fmt="decimal" w:start="1"/>
              <w:cols w:space="0" w:num="1"/>
              <w:docGrid w:type="lines" w:linePitch="312" w:charSpace="0"/>
            </w:sectPr>
          </w:pPr>
          <w:r>
            <w:rPr>
              <w:rFonts w:hint="default" w:ascii="Times New Roman" w:hAnsi="Times New Roman" w:eastAsia="仿宋_GB2312" w:cs="Times New Roman"/>
              <w:color w:val="0000FF"/>
              <w:szCs w:val="28"/>
              <w:highlight w:val="none"/>
            </w:rPr>
            <w:fldChar w:fldCharType="end"/>
          </w:r>
        </w:p>
      </w:sdtContent>
    </w:sdt>
    <w:p w14:paraId="438A0F81">
      <w:pPr>
        <w:pStyle w:val="2"/>
        <w:keepNext w:val="0"/>
        <w:keepLines w:val="0"/>
        <w:shd w:val="clear"/>
        <w:tabs>
          <w:tab w:val="center" w:pos="4212"/>
          <w:tab w:val="left" w:pos="5716"/>
        </w:tabs>
        <w:topLinePunct/>
        <w:spacing w:before="0" w:after="100" w:afterAutospacing="1" w:line="576" w:lineRule="exact"/>
        <w:jc w:val="left"/>
        <w:rPr>
          <w:rFonts w:hint="eastAsia" w:ascii="方正小标宋_GBK" w:hAnsi="方正小标宋_GBK" w:eastAsia="方正小标宋_GBK" w:cs="方正小标宋_GBK"/>
          <w:b/>
          <w:bCs/>
          <w:color w:val="000000" w:themeColor="text1"/>
          <w:kern w:val="2"/>
          <w:sz w:val="36"/>
          <w:szCs w:val="36"/>
          <w:highlight w:val="none"/>
          <w:lang w:val="en-US" w:eastAsia="zh-CN" w:bidi="ar-SA"/>
          <w14:textFill>
            <w14:solidFill>
              <w14:schemeClr w14:val="tx1"/>
            </w14:solidFill>
          </w14:textFill>
        </w:rPr>
      </w:pPr>
      <w:r>
        <w:rPr>
          <w:rFonts w:hint="eastAsia" w:ascii="宋体" w:hAnsi="宋体" w:eastAsia="黑体" w:cs="Times New Roman"/>
          <w:bCs/>
          <w:color w:val="0000FF"/>
          <w:sz w:val="32"/>
          <w:szCs w:val="48"/>
          <w:highlight w:val="none"/>
        </w:rPr>
        <w:tab/>
      </w:r>
      <w:bookmarkStart w:id="0" w:name="_Toc24651"/>
      <w:r>
        <w:rPr>
          <w:rFonts w:hint="eastAsia" w:ascii="方正小标宋_GBK" w:hAnsi="方正小标宋_GBK" w:eastAsia="方正小标宋_GBK" w:cs="方正小标宋_GBK"/>
          <w:b/>
          <w:bCs/>
          <w:color w:val="000000" w:themeColor="text1"/>
          <w:kern w:val="2"/>
          <w:sz w:val="36"/>
          <w:szCs w:val="36"/>
          <w:highlight w:val="none"/>
          <w:lang w:val="en-US" w:eastAsia="zh-CN" w:bidi="ar-SA"/>
          <w14:textFill>
            <w14:solidFill>
              <w14:schemeClr w14:val="tx1"/>
            </w14:solidFill>
          </w14:textFill>
        </w:rPr>
        <w:t>前 言</w:t>
      </w:r>
      <w:bookmarkEnd w:id="0"/>
    </w:p>
    <w:p w14:paraId="2281A6B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themeColor="text1"/>
          <w:sz w:val="32"/>
          <w:szCs w:val="48"/>
          <w:highlight w:val="none"/>
          <w14:textFill>
            <w14:solidFill>
              <w14:schemeClr w14:val="tx1"/>
            </w14:solidFill>
          </w14:textFill>
        </w:rPr>
      </w:pPr>
      <w:r>
        <w:rPr>
          <w:rFonts w:hint="eastAsia" w:ascii="Times New Roman" w:hAnsi="Times New Roman" w:eastAsia="仿宋_GB2312" w:cs="Times New Roman"/>
          <w:color w:val="000000" w:themeColor="text1"/>
          <w:sz w:val="32"/>
          <w:szCs w:val="48"/>
          <w:highlight w:val="none"/>
          <w14:textFill>
            <w14:solidFill>
              <w14:schemeClr w14:val="tx1"/>
            </w14:solidFill>
          </w14:textFill>
        </w:rPr>
        <w:t>全面推进美丽中国建设，实现人与自然和谐共生的现代化，是实现中华民族伟大复兴中国梦的重要内容。党的二十大明确指出，到2035年，美丽中国建设的目标要基本实现。党的二十届三中全会聚焦建设美丽中国，对深化生态文明体制改革作出部署。全国生态环境保护大会指出要把建设美丽中国摆在强国建设、民族复兴的突出位置。</w:t>
      </w:r>
      <w:r>
        <w:rPr>
          <w:rFonts w:ascii="Times New Roman" w:hAnsi="Times New Roman" w:eastAsia="仿宋_GB2312" w:cs="Times New Roman"/>
          <w:color w:val="000000" w:themeColor="text1"/>
          <w:sz w:val="32"/>
          <w:szCs w:val="48"/>
          <w:highlight w:val="none"/>
          <w14:textFill>
            <w14:solidFill>
              <w14:schemeClr w14:val="tx1"/>
            </w14:solidFill>
          </w14:textFill>
        </w:rPr>
        <w:t>《中共中央 国务院关于全面推进美丽中国建设的意见》，明确了新时代推进美丽中国建设</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w:t>
      </w:r>
      <w:r>
        <w:rPr>
          <w:rFonts w:ascii="Times New Roman" w:hAnsi="Times New Roman" w:eastAsia="仿宋_GB2312" w:cs="Times New Roman"/>
          <w:color w:val="000000" w:themeColor="text1"/>
          <w:sz w:val="32"/>
          <w:szCs w:val="48"/>
          <w:highlight w:val="none"/>
          <w14:textFill>
            <w14:solidFill>
              <w14:schemeClr w14:val="tx1"/>
            </w14:solidFill>
          </w14:textFill>
        </w:rPr>
        <w:t>三阶段</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w:t>
      </w:r>
      <w:r>
        <w:rPr>
          <w:rFonts w:ascii="Times New Roman" w:hAnsi="Times New Roman" w:eastAsia="仿宋_GB2312" w:cs="Times New Roman"/>
          <w:color w:val="000000" w:themeColor="text1"/>
          <w:sz w:val="32"/>
          <w:szCs w:val="48"/>
          <w:highlight w:val="none"/>
          <w14:textFill>
            <w14:solidFill>
              <w14:schemeClr w14:val="tx1"/>
            </w14:solidFill>
          </w14:textFill>
        </w:rPr>
        <w:t>目标，为全面建设美丽中国建设擂响了战鼓。习近平总书记多次来川视察，要求四川要在</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w:t>
      </w:r>
      <w:r>
        <w:rPr>
          <w:rFonts w:ascii="Times New Roman" w:hAnsi="Times New Roman" w:eastAsia="仿宋_GB2312" w:cs="Times New Roman"/>
          <w:color w:val="000000" w:themeColor="text1"/>
          <w:sz w:val="32"/>
          <w:szCs w:val="48"/>
          <w:highlight w:val="none"/>
          <w14:textFill>
            <w14:solidFill>
              <w14:schemeClr w14:val="tx1"/>
            </w14:solidFill>
          </w14:textFill>
        </w:rPr>
        <w:t>筑牢长江黄河上游生态屏障上持续发力</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w:t>
      </w:r>
      <w:r>
        <w:rPr>
          <w:rFonts w:ascii="Times New Roman" w:hAnsi="Times New Roman" w:eastAsia="仿宋_GB2312" w:cs="Times New Roman"/>
          <w:color w:val="000000" w:themeColor="text1"/>
          <w:sz w:val="32"/>
          <w:szCs w:val="48"/>
          <w:highlight w:val="none"/>
          <w14:textFill>
            <w14:solidFill>
              <w14:schemeClr w14:val="tx1"/>
            </w14:solidFill>
          </w14:textFill>
        </w:rPr>
        <w:t>把生态文明建设这篇大文章做好</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w:t>
      </w:r>
      <w:r>
        <w:rPr>
          <w:rFonts w:ascii="Times New Roman" w:hAnsi="Times New Roman" w:eastAsia="仿宋_GB2312" w:cs="Times New Roman"/>
          <w:color w:val="000000" w:themeColor="text1"/>
          <w:sz w:val="32"/>
          <w:szCs w:val="48"/>
          <w:highlight w:val="none"/>
          <w14:textFill>
            <w14:solidFill>
              <w14:schemeClr w14:val="tx1"/>
            </w14:solidFill>
          </w14:textFill>
        </w:rPr>
        <w:t>。省委、省政府高度重视美丽</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四川</w:t>
      </w:r>
      <w:r>
        <w:rPr>
          <w:rFonts w:ascii="Times New Roman" w:hAnsi="Times New Roman" w:eastAsia="仿宋_GB2312" w:cs="Times New Roman"/>
          <w:color w:val="000000" w:themeColor="text1"/>
          <w:sz w:val="32"/>
          <w:szCs w:val="48"/>
          <w:highlight w:val="none"/>
          <w14:textFill>
            <w14:solidFill>
              <w14:schemeClr w14:val="tx1"/>
            </w14:solidFill>
          </w14:textFill>
        </w:rPr>
        <w:t>建设，印发《美丽四川建设战略规划纲要（2022—2035年）》，明确了美丽四川建设的总体要求、战略目标、重点任务等</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阿坝</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州委、州政府高度重视</w:t>
      </w:r>
      <w:r>
        <w:rPr>
          <w:rFonts w:ascii="Times New Roman" w:hAnsi="Times New Roman" w:eastAsia="仿宋_GB2312" w:cs="Times New Roman"/>
          <w:color w:val="000000" w:themeColor="text1"/>
          <w:sz w:val="32"/>
          <w:szCs w:val="48"/>
          <w:highlight w:val="none"/>
          <w14:textFill>
            <w14:solidFill>
              <w14:schemeClr w14:val="tx1"/>
            </w14:solidFill>
          </w14:textFill>
        </w:rPr>
        <w:t>省委、省政府关于全面推进美丽四川建设的工作要求</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w:t>
      </w:r>
      <w:r>
        <w:rPr>
          <w:rFonts w:ascii="Times New Roman" w:hAnsi="Times New Roman" w:eastAsia="仿宋_GB2312" w:cs="Times New Roman"/>
          <w:color w:val="000000" w:themeColor="text1"/>
          <w:sz w:val="32"/>
          <w:szCs w:val="48"/>
          <w:highlight w:val="none"/>
          <w14:textFill>
            <w14:solidFill>
              <w14:schemeClr w14:val="tx1"/>
            </w14:solidFill>
          </w14:textFill>
        </w:rPr>
        <w:t>将美丽</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阿坝</w:t>
      </w:r>
      <w:r>
        <w:rPr>
          <w:rFonts w:ascii="Times New Roman" w:hAnsi="Times New Roman" w:eastAsia="仿宋_GB2312" w:cs="Times New Roman"/>
          <w:color w:val="000000" w:themeColor="text1"/>
          <w:sz w:val="32"/>
          <w:szCs w:val="48"/>
          <w:highlight w:val="none"/>
          <w14:textFill>
            <w14:solidFill>
              <w14:schemeClr w14:val="tx1"/>
            </w14:solidFill>
          </w14:textFill>
        </w:rPr>
        <w:t>建设融入州委</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1+4’全域美丽”</w:t>
      </w:r>
      <w:r>
        <w:rPr>
          <w:rFonts w:ascii="Times New Roman" w:hAnsi="Times New Roman" w:eastAsia="仿宋_GB2312" w:cs="Times New Roman"/>
          <w:color w:val="000000" w:themeColor="text1"/>
          <w:sz w:val="32"/>
          <w:szCs w:val="48"/>
          <w:highlight w:val="none"/>
          <w14:textFill>
            <w14:solidFill>
              <w14:schemeClr w14:val="tx1"/>
            </w14:solidFill>
          </w14:textFill>
        </w:rPr>
        <w:t>建设</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，印发了《美丽</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阿坝</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建设规划（202</w:t>
      </w:r>
      <w:r>
        <w:rPr>
          <w:rFonts w:hint="eastAsia" w:ascii="Times New Roman" w:hAnsi="Times New Roman" w:eastAsia="仿宋_GB2312" w:cs="Times New Roman"/>
          <w:color w:val="000000" w:themeColor="text1"/>
          <w:sz w:val="32"/>
          <w:szCs w:val="48"/>
          <w:highlight w:val="none"/>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—2035年）》，明确了美丽</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阿坝</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建设的总体目标、具体路径和重点任务，</w:t>
      </w:r>
      <w:r>
        <w:rPr>
          <w:rFonts w:ascii="Times New Roman" w:hAnsi="Times New Roman" w:eastAsia="仿宋_GB2312" w:cs="Times New Roman"/>
          <w:color w:val="000000" w:themeColor="text1"/>
          <w:sz w:val="32"/>
          <w:szCs w:val="48"/>
          <w:highlight w:val="none"/>
          <w14:textFill>
            <w14:solidFill>
              <w14:schemeClr w14:val="tx1"/>
            </w14:solidFill>
          </w14:textFill>
        </w:rPr>
        <w:t>为美丽</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阿坝</w:t>
      </w:r>
      <w:r>
        <w:rPr>
          <w:rFonts w:ascii="Times New Roman" w:hAnsi="Times New Roman" w:eastAsia="仿宋_GB2312" w:cs="Times New Roman"/>
          <w:color w:val="000000" w:themeColor="text1"/>
          <w:sz w:val="32"/>
          <w:szCs w:val="48"/>
          <w:highlight w:val="none"/>
          <w14:textFill>
            <w14:solidFill>
              <w14:schemeClr w14:val="tx1"/>
            </w14:solidFill>
          </w14:textFill>
        </w:rPr>
        <w:t>建设指明了前进方向。</w:t>
      </w:r>
    </w:p>
    <w:p w14:paraId="43CF6FC9">
      <w:pPr>
        <w:keepNext w:val="0"/>
        <w:keepLines w:val="0"/>
        <w:pageBreakBefore w:val="0"/>
        <w:widowControl w:val="0"/>
        <w:shd w:val="clear"/>
        <w:tabs>
          <w:tab w:val="left" w:pos="209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sz w:val="32"/>
          <w:szCs w:val="48"/>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48"/>
          <w:highlight w:val="none"/>
          <w14:textFill>
            <w14:solidFill>
              <w14:schemeClr w14:val="tx1"/>
            </w14:solidFill>
          </w14:textFill>
        </w:rPr>
        <w:t>阿坝县位于青藏高原东南缘、四川省西北部，地处川甘青三省结合部，平均海拔约3300米，属典型的高原寒温带半湿润季风气候区，是川西北大草原重要组成部分。境内野生动植物资源富集，长江、黄河水系支流麻尔曲、阿柯河、贾曲河纵贯全境，湿地、草原、森林生态系统完整，生态地位、战略地位极为关键，是长江黄河上游重要水源涵养地与补给区、国家“两屏三带”生态安全战略格局核心区域，在筑牢青藏高原生态安全屏障、维护长江黄河流域生态平衡中具有不可替代的作用。境内生态文旅资源得天独厚，有国家4A级旅游景区3个、国家3A级旅游景区多个，莲宝叶则景区获评国家级地质公园与“中国最具潜力新美景”，漫泽塘湿地大草原被誉为“地球之肾”“千</w:t>
      </w:r>
      <w:r>
        <w:rPr>
          <w:rFonts w:hint="eastAsia" w:ascii="Times New Roman" w:hAnsi="Times New Roman" w:eastAsia="仿宋_GB2312" w:cs="Times New Roman"/>
          <w:color w:val="000000" w:themeColor="text1"/>
          <w:sz w:val="32"/>
          <w:szCs w:val="48"/>
          <w:highlight w:val="none"/>
          <w:lang w:val="en-US" w:eastAsia="zh-CN"/>
          <w14:textFill>
            <w14:solidFill>
              <w14:schemeClr w14:val="tx1"/>
            </w14:solidFill>
          </w14:textFill>
        </w:rPr>
        <w:t>湾</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湿地・童话牧场”，神座景区素有“世外桃源”美誉</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w:t>
      </w:r>
    </w:p>
    <w:p w14:paraId="62E5DF65">
      <w:pPr>
        <w:keepNext w:val="0"/>
        <w:keepLines w:val="0"/>
        <w:pageBreakBefore w:val="0"/>
        <w:widowControl w:val="0"/>
        <w:shd w:val="clear"/>
        <w:tabs>
          <w:tab w:val="left" w:pos="2090"/>
        </w:tabs>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themeColor="text1"/>
          <w:sz w:val="32"/>
          <w:szCs w:val="48"/>
          <w:highlight w:val="none"/>
          <w14:textFill>
            <w14:solidFill>
              <w14:schemeClr w14:val="tx1"/>
            </w14:solidFill>
          </w14:textFill>
        </w:rPr>
      </w:pP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阿坝县深入贯彻习近平生态文明思想，认真落实党中央和国务院、省委和省政府关于生态文明建设的决策部署，坚定不移实施“生态立县、绿色兴县”发展战略，全县生态文明建设迈出坚实步伐、取得显著成效。2024年，阿坝州成功创建国家生态文明建设示范州，阿坝县作为重要组成部分同步巩固提升示范成果。境内漫泽塘（曼扎塘）湿地纳入黄河上游重要湿地保护体系，是国际重要湿地—若尔盖湿地的关键延伸区。阿坝县积极探索生态价值转化，依托高原湿地与草原资源推进林草碳汇试点，参与构建阿坝州林草碳汇开发新格局。阿坝县持续夯实基层生态治理，深化“河湖长+林草长+检察长+警长”协同机制，着力打造“秘境阿坝・生态天堂”靓丽名片，全力建设宜居、宜业、宜游的“川甘青生态明珠・高原康养胜地”。阿坝</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县作为</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阿坝</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州的重要组成部分</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积极响应州委、州政府号召建设美丽</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阿坝</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州的具体行动中，</w:t>
      </w:r>
      <w:r>
        <w:rPr>
          <w:rFonts w:ascii="Times New Roman" w:hAnsi="Times New Roman" w:eastAsia="仿宋_GB2312" w:cs="Times New Roman"/>
          <w:color w:val="000000" w:themeColor="text1"/>
          <w:sz w:val="32"/>
          <w:szCs w:val="48"/>
          <w:highlight w:val="none"/>
          <w14:textFill>
            <w14:solidFill>
              <w14:schemeClr w14:val="tx1"/>
            </w14:solidFill>
          </w14:textFill>
        </w:rPr>
        <w:t>目前已组织编制《美丽</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阿坝</w:t>
      </w:r>
      <w:r>
        <w:rPr>
          <w:rFonts w:ascii="Times New Roman" w:hAnsi="Times New Roman" w:eastAsia="仿宋_GB2312" w:cs="Times New Roman"/>
          <w:color w:val="000000" w:themeColor="text1"/>
          <w:sz w:val="32"/>
          <w:szCs w:val="48"/>
          <w:highlight w:val="none"/>
          <w14:textFill>
            <w14:solidFill>
              <w14:schemeClr w14:val="tx1"/>
            </w14:solidFill>
          </w14:textFill>
        </w:rPr>
        <w:t>建设实施方案（202</w:t>
      </w:r>
      <w:r>
        <w:rPr>
          <w:rFonts w:hint="eastAsia" w:ascii="Times New Roman" w:hAnsi="Times New Roman" w:eastAsia="仿宋_GB2312" w:cs="Times New Roman"/>
          <w:color w:val="000000" w:themeColor="text1"/>
          <w:sz w:val="32"/>
          <w:szCs w:val="48"/>
          <w:highlight w:val="none"/>
          <w:lang w:val="en-US" w:eastAsia="zh-CN"/>
          <w14:textFill>
            <w14:solidFill>
              <w14:schemeClr w14:val="tx1"/>
            </w14:solidFill>
          </w14:textFill>
        </w:rPr>
        <w:t>6</w:t>
      </w:r>
      <w:r>
        <w:rPr>
          <w:rFonts w:ascii="Times New Roman" w:hAnsi="Times New Roman" w:eastAsia="仿宋_GB2312" w:cs="Times New Roman"/>
          <w:color w:val="000000" w:themeColor="text1"/>
          <w:sz w:val="32"/>
          <w:szCs w:val="48"/>
          <w:highlight w:val="none"/>
          <w14:textFill>
            <w14:solidFill>
              <w14:schemeClr w14:val="tx1"/>
            </w14:solidFill>
          </w14:textFill>
        </w:rPr>
        <w:t>—203</w:t>
      </w:r>
      <w:r>
        <w:rPr>
          <w:rFonts w:hint="eastAsia" w:ascii="Times New Roman" w:hAnsi="Times New Roman" w:eastAsia="仿宋_GB2312" w:cs="Times New Roman"/>
          <w:color w:val="000000" w:themeColor="text1"/>
          <w:sz w:val="32"/>
          <w:szCs w:val="48"/>
          <w:highlight w:val="none"/>
          <w:lang w:val="en-US" w:eastAsia="zh-CN"/>
          <w14:textFill>
            <w14:solidFill>
              <w14:schemeClr w14:val="tx1"/>
            </w14:solidFill>
          </w14:textFill>
        </w:rPr>
        <w:t>0</w:t>
      </w:r>
      <w:r>
        <w:rPr>
          <w:rFonts w:ascii="Times New Roman" w:hAnsi="Times New Roman" w:eastAsia="仿宋_GB2312" w:cs="Times New Roman"/>
          <w:color w:val="000000" w:themeColor="text1"/>
          <w:sz w:val="32"/>
          <w:szCs w:val="48"/>
          <w:highlight w:val="none"/>
          <w14:textFill>
            <w14:solidFill>
              <w14:schemeClr w14:val="tx1"/>
            </w14:solidFill>
          </w14:textFill>
        </w:rPr>
        <w:t>年）》（以下简称《方案》），探索各美其美的建设路径，为</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最终实现</w:t>
      </w:r>
      <w:r>
        <w:rPr>
          <w:rFonts w:ascii="Times New Roman" w:hAnsi="Times New Roman" w:eastAsia="仿宋_GB2312" w:cs="Times New Roman"/>
          <w:color w:val="000000" w:themeColor="text1"/>
          <w:sz w:val="32"/>
          <w:szCs w:val="48"/>
          <w:highlight w:val="none"/>
          <w14:textFill>
            <w14:solidFill>
              <w14:schemeClr w14:val="tx1"/>
            </w14:solidFill>
          </w14:textFill>
        </w:rPr>
        <w:t>美丽中国</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宏伟蓝图</w:t>
      </w:r>
      <w:r>
        <w:rPr>
          <w:rFonts w:ascii="Times New Roman" w:hAnsi="Times New Roman" w:eastAsia="仿宋_GB2312" w:cs="Times New Roman"/>
          <w:color w:val="000000" w:themeColor="text1"/>
          <w:sz w:val="32"/>
          <w:szCs w:val="48"/>
          <w:highlight w:val="none"/>
          <w14:textFill>
            <w14:solidFill>
              <w14:schemeClr w14:val="tx1"/>
            </w14:solidFill>
          </w14:textFill>
        </w:rPr>
        <w:t>贡献</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阿坝</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智慧和</w:t>
      </w:r>
      <w:r>
        <w:rPr>
          <w:rFonts w:ascii="Times New Roman" w:hAnsi="Times New Roman" w:eastAsia="仿宋_GB2312" w:cs="Times New Roman"/>
          <w:color w:val="000000" w:themeColor="text1"/>
          <w:sz w:val="32"/>
          <w:szCs w:val="48"/>
          <w:highlight w:val="none"/>
          <w14:textFill>
            <w14:solidFill>
              <w14:schemeClr w14:val="tx1"/>
            </w14:solidFill>
          </w14:textFill>
        </w:rPr>
        <w:t>力量。</w:t>
      </w:r>
    </w:p>
    <w:p w14:paraId="27B81DE1">
      <w:pPr>
        <w:keepNext w:val="0"/>
        <w:keepLines w:val="0"/>
        <w:pageBreakBefore w:val="0"/>
        <w:widowControl w:val="0"/>
        <w:shd w:val="clear"/>
        <w:tabs>
          <w:tab w:val="left" w:pos="2090"/>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FF"/>
          <w:sz w:val="32"/>
          <w:szCs w:val="48"/>
          <w:highlight w:val="none"/>
          <w:lang w:eastAsia="zh-CN"/>
        </w:rPr>
      </w:pPr>
      <w:r>
        <w:rPr>
          <w:rFonts w:ascii="Times New Roman" w:hAnsi="Times New Roman" w:eastAsia="仿宋_GB2312" w:cs="Times New Roman"/>
          <w:color w:val="000000" w:themeColor="text1"/>
          <w:sz w:val="32"/>
          <w:szCs w:val="48"/>
          <w:highlight w:val="none"/>
          <w14:textFill>
            <w14:solidFill>
              <w14:schemeClr w14:val="tx1"/>
            </w14:solidFill>
          </w14:textFill>
        </w:rPr>
        <w:t>《方案》立足自身生态资源禀赋，充分衔接关于美丽中国、美丽四川</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、美丽</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阿坝</w:t>
      </w:r>
      <w:r>
        <w:rPr>
          <w:rFonts w:hint="eastAsia" w:ascii="Times New Roman" w:hAnsi="Times New Roman" w:eastAsia="仿宋_GB2312" w:cs="Times New Roman"/>
          <w:color w:val="000000" w:themeColor="text1"/>
          <w:sz w:val="32"/>
          <w:szCs w:val="48"/>
          <w:highlight w:val="none"/>
          <w14:textFill>
            <w14:solidFill>
              <w14:schemeClr w14:val="tx1"/>
            </w14:solidFill>
          </w14:textFill>
        </w:rPr>
        <w:t>建设</w:t>
      </w:r>
      <w:r>
        <w:rPr>
          <w:rFonts w:ascii="Times New Roman" w:hAnsi="Times New Roman" w:eastAsia="仿宋_GB2312" w:cs="Times New Roman"/>
          <w:color w:val="000000" w:themeColor="text1"/>
          <w:sz w:val="32"/>
          <w:szCs w:val="48"/>
          <w:highlight w:val="none"/>
          <w14:textFill>
            <w14:solidFill>
              <w14:schemeClr w14:val="tx1"/>
            </w14:solidFill>
          </w14:textFill>
        </w:rPr>
        <w:t>的顶层设计、上位规划、重点方向，在深入分析</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阿坝</w:t>
      </w:r>
      <w:r>
        <w:rPr>
          <w:rFonts w:ascii="Times New Roman" w:hAnsi="Times New Roman" w:eastAsia="仿宋_GB2312" w:cs="Times New Roman"/>
          <w:color w:val="000000" w:themeColor="text1"/>
          <w:sz w:val="32"/>
          <w:szCs w:val="48"/>
          <w:highlight w:val="none"/>
          <w14:textFill>
            <w14:solidFill>
              <w14:schemeClr w14:val="tx1"/>
            </w14:solidFill>
          </w14:textFill>
        </w:rPr>
        <w:t>现状、机遇与挑战的基础上，明确了到2027年、2030年的目标任务</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48"/>
          <w:highlight w:val="none"/>
          <w14:textFill>
            <w14:solidFill>
              <w14:schemeClr w14:val="tx1"/>
            </w14:solidFill>
          </w14:textFill>
        </w:rPr>
        <w:t>提出了美丽</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阿坝</w:t>
      </w:r>
      <w:r>
        <w:rPr>
          <w:rFonts w:ascii="Times New Roman" w:hAnsi="Times New Roman" w:eastAsia="仿宋_GB2312" w:cs="Times New Roman"/>
          <w:color w:val="000000" w:themeColor="text1"/>
          <w:sz w:val="32"/>
          <w:szCs w:val="48"/>
          <w:highlight w:val="none"/>
          <w14:textFill>
            <w14:solidFill>
              <w14:schemeClr w14:val="tx1"/>
            </w14:solidFill>
          </w14:textFill>
        </w:rPr>
        <w:t>的建设目标、战略定位和实现路径，将</w:t>
      </w:r>
      <w:r>
        <w:rPr>
          <w:rFonts w:hint="eastAsia" w:ascii="Times New Roman" w:hAnsi="Times New Roman" w:eastAsia="仿宋_GB2312" w:cs="Times New Roman"/>
          <w:color w:val="000000" w:themeColor="text1"/>
          <w:sz w:val="32"/>
          <w:szCs w:val="48"/>
          <w:highlight w:val="none"/>
          <w:lang w:val="en-US" w:eastAsia="zh-CN"/>
          <w14:textFill>
            <w14:solidFill>
              <w14:schemeClr w14:val="tx1"/>
            </w14:solidFill>
          </w14:textFill>
        </w:rPr>
        <w:t>统筹</w:t>
      </w:r>
      <w:r>
        <w:rPr>
          <w:rFonts w:ascii="Times New Roman" w:hAnsi="Times New Roman" w:eastAsia="仿宋_GB2312" w:cs="Times New Roman"/>
          <w:color w:val="000000" w:themeColor="text1"/>
          <w:sz w:val="32"/>
          <w:szCs w:val="48"/>
          <w:highlight w:val="none"/>
          <w14:textFill>
            <w14:solidFill>
              <w14:schemeClr w14:val="tx1"/>
            </w14:solidFill>
          </w14:textFill>
        </w:rPr>
        <w:t>指导当前和今后一</w:t>
      </w:r>
      <w:r>
        <w:rPr>
          <w:rFonts w:hint="eastAsia" w:ascii="Times New Roman" w:hAnsi="Times New Roman" w:eastAsia="仿宋_GB2312" w:cs="Times New Roman"/>
          <w:color w:val="000000" w:themeColor="text1"/>
          <w:sz w:val="32"/>
          <w:szCs w:val="48"/>
          <w:highlight w:val="none"/>
          <w:lang w:val="en-US" w:eastAsia="zh-CN"/>
          <w14:textFill>
            <w14:solidFill>
              <w14:schemeClr w14:val="tx1"/>
            </w14:solidFill>
          </w14:textFill>
        </w:rPr>
        <w:t>个</w:t>
      </w:r>
      <w:r>
        <w:rPr>
          <w:rFonts w:ascii="Times New Roman" w:hAnsi="Times New Roman" w:eastAsia="仿宋_GB2312" w:cs="Times New Roman"/>
          <w:color w:val="000000" w:themeColor="text1"/>
          <w:sz w:val="32"/>
          <w:szCs w:val="48"/>
          <w:highlight w:val="none"/>
          <w14:textFill>
            <w14:solidFill>
              <w14:schemeClr w14:val="tx1"/>
            </w14:solidFill>
          </w14:textFill>
        </w:rPr>
        <w:t>时期美丽</w:t>
      </w:r>
      <w:r>
        <w:rPr>
          <w:rFonts w:hint="eastAsia" w:ascii="Times New Roman" w:hAnsi="Times New Roman" w:eastAsia="仿宋_GB2312" w:cs="Times New Roman"/>
          <w:color w:val="000000" w:themeColor="text1"/>
          <w:sz w:val="32"/>
          <w:szCs w:val="48"/>
          <w:highlight w:val="none"/>
          <w:lang w:eastAsia="zh-CN"/>
          <w14:textFill>
            <w14:solidFill>
              <w14:schemeClr w14:val="tx1"/>
            </w14:solidFill>
          </w14:textFill>
        </w:rPr>
        <w:t>阿坝</w:t>
      </w:r>
      <w:r>
        <w:rPr>
          <w:rFonts w:ascii="Times New Roman" w:hAnsi="Times New Roman" w:eastAsia="仿宋_GB2312" w:cs="Times New Roman"/>
          <w:color w:val="000000" w:themeColor="text1"/>
          <w:sz w:val="32"/>
          <w:szCs w:val="48"/>
          <w:highlight w:val="none"/>
          <w14:textFill>
            <w14:solidFill>
              <w14:schemeClr w14:val="tx1"/>
            </w14:solidFill>
          </w14:textFill>
        </w:rPr>
        <w:t>建设。</w:t>
      </w:r>
    </w:p>
    <w:p w14:paraId="20D11C60">
      <w:pPr>
        <w:pStyle w:val="7"/>
        <w:shd w:val="clear"/>
        <w:spacing w:after="100" w:afterAutospacing="1" w:line="576" w:lineRule="exact"/>
        <w:rPr>
          <w:rFonts w:hint="eastAsia" w:ascii="宋体" w:hAnsi="宋体" w:eastAsia="黑体"/>
          <w:b/>
          <w:bCs/>
          <w:color w:val="0000FF"/>
          <w:szCs w:val="48"/>
          <w:highlight w:val="none"/>
        </w:rPr>
      </w:pPr>
    </w:p>
    <w:p w14:paraId="113A5B61">
      <w:pPr>
        <w:shd w:val="clear"/>
        <w:spacing w:after="100" w:afterAutospacing="1" w:line="576" w:lineRule="exact"/>
        <w:rPr>
          <w:rFonts w:hint="eastAsia" w:ascii="宋体" w:hAnsi="宋体" w:eastAsia="黑体" w:cs="Times New Roman"/>
          <w:b/>
          <w:bCs/>
          <w:color w:val="0000FF"/>
          <w:sz w:val="32"/>
          <w:szCs w:val="48"/>
          <w:highlight w:val="none"/>
        </w:rPr>
      </w:pPr>
    </w:p>
    <w:p w14:paraId="06D05D2D">
      <w:pPr>
        <w:pStyle w:val="7"/>
        <w:shd w:val="clear"/>
        <w:spacing w:after="100" w:afterAutospacing="1" w:line="576" w:lineRule="exact"/>
        <w:rPr>
          <w:color w:val="0000FF"/>
          <w:highlight w:val="none"/>
        </w:rPr>
      </w:pPr>
    </w:p>
    <w:p w14:paraId="02933F06">
      <w:pPr>
        <w:pStyle w:val="7"/>
        <w:shd w:val="clear"/>
        <w:spacing w:after="100" w:afterAutospacing="1" w:line="576" w:lineRule="exact"/>
        <w:rPr>
          <w:rFonts w:ascii="Times New Roman" w:hAnsi="Times New Roman" w:eastAsia="方正小标宋简体"/>
          <w:color w:val="0000FF"/>
          <w:sz w:val="44"/>
          <w:szCs w:val="44"/>
          <w:highlight w:val="none"/>
        </w:rPr>
      </w:pPr>
    </w:p>
    <w:p w14:paraId="65E57B14">
      <w:pPr>
        <w:shd w:val="clear"/>
        <w:spacing w:after="100" w:afterAutospacing="1" w:line="576" w:lineRule="exact"/>
        <w:rPr>
          <w:rFonts w:ascii="Times New Roman" w:hAnsi="Times New Roman" w:eastAsia="方正小标宋简体" w:cs="Times New Roman"/>
          <w:color w:val="0000FF"/>
          <w:sz w:val="44"/>
          <w:szCs w:val="44"/>
          <w:highlight w:val="none"/>
        </w:rPr>
      </w:pPr>
    </w:p>
    <w:p w14:paraId="2FAFAD6C">
      <w:pPr>
        <w:pStyle w:val="7"/>
        <w:shd w:val="clear"/>
        <w:spacing w:after="100" w:afterAutospacing="1" w:line="576" w:lineRule="exact"/>
        <w:rPr>
          <w:rFonts w:ascii="Times New Roman" w:hAnsi="Times New Roman" w:eastAsia="方正小标宋简体"/>
          <w:color w:val="0000FF"/>
          <w:sz w:val="44"/>
          <w:szCs w:val="44"/>
          <w:highlight w:val="none"/>
        </w:rPr>
        <w:sectPr>
          <w:footerReference r:id="rId5" w:type="default"/>
          <w:footerReference r:id="rId6" w:type="even"/>
          <w:pgSz w:w="11906" w:h="16838"/>
          <w:pgMar w:top="2098" w:right="1474" w:bottom="1984" w:left="1587" w:header="851" w:footer="1417" w:gutter="0"/>
          <w:pgNumType w:fmt="decimal" w:start="1"/>
          <w:cols w:space="0" w:num="1"/>
          <w:docGrid w:type="lines" w:linePitch="312" w:charSpace="0"/>
        </w:sectPr>
      </w:pPr>
    </w:p>
    <w:p w14:paraId="019CDC15">
      <w:pPr>
        <w:pStyle w:val="2"/>
        <w:keepNext w:val="0"/>
        <w:keepLines w:val="0"/>
        <w:pageBreakBefore w:val="0"/>
        <w:widowControl w:val="0"/>
        <w:numPr>
          <w:ilvl w:val="0"/>
          <w:numId w:val="1"/>
        </w:numPr>
        <w:shd w:val="clear"/>
        <w:kinsoku/>
        <w:wordWrap/>
        <w:overflowPunct/>
        <w:topLinePunct/>
        <w:autoSpaceDE/>
        <w:autoSpaceDN/>
        <w:bidi w:val="0"/>
        <w:adjustRightInd/>
        <w:snapToGrid/>
        <w:spacing w:before="0" w:after="0" w:line="560" w:lineRule="atLeast"/>
        <w:ind w:firstLine="643" w:firstLineChars="200"/>
        <w:jc w:val="left"/>
        <w:textAlignment w:val="auto"/>
        <w:rPr>
          <w:rFonts w:hint="eastAsia" w:ascii="宋体" w:hAnsi="宋体" w:eastAsia="黑体" w:cs="Times New Roman"/>
          <w:bCs/>
          <w:color w:val="000000" w:themeColor="text1"/>
          <w:sz w:val="32"/>
          <w:szCs w:val="48"/>
          <w:highlight w:val="none"/>
          <w14:textFill>
            <w14:solidFill>
              <w14:schemeClr w14:val="tx1"/>
            </w14:solidFill>
          </w14:textFill>
        </w:rPr>
      </w:pPr>
      <w:bookmarkStart w:id="1" w:name="_Toc14235"/>
      <w:r>
        <w:rPr>
          <w:rFonts w:hint="eastAsia" w:ascii="宋体" w:hAnsi="宋体" w:eastAsia="黑体" w:cs="Times New Roman"/>
          <w:bCs/>
          <w:color w:val="000000" w:themeColor="text1"/>
          <w:sz w:val="32"/>
          <w:szCs w:val="48"/>
          <w:highlight w:val="none"/>
          <w14:textFill>
            <w14:solidFill>
              <w14:schemeClr w14:val="tx1"/>
            </w14:solidFill>
          </w14:textFill>
        </w:rPr>
        <w:t>实施背景</w:t>
      </w:r>
      <w:bookmarkEnd w:id="1"/>
    </w:p>
    <w:p w14:paraId="4C8CD8FE">
      <w:pPr>
        <w:pStyle w:val="3"/>
        <w:pageBreakBefore w:val="0"/>
        <w:widowControl w:val="0"/>
        <w:numPr>
          <w:ilvl w:val="0"/>
          <w:numId w:val="2"/>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000000" w:themeColor="text1"/>
          <w:highlight w:val="none"/>
          <w14:textFill>
            <w14:solidFill>
              <w14:schemeClr w14:val="tx1"/>
            </w14:solidFill>
          </w14:textFill>
        </w:rPr>
      </w:pPr>
      <w:bookmarkStart w:id="2" w:name="_Toc767"/>
      <w:bookmarkStart w:id="3" w:name="_Toc32474"/>
      <w:r>
        <w:rPr>
          <w:rFonts w:hint="eastAsia" w:ascii="方正楷体_GB2312" w:hAnsi="方正楷体_GB2312" w:eastAsia="方正楷体_GB2312" w:cs="方正楷体_GB2312"/>
          <w:color w:val="000000" w:themeColor="text1"/>
          <w:highlight w:val="none"/>
          <w:lang w:val="en-US" w:eastAsia="zh-CN"/>
          <w14:textFill>
            <w14:solidFill>
              <w14:schemeClr w14:val="tx1"/>
            </w14:solidFill>
          </w14:textFill>
        </w:rPr>
        <w:t>区域概况</w:t>
      </w:r>
      <w:bookmarkEnd w:id="2"/>
      <w:bookmarkEnd w:id="3"/>
    </w:p>
    <w:p w14:paraId="0D6A8B50">
      <w:pPr>
        <w:pStyle w:val="4"/>
        <w:pageBreakBefore w:val="0"/>
        <w:widowControl w:val="0"/>
        <w:numPr>
          <w:ilvl w:val="0"/>
          <w:numId w:val="3"/>
        </w:numPr>
        <w:shd w:val="clear"/>
        <w:kinsoku/>
        <w:wordWrap/>
        <w:overflowPunct/>
        <w:autoSpaceDE/>
        <w:autoSpaceDN/>
        <w:bidi w:val="0"/>
        <w:adjustRightInd/>
        <w:snapToGrid/>
        <w:spacing w:before="0" w:after="0" w:line="560" w:lineRule="atLeast"/>
        <w:ind w:firstLine="643" w:firstLineChars="200"/>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bookmarkStart w:id="4" w:name="_Toc17927"/>
      <w:r>
        <w:rPr>
          <w:rFonts w:hint="eastAsia" w:ascii="Times New Roman" w:hAnsi="Times New Roman" w:eastAsia="仿宋_GB2312" w:cs="Times New Roman"/>
          <w:color w:val="000000" w:themeColor="text1"/>
          <w:highlight w:val="none"/>
          <w:lang w:val="en-US" w:eastAsia="zh-CN"/>
          <w14:textFill>
            <w14:solidFill>
              <w14:schemeClr w14:val="tx1"/>
            </w14:solidFill>
          </w14:textFill>
        </w:rPr>
        <w:t>地理位置</w:t>
      </w:r>
      <w:bookmarkEnd w:id="4"/>
    </w:p>
    <w:p w14:paraId="2B2B38D7">
      <w:pPr>
        <w:pStyle w:val="8"/>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阿坝县地处青藏高原东南缘，位于川甘青三省交会处，与州内的若尔盖县、红原县、马尔康市、壤塘县和甘肃省玛曲县、青海省久治县、班玛县7县接壤，是内地通往西北的重要交通枢纽。县境介于东经101°18′~102°35′，北纬32°18′~33°37′之间，东西最长115km，南北最宽145km，面积10435km</w:t>
      </w:r>
      <w:r>
        <w:rPr>
          <w:rFonts w:hint="eastAsia" w:ascii="Times New Roman" w:hAnsi="Times New Roman" w:eastAsia="仿宋_GB2312" w:cs="Times New Roman"/>
          <w:color w:val="000000" w:themeColor="text1"/>
          <w:kern w:val="2"/>
          <w:sz w:val="32"/>
          <w:szCs w:val="24"/>
          <w:highlight w:val="none"/>
          <w:vertAlign w:val="superscript"/>
          <w:lang w:val="en-US" w:eastAsia="zh-CN" w:bidi="ar-SA"/>
          <w14:textFill>
            <w14:solidFill>
              <w14:schemeClr w14:val="tx1"/>
            </w14:solidFill>
          </w14:textFill>
        </w:rPr>
        <w:t>2</w:t>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。县城阿坝镇海拔3290米，距省会成都509km、州府马尔康246km、红原机场97km，是川青高速的必经之地，也是川西北大草原重要组成部分与三省交界物资集散地。</w:t>
      </w:r>
    </w:p>
    <w:p w14:paraId="27705073">
      <w:pPr>
        <w:pStyle w:val="4"/>
        <w:pageBreakBefore w:val="0"/>
        <w:widowControl w:val="0"/>
        <w:numPr>
          <w:ilvl w:val="0"/>
          <w:numId w:val="3"/>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color w:val="000000" w:themeColor="text1"/>
          <w:highlight w:val="none"/>
          <w:lang w:val="en-US" w:eastAsia="zh-CN"/>
          <w14:textFill>
            <w14:solidFill>
              <w14:schemeClr w14:val="tx1"/>
            </w14:solidFill>
          </w14:textFill>
        </w:rPr>
      </w:pPr>
      <w:bookmarkStart w:id="5" w:name="_Toc457"/>
      <w:r>
        <w:rPr>
          <w:rFonts w:hint="eastAsia" w:ascii="Times New Roman" w:hAnsi="Times New Roman" w:eastAsia="仿宋_GB2312" w:cs="Times New Roman"/>
          <w:color w:val="000000" w:themeColor="text1"/>
          <w:highlight w:val="none"/>
          <w:lang w:val="en-US" w:eastAsia="zh-CN"/>
          <w14:textFill>
            <w14:solidFill>
              <w14:schemeClr w14:val="tx1"/>
            </w14:solidFill>
          </w14:textFill>
        </w:rPr>
        <w:t>自然环境概况</w:t>
      </w:r>
      <w:bookmarkEnd w:id="5"/>
    </w:p>
    <w:p w14:paraId="7DDAE037">
      <w:pPr>
        <w:pStyle w:val="5"/>
        <w:pageBreakBefore w:val="0"/>
        <w:widowControl w:val="0"/>
        <w:shd w:val="clear"/>
        <w:kinsoku/>
        <w:wordWrap/>
        <w:overflowPunct/>
        <w:autoSpaceDE/>
        <w:autoSpaceDN/>
        <w:bidi w:val="0"/>
        <w:adjustRightInd/>
        <w:snapToGrid/>
        <w:spacing w:before="0" w:after="0" w:line="560" w:lineRule="atLeast"/>
        <w:ind w:firstLine="640" w:firstLineChars="200"/>
        <w:textAlignment w:val="auto"/>
        <w:rPr>
          <w:rFonts w:hint="eastAsia"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（1）地形地貌</w:t>
      </w:r>
    </w:p>
    <w:p w14:paraId="6652683A">
      <w:pPr>
        <w:pStyle w:val="8"/>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阿坝县地处青藏高原东南缘，巴颜喀拉山槽区，川西高原北隅，长江、黄河支流分水岭河源地带，地形复杂。全县群山起伏，沟壑纵横，为燕山运动隆起，喜马拉雅山大幅度抬升而形成的高原地貌特征。整个地势由西北向东南倾斜，呈不规则下降，海拔由5141m递减至2857m，相对高差2284m，平均海拔3999m。全县按地貌类型分为东北丘状高原平原区，中西部盆地、高原山地区，南部高、中山河谷区三种不同地貌区域。按形态和相对切割深度可分为浅切割剥蚀高原丘陵；中切割剥蚀高原山峦；深切割侵蚀高原山地三大类型。</w:t>
      </w:r>
    </w:p>
    <w:p w14:paraId="649D096B">
      <w:pPr>
        <w:pStyle w:val="5"/>
        <w:pageBreakBefore w:val="0"/>
        <w:widowControl w:val="0"/>
        <w:shd w:val="clear"/>
        <w:kinsoku/>
        <w:wordWrap/>
        <w:overflowPunct/>
        <w:autoSpaceDE/>
        <w:autoSpaceDN/>
        <w:bidi w:val="0"/>
        <w:adjustRightInd/>
        <w:snapToGrid/>
        <w:spacing w:before="0" w:after="0" w:line="560" w:lineRule="atLeast"/>
        <w:ind w:firstLine="640" w:firstLineChars="200"/>
        <w:textAlignment w:val="auto"/>
        <w:rPr>
          <w:rFonts w:hint="eastAsia"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（2）地质</w:t>
      </w:r>
    </w:p>
    <w:p w14:paraId="56373BFE">
      <w:pPr>
        <w:pStyle w:val="8"/>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大地构造属松潘</w:t>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甘孜褶皱系巴颜喀拉冒地槽褶皱带，处于马尔康向斜北部、阿坝</w:t>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红原弧形褶断带西部，构造活动强烈，断裂与褶皱发育。地层以三叠系浅变质碎屑岩为主，第四系松散堆积物广泛分布于河谷与盆地，岩性脆弱、风化强烈，易引发泥石流、滑坡等地质灾害。主要断裂包括近南北向麦尔玛断裂与北西向下阿坝断裂，控制县域基本构造格局，新构造运动使地壳持续抬升，塑造了现今高原地貌。</w:t>
      </w:r>
    </w:p>
    <w:p w14:paraId="02827669">
      <w:pPr>
        <w:pStyle w:val="5"/>
        <w:pageBreakBefore w:val="0"/>
        <w:widowControl w:val="0"/>
        <w:shd w:val="clear"/>
        <w:kinsoku/>
        <w:wordWrap/>
        <w:overflowPunct/>
        <w:topLinePunct w:val="0"/>
        <w:autoSpaceDE/>
        <w:autoSpaceDN/>
        <w:bidi w:val="0"/>
        <w:adjustRightInd/>
        <w:snapToGrid/>
        <w:spacing w:before="0" w:after="0" w:line="560" w:lineRule="atLeast"/>
        <w:ind w:firstLine="640" w:firstLineChars="200"/>
        <w:textAlignment w:val="auto"/>
        <w:rPr>
          <w:rFonts w:hint="eastAsia"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（3）水文水系</w:t>
      </w:r>
    </w:p>
    <w:p w14:paraId="12D456A7">
      <w:pPr>
        <w:pStyle w:val="8"/>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阿坝县地处长江、黄河两大水系分水岭河源地带，为长江上游重要水源涵养地、黄河上游关键水源补给区，对长江、黄河生态安全具有重要意义。黄河水系以贾曲河为主，向北注入黄河，求吉玛乡为黄河入川口，干流境内长25.27公里；长江水系以麻尔曲河、阿柯河为骨干，支流密布，向南汇入大渡河上游。境内流域面积100平方公里以上河流26条，高原湖泊（海子）星罗棋布，湿地（如曼扎塘湿地）广布，构成完整高原水生态系统，</w:t>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fldChar w:fldCharType="begin"/>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instrText xml:space="preserve"> HYPERLINK "https://baike.baidu.com/item/%E6%B0%B4%E8%83%BD%E8%B5%84%E6%BA%90" </w:instrText>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fldChar w:fldCharType="separate"/>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水能资源</w:t>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fldChar w:fldCharType="end"/>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丰富，集中在西南部的麻尔曲和中部阿曲，水能理论蕴藏量147.6万千瓦，可开发量为83.7万千瓦。阿曲河长151千米，流域面积4292平方千米，最大流量210立方米/秒，最枯流量8.9立方米/秒，多年平均年径流量9亿立方米，河口多年平均流量59立方米/秒，天然落差1350米，可利用落差395米，平均比降8.9‰。麻尔曲流域2437.6平方千米，县内河长75千米，落差300米，平均比降1.6‰，年径流16.61亿立方米，占全县水能资源的94.42%，黄河水系0.49万千瓦，占全县水能资源的5.58%，丰富的水能资源具有很大的开发潜力。</w:t>
      </w:r>
    </w:p>
    <w:p w14:paraId="131FC2E3">
      <w:pPr>
        <w:pStyle w:val="5"/>
        <w:pageBreakBefore w:val="0"/>
        <w:widowControl w:val="0"/>
        <w:shd w:val="clear"/>
        <w:kinsoku/>
        <w:wordWrap/>
        <w:overflowPunct/>
        <w:topLinePunct w:val="0"/>
        <w:autoSpaceDE/>
        <w:autoSpaceDN/>
        <w:bidi w:val="0"/>
        <w:adjustRightInd/>
        <w:snapToGrid/>
        <w:spacing w:before="0" w:after="0" w:line="560" w:lineRule="atLeast"/>
        <w:ind w:firstLine="640" w:firstLineChars="200"/>
        <w:textAlignment w:val="auto"/>
        <w:rPr>
          <w:rFonts w:hint="eastAsia"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（4）气候概况</w:t>
      </w:r>
    </w:p>
    <w:p w14:paraId="0BCC92D1">
      <w:pPr>
        <w:pStyle w:val="8"/>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阿坝县为典型的高寒、高海拔地区，属高原寒温带半湿润季风气候，长冬无夏，春秋相连，无绝对无霜期，可分为暖季和冷季，干雨季节分明，昼夜温差大，多冰雹、霜冻、寒潮、雪灾、暴雨、洪涝和大风等自然灾害。多年平均降水量为718.6mm；多年平均气温4.5℃；年平均风速1.6m/s；年平均无霜期33天；年平均日照时数2442.8小时；年平均蒸发量1253.0mm。6~9月冰雹、雷电、暴雨、大风等灾害性天气多发，林区因暴雨引发的局地洪涝、塌方、泥石流等地质灾害多发。12月</w:t>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次年3月多大雪、霜冻、寒潮和道路结冰等自然灾害。</w:t>
      </w:r>
    </w:p>
    <w:p w14:paraId="4296BEC2">
      <w:pPr>
        <w:pStyle w:val="5"/>
        <w:pageBreakBefore w:val="0"/>
        <w:widowControl w:val="0"/>
        <w:shd w:val="clear"/>
        <w:kinsoku/>
        <w:wordWrap/>
        <w:overflowPunct/>
        <w:topLinePunct w:val="0"/>
        <w:autoSpaceDE/>
        <w:autoSpaceDN/>
        <w:bidi w:val="0"/>
        <w:adjustRightInd/>
        <w:snapToGrid/>
        <w:spacing w:before="0" w:after="0" w:line="560" w:lineRule="atLeast"/>
        <w:ind w:firstLine="640" w:firstLineChars="200"/>
        <w:textAlignment w:val="auto"/>
        <w:rPr>
          <w:rFonts w:hint="default"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（5）自然资源</w:t>
      </w:r>
    </w:p>
    <w:p w14:paraId="49917E38">
      <w:pPr>
        <w:pStyle w:val="8"/>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阿坝县自然资源类型多样、储量可观，整体禀赋优良。土地资源体量充裕，境内大面积高寒草场是当地核心土地构成，山林资源分布集中，河谷区域零散分布耕地，适配高原农牧业发展。矿产资源品类丰富，探明褐煤、泥炭储量规模较大，金、银、铅锌等金属矿产与石灰石、花岗石等非金属矿产均有分布，矿产开发潜力充足。县域坐落于长江、黄河水系分水岭，河网密集、湖泊湿地遍布，水资源水质优良，水能蕴藏量大，具备良好水电开发条件。区域生态环境独特，生物多样性丰富，生长虫草、贝母等珍稀药用植物，云杉、冷杉等林木资源丰厚，同时栖息雪豹、黑颈鹤等诸多国家保护野生动物，广袤草原与高原湿地兼具生态涵养与景观价值。</w:t>
      </w:r>
    </w:p>
    <w:p w14:paraId="110D3F10">
      <w:pPr>
        <w:pStyle w:val="4"/>
        <w:pageBreakBefore w:val="0"/>
        <w:widowControl w:val="0"/>
        <w:numPr>
          <w:ilvl w:val="0"/>
          <w:numId w:val="3"/>
        </w:numPr>
        <w:shd w:val="clear"/>
        <w:kinsoku/>
        <w:wordWrap/>
        <w:overflowPunct/>
        <w:topLinePunct w:val="0"/>
        <w:autoSpaceDE/>
        <w:autoSpaceDN/>
        <w:bidi w:val="0"/>
        <w:adjustRightInd/>
        <w:snapToGrid/>
        <w:spacing w:before="0" w:after="0" w:line="560" w:lineRule="atLeast"/>
        <w:ind w:firstLine="643" w:firstLineChars="200"/>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bookmarkStart w:id="6" w:name="_Toc8872"/>
      <w:r>
        <w:rPr>
          <w:rFonts w:hint="eastAsia" w:ascii="Times New Roman" w:hAnsi="Times New Roman" w:eastAsia="仿宋_GB2312" w:cs="Times New Roman"/>
          <w:color w:val="000000" w:themeColor="text1"/>
          <w:highlight w:val="none"/>
          <w:lang w:val="en-US" w:eastAsia="zh-CN"/>
          <w14:textFill>
            <w14:solidFill>
              <w14:schemeClr w14:val="tx1"/>
            </w14:solidFill>
          </w14:textFill>
        </w:rPr>
        <w:t>社会经济现状</w:t>
      </w:r>
      <w:bookmarkEnd w:id="6"/>
    </w:p>
    <w:p w14:paraId="637FA3A7">
      <w:pPr>
        <w:pStyle w:val="5"/>
        <w:pageBreakBefore w:val="0"/>
        <w:widowControl w:val="0"/>
        <w:shd w:val="clear"/>
        <w:kinsoku/>
        <w:wordWrap/>
        <w:overflowPunct/>
        <w:topLinePunct w:val="0"/>
        <w:autoSpaceDE/>
        <w:autoSpaceDN/>
        <w:bidi w:val="0"/>
        <w:adjustRightInd/>
        <w:snapToGrid/>
        <w:spacing w:before="0" w:after="0" w:line="560" w:lineRule="atLeast"/>
        <w:ind w:firstLine="640" w:firstLineChars="200"/>
        <w:textAlignment w:val="auto"/>
        <w:rPr>
          <w:rFonts w:hint="eastAsia"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（1）行政区划及人口</w:t>
      </w:r>
    </w:p>
    <w:p w14:paraId="3D61B517">
      <w:pPr>
        <w:pStyle w:val="8"/>
        <w:keepNext w:val="0"/>
        <w:keepLines w:val="0"/>
        <w:pageBreakBefore w:val="0"/>
        <w:widowControl w:val="0"/>
        <w:numPr>
          <w:ilvl w:val="0"/>
          <w:numId w:val="0"/>
        </w:numPr>
        <w:shd w:val="clear"/>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阿坝县现有15个乡镇，80个行政村，1个社区。其中，9个乡：麦昆乡、龙藏乡、四洼乡、安斗乡、求吉玛乡、茸安乡、垮沙乡、柯河乡、查理乡；6个镇：阿坝镇、河支镇、各莫镇、安羌镇、麦尔玛镇、贾洛镇。县城阿坝镇是全县的政治、经济和文化中心。</w:t>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2025</w:t>
      </w:r>
      <w:r>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年末全县</w:t>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户</w:t>
      </w:r>
      <w:r>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籍总⼈⼝85055⼈。其中，男性42938⼈、⼥性42117⼈；藏族81309⼈、羌族389⼈、汉族1863⼈、回族1458⼈、其他⺠族36⼈，占总⼈⼝的⽐例分别为95.6%、0.46%、2.19%、1.71%、0.04%。</w:t>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2025</w:t>
      </w:r>
      <w:r>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年末全县常住⼈⼝82306⼈，</w:t>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2025</w:t>
      </w:r>
      <w:r>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年末⼈⼝出⽣率12.58‰，⼈⼝死亡率5.66‰，⼈⼝⾃然增⻓率6.92‰。</w:t>
      </w:r>
    </w:p>
    <w:p w14:paraId="79BEF8F4">
      <w:pPr>
        <w:pStyle w:val="5"/>
        <w:pageBreakBefore w:val="0"/>
        <w:widowControl w:val="0"/>
        <w:shd w:val="clear"/>
        <w:kinsoku/>
        <w:wordWrap/>
        <w:overflowPunct/>
        <w:topLinePunct w:val="0"/>
        <w:autoSpaceDE/>
        <w:autoSpaceDN/>
        <w:bidi w:val="0"/>
        <w:adjustRightInd/>
        <w:snapToGrid/>
        <w:spacing w:before="0" w:after="0" w:line="560" w:lineRule="atLeast"/>
        <w:ind w:firstLine="640" w:firstLineChars="200"/>
        <w:textAlignment w:val="auto"/>
        <w:rPr>
          <w:rFonts w:hint="default"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color w:val="000000" w:themeColor="text1"/>
          <w:sz w:val="32"/>
          <w:szCs w:val="32"/>
          <w:highlight w:val="none"/>
          <w:lang w:val="en-US" w:eastAsia="zh-CN"/>
          <w14:textFill>
            <w14:solidFill>
              <w14:schemeClr w14:val="tx1"/>
            </w14:solidFill>
          </w14:textFill>
        </w:rPr>
        <w:t>（2）社会经济发展现状</w:t>
      </w:r>
    </w:p>
    <w:p w14:paraId="2ACCBBD7">
      <w:pPr>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仿宋_GB2312" w:cs="Times New Roman"/>
          <w:b/>
          <w:bCs/>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1）综合经济</w:t>
      </w:r>
    </w:p>
    <w:p w14:paraId="78B9776C">
      <w:pPr>
        <w:pStyle w:val="8"/>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2025年阿坝县地区⽣产总值（GDP）370546万元，按可⽐价格计算，⽐上年增⻓6.1%，整体经济呈现稳步增⻓态势。其中，第⼀产业增加值120681万元，同⽐增⻓5.2%；第⼆产业增加值43315万元，同⽐增⻓9.8%；第三产业增加值206550万元，同⽐增⻓5.9%。三次产业结构为32.6：11.7：55.7；三次产业对经济增⻓的贡献率分别为25.4%、19.5%、55.1%；分别拉动经济增⻓1.6、1.2、3.3个百分点。</w:t>
      </w:r>
    </w:p>
    <w:p w14:paraId="1A4F9338">
      <w:pPr>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2）林业牧业</w:t>
      </w:r>
    </w:p>
    <w:p w14:paraId="5D662486">
      <w:pPr>
        <w:pStyle w:val="8"/>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2025年阿坝县</w:t>
      </w:r>
      <w:r>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农林牧渔总产值180154万元，同⽐增⻓5.1%。全县农作物播种⾯积11.63万亩。全年粮⻝作物播种⾯积7.26万亩，⽐上年增⻓0.55%。粮⻝总产量13456.1吨，增⻓2.7%；蔬菜及⻝⽤菌产量12081吨，增⻓4.45%。全年出栏⽣猪258头，⽐上年下降3.0%；出栏⽜111000头，增⻓1.09%；出栏⽺16439只，下降8.36%。2025年末猪存栏598头，下降5.52%；⽜存栏440023头，增⻓2.56%；⽺存栏60167只，下降1.59%。</w:t>
      </w:r>
    </w:p>
    <w:p w14:paraId="6A124D5E">
      <w:pPr>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3）工业和建筑业</w:t>
      </w:r>
    </w:p>
    <w:p w14:paraId="0188A9EA">
      <w:pPr>
        <w:pStyle w:val="8"/>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2025年阿坝县</w:t>
      </w: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全年全部⼯业增加值37833万元，⽐上年增⻓18.1%。全年规模以上⼯业企业实现营业收⼊33198万元，⽐上年增⻓48%。年末规模以上⼯业企业8户，实现⼯业总产值26298.01万元，⽐上年增⻓10%。分⾏业看，农副⻝品加⼯业增加值增⻓126.5%，其中植物油加⼯增加值增⻓26.38%，屠宰及⾁类加⼯增加值增⻓1294%。医药制造业增加值增⻓167%。电⼒、热⼒⽣</w:t>
      </w:r>
      <w:r>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产和供应业增加值增⻓74.98%，其中电⼒⽣产增加值增⻓92.8%。热⼒⽣产和供应增⻓14.5%。</w:t>
      </w:r>
    </w:p>
    <w:p w14:paraId="17A23C29">
      <w:pPr>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4）旅游业</w:t>
      </w:r>
    </w:p>
    <w:p w14:paraId="70824C46">
      <w:pPr>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2025年，全县累计接待游客236.06万⼈次，同⽐增⻓16.11%，实现旅游收⼊205548.36万元，同⽐增⻓26.40%，其中莲宝叶则景区累计接待游客432279⼈次，同⽐增⻓34.10%，实现综合收⼊4378.25万元，同⽐增⻓31.31%，⼈均消费为101.28元，相较于2024年⼈均消费103.44元下降2.09%，其中⻔票、游客中⼼和观光⻋分别占总收⼊的71.31%、8.64%、20.06%。</w:t>
      </w:r>
    </w:p>
    <w:p w14:paraId="6AD7A66A">
      <w:pPr>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5）财政</w:t>
      </w:r>
    </w:p>
    <w:p w14:paraId="7BF4CA1B">
      <w:pPr>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2025年阿坝县</w:t>
      </w:r>
      <w:r>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全年地⽅公共财政预算收⼊398335万元，⽐上年增⻓8.1%。其中：地⽅本地财政收⼊28179万元，增⻓40.3%；实现税收性收⼊13803万元，增⻓18.5%，其中：增值税2376万元，增⻓38.5%。全年地⽅公共财政预算⽀出310842万元，⽐上年增⻓10.5%，其中：公共安全⽀出13746万元，增⻓14.4%；教育⽀出48338万元，增⻓9.0%；科学技术⽀出323万元，增⻓50.2%；社会保障和就业⽀出30369万元，增⻓1.8%；农林⽔事务⽀出64660万元，增⻓0.3%；医疗卫⽣⽀出19861万元，增⻓10.4%；节能环保⽀出22359万元，增⻓69.9%；城乡社区⽀出15659万元，增⻓22.7%。</w:t>
      </w:r>
    </w:p>
    <w:p w14:paraId="0D6C6077">
      <w:pPr>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6）教育和科学技术</w:t>
      </w:r>
    </w:p>
    <w:p w14:paraId="7703DBB6">
      <w:pPr>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2025年末，全县有普通中学2所，在校学⽣745⼈，中学专任教师337⼈；拥有⼩学共17所，在校学⽣9769⼈，⼩学专任教师700⼈；幼⼉园26所，在园幼⼉3036⼈，幼⼉专任教师125⼈。</w:t>
      </w:r>
    </w:p>
    <w:p w14:paraId="3888B35D">
      <w:pPr>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24"/>
          <w:highlight w:val="none"/>
          <w:lang w:val="en-US" w:eastAsia="zh-CN" w:bidi="ar-SA"/>
          <w14:textFill>
            <w14:solidFill>
              <w14:schemeClr w14:val="tx1"/>
            </w14:solidFill>
          </w14:textFill>
        </w:rPr>
        <w:t>7）卫生</w:t>
      </w:r>
    </w:p>
    <w:p w14:paraId="4DCC6889">
      <w:pPr>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2025年末，全县有医疗卫⽣机构125个，其中：医院2个，卫⽣院16个，社区卫⽣服务中⼼1个，村卫⽣室81个，疾病预防控制中⼼1个，妇幼保健院1个，卫⽣和执法监督所0个，私⽴医疗机构18所，学校卫⽣室5所。卫⽣机构拥有床位690张。医疗卫⽣技术⼈员402⼈，其中：执业（助理）医师284名，注册护⼠219⼈。</w:t>
      </w:r>
    </w:p>
    <w:p w14:paraId="79B3CEEB">
      <w:pPr>
        <w:pStyle w:val="3"/>
        <w:pageBreakBefore w:val="0"/>
        <w:widowControl w:val="0"/>
        <w:numPr>
          <w:ilvl w:val="0"/>
          <w:numId w:val="2"/>
        </w:numPr>
        <w:shd w:val="clear"/>
        <w:kinsoku/>
        <w:wordWrap/>
        <w:overflowPunct/>
        <w:topLinePunct w:val="0"/>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000000" w:themeColor="text1"/>
          <w:highlight w:val="none"/>
          <w14:textFill>
            <w14:solidFill>
              <w14:schemeClr w14:val="tx1"/>
            </w14:solidFill>
          </w14:textFill>
        </w:rPr>
      </w:pPr>
      <w:bookmarkStart w:id="7" w:name="_Toc23434"/>
      <w:r>
        <w:rPr>
          <w:rFonts w:hint="eastAsia" w:ascii="方正楷体_GB2312" w:hAnsi="方正楷体_GB2312" w:eastAsia="方正楷体_GB2312" w:cs="方正楷体_GB2312"/>
          <w:color w:val="000000" w:themeColor="text1"/>
          <w:highlight w:val="none"/>
          <w14:textFill>
            <w14:solidFill>
              <w14:schemeClr w14:val="tx1"/>
            </w14:solidFill>
          </w14:textFill>
        </w:rPr>
        <w:t>建设优势</w:t>
      </w:r>
      <w:bookmarkEnd w:id="7"/>
    </w:p>
    <w:p w14:paraId="0215FD8B">
      <w:pPr>
        <w:pStyle w:val="4"/>
        <w:pageBreakBefore w:val="0"/>
        <w:widowControl w:val="0"/>
        <w:numPr>
          <w:ilvl w:val="0"/>
          <w:numId w:val="4"/>
        </w:numPr>
        <w:shd w:val="clear"/>
        <w:kinsoku/>
        <w:wordWrap/>
        <w:overflowPunct/>
        <w:topLinePunct w:val="0"/>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color w:val="000000" w:themeColor="text1"/>
          <w:highlight w:val="none"/>
          <w14:textFill>
            <w14:solidFill>
              <w14:schemeClr w14:val="tx1"/>
            </w14:solidFill>
          </w14:textFill>
        </w:rPr>
      </w:pPr>
      <w:bookmarkStart w:id="8" w:name="_Toc22163"/>
      <w:r>
        <w:rPr>
          <w:rFonts w:hint="eastAsia" w:ascii="Times New Roman" w:hAnsi="Times New Roman" w:eastAsia="仿宋_GB2312" w:cs="Times New Roman"/>
          <w:color w:val="000000" w:themeColor="text1"/>
          <w:highlight w:val="none"/>
          <w14:textFill>
            <w14:solidFill>
              <w14:schemeClr w14:val="tx1"/>
            </w14:solidFill>
          </w14:textFill>
        </w:rPr>
        <w:t>三省交界枢纽，区位联通优势显著</w:t>
      </w:r>
      <w:bookmarkEnd w:id="8"/>
    </w:p>
    <w:p w14:paraId="20AC795E">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color w:val="000000" w:themeColor="text1"/>
          <w:highlight w:val="none"/>
          <w:lang w:eastAsia="zh-CN"/>
          <w14:textFill>
            <w14:solidFill>
              <w14:schemeClr w14:val="tx1"/>
            </w14:solidFill>
          </w14:textFill>
        </w:rPr>
        <w:t>阿坝县地处川甘青三省结合部腹心地带，素有“甘青之咽喉，蜀郡之门户”之称，是连接大西北的重要走廊、四川西向开放的关键窗口。地理上位于青藏高原东南缘与成都平原的过渡带，是北方游牧文化向南方农耕文化过渡的核心区，也是藏羌彝文化走廊与安多文化长廊的交汇中心，商贸传统深厚阿坝县人民政府。交通上，为川西北重要陆路枢纽与北向出川门户，久马高速、国省干线与农村公路构成“两横三纵、内畅外联”路网，县城距红原机场仅97公里，可快速衔接成都、西宁、兰州等中心城市，具备辐射三省、集聚要素的天然区位条件。</w:t>
      </w:r>
    </w:p>
    <w:p w14:paraId="13B8C3A6">
      <w:pPr>
        <w:pStyle w:val="4"/>
        <w:pageBreakBefore w:val="0"/>
        <w:widowControl w:val="0"/>
        <w:numPr>
          <w:ilvl w:val="0"/>
          <w:numId w:val="4"/>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color w:val="000000" w:themeColor="text1"/>
          <w:highlight w:val="none"/>
          <w14:textFill>
            <w14:solidFill>
              <w14:schemeClr w14:val="tx1"/>
            </w14:solidFill>
          </w14:textFill>
        </w:rPr>
      </w:pPr>
      <w:bookmarkStart w:id="9" w:name="_Toc19419"/>
      <w:r>
        <w:rPr>
          <w:rFonts w:hint="eastAsia" w:ascii="Times New Roman" w:hAnsi="Times New Roman" w:eastAsia="仿宋_GB2312" w:cs="Times New Roman"/>
          <w:color w:val="000000" w:themeColor="text1"/>
          <w:highlight w:val="none"/>
          <w14:textFill>
            <w14:solidFill>
              <w14:schemeClr w14:val="tx1"/>
            </w14:solidFill>
          </w14:textFill>
        </w:rPr>
        <w:t>生态格局优越，自然基底底蕴厚实</w:t>
      </w:r>
      <w:bookmarkEnd w:id="9"/>
    </w:p>
    <w:p w14:paraId="32368023">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lang w:eastAsia="zh-CN"/>
          <w14:textFill>
            <w14:solidFill>
              <w14:schemeClr w14:val="tx1"/>
            </w14:solidFill>
          </w14:textFill>
        </w:rPr>
      </w:pPr>
      <w:r>
        <w:rPr>
          <w:rFonts w:hint="eastAsia" w:ascii="Times New Roman" w:hAnsi="Times New Roman"/>
          <w:color w:val="000000" w:themeColor="text1"/>
          <w:highlight w:val="none"/>
          <w:lang w:eastAsia="zh-CN"/>
          <w14:textFill>
            <w14:solidFill>
              <w14:schemeClr w14:val="tx1"/>
            </w14:solidFill>
          </w14:textFill>
        </w:rPr>
        <w:t>阿坝</w:t>
      </w:r>
      <w:r>
        <w:rPr>
          <w:rFonts w:hint="eastAsia" w:ascii="Times New Roman" w:hAnsi="Times New Roman" w:eastAsia="仿宋_GB2312"/>
          <w:color w:val="000000" w:themeColor="text1"/>
          <w:highlight w:val="none"/>
          <w14:textFill>
            <w14:solidFill>
              <w14:schemeClr w14:val="tx1"/>
            </w14:solidFill>
          </w14:textFill>
        </w:rPr>
        <w:t>县生态质量指数（EQI）稳定保持“一类”水平‌。全县空气质量优良，细颗粒物（PM</w:t>
      </w:r>
      <w:r>
        <w:rPr>
          <w:rFonts w:hint="eastAsia" w:ascii="Times New Roman" w:hAnsi="Times New Roman" w:eastAsia="仿宋_GB2312"/>
          <w:color w:val="000000" w:themeColor="text1"/>
          <w:highlight w:val="none"/>
          <w:vertAlign w:val="subscript"/>
          <w14:textFill>
            <w14:solidFill>
              <w14:schemeClr w14:val="tx1"/>
            </w14:solidFill>
          </w14:textFill>
        </w:rPr>
        <w:t>2.5</w:t>
      </w:r>
      <w:r>
        <w:rPr>
          <w:rFonts w:hint="eastAsia" w:ascii="Times New Roman" w:hAnsi="Times New Roman" w:eastAsia="仿宋_GB2312"/>
          <w:color w:val="000000" w:themeColor="text1"/>
          <w:highlight w:val="none"/>
          <w14:textFill>
            <w14:solidFill>
              <w14:schemeClr w14:val="tx1"/>
            </w14:solidFill>
          </w14:textFill>
        </w:rPr>
        <w:t>）稳定达到《环境空气质量标准》（GB3095—2026）一级标准，空气质量优良天数比例保持在99%以上。境内地表水水质优良，均达到《地表水环境质量标准》（GB3838-2002）Ⅲ类及以上标准，无劣V类水体，无黑臭水体，水质达标率为100%。阿坝县生态地位突出，是长江上游水源涵养地、黄河上游关键补给区，位列国家生态安全战略格局核心区域。全境地貌多样，西北高山终年积雪，中部丘状高原开阔平缓，南部高山峡谷林深谷幽，形成“雪山—草原—湿地—森林”立体生态格局。草原生态系统稳定，总面积达913.72万亩，综合植被盖度85.24%，曼泽塘湿地为省级自然保护区，是黑颈鹤等珍稀物种重要栖息地。森林资源丰富，林地面积超436万亩，森林蓄积量2445万立方米，原始林与次生林保存完好，生物多样性富集，有高等植物1100余种、野生动物220余种，其中国家重点保护动物90种，生态系统完整性与原真性强，为美丽</w:t>
      </w:r>
      <w:r>
        <w:rPr>
          <w:rFonts w:hint="eastAsia" w:ascii="Times New Roman" w:hAnsi="Times New Roman"/>
          <w:color w:val="000000" w:themeColor="text1"/>
          <w:highlight w:val="none"/>
          <w:lang w:val="en-US" w:eastAsia="zh-CN"/>
          <w14:textFill>
            <w14:solidFill>
              <w14:schemeClr w14:val="tx1"/>
            </w14:solidFill>
          </w14:textFill>
        </w:rPr>
        <w:t>阿坝</w:t>
      </w:r>
      <w:r>
        <w:rPr>
          <w:rFonts w:hint="eastAsia" w:ascii="Times New Roman" w:hAnsi="Times New Roman" w:eastAsia="仿宋_GB2312"/>
          <w:color w:val="000000" w:themeColor="text1"/>
          <w:highlight w:val="none"/>
          <w14:textFill>
            <w14:solidFill>
              <w14:schemeClr w14:val="tx1"/>
            </w14:solidFill>
          </w14:textFill>
        </w:rPr>
        <w:t>建设提供顶级生态基底</w:t>
      </w:r>
      <w:r>
        <w:rPr>
          <w:rFonts w:hint="eastAsia" w:ascii="Times New Roman" w:hAnsi="Times New Roman"/>
          <w:color w:val="000000" w:themeColor="text1"/>
          <w:highlight w:val="none"/>
          <w:lang w:eastAsia="zh-CN"/>
          <w14:textFill>
            <w14:solidFill>
              <w14:schemeClr w14:val="tx1"/>
            </w14:solidFill>
          </w14:textFill>
        </w:rPr>
        <w:t>。</w:t>
      </w:r>
    </w:p>
    <w:p w14:paraId="6FDE8778">
      <w:pPr>
        <w:pStyle w:val="4"/>
        <w:pageBreakBefore w:val="0"/>
        <w:widowControl w:val="0"/>
        <w:numPr>
          <w:ilvl w:val="0"/>
          <w:numId w:val="4"/>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color w:val="000000" w:themeColor="text1"/>
          <w:highlight w:val="none"/>
          <w14:textFill>
            <w14:solidFill>
              <w14:schemeClr w14:val="tx1"/>
            </w14:solidFill>
          </w14:textFill>
        </w:rPr>
      </w:pPr>
      <w:bookmarkStart w:id="10" w:name="_Toc29324"/>
      <w:r>
        <w:rPr>
          <w:rFonts w:hint="eastAsia" w:ascii="Times New Roman" w:hAnsi="Times New Roman" w:eastAsia="仿宋_GB2312" w:cs="Times New Roman"/>
          <w:color w:val="000000" w:themeColor="text1"/>
          <w:highlight w:val="none"/>
          <w14:textFill>
            <w14:solidFill>
              <w14:schemeClr w14:val="tx1"/>
            </w14:solidFill>
          </w14:textFill>
        </w:rPr>
        <w:t>资源品类富集，要素储备潜力充足</w:t>
      </w:r>
      <w:bookmarkEnd w:id="10"/>
    </w:p>
    <w:p w14:paraId="46FFEEBE">
      <w:pPr>
        <w:keepNext w:val="0"/>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Times New Roman"/>
          <w:color w:val="000000" w:themeColor="text1"/>
          <w:sz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highlight w:val="none"/>
          <w14:textFill>
            <w14:solidFill>
              <w14:schemeClr w14:val="tx1"/>
            </w14:solidFill>
          </w14:textFill>
        </w:rPr>
        <w:t>自然资源禀赋优异、类型多元、组合度好。土地资源以优质高寒草场为主，可利用草地超1000万亩，耕地集中于河谷地带，适配高原农牧业发展。矿产资源储量可观，褐煤储量达20亿吨，泥炭分布广泛，金、银、铅锌等金属矿与石灰石、花岗石等非金属矿品位较高、开发潜力大。水资源充沛优质，长江、黄河两大水系支流密布，流域面积100平方公里以上河流26条，高原湖泊与湿地星罗棋布，水能理论蕴藏量147.6万千瓦，可开发量83.7万千瓦，开发率仅2%，潜力巨大。生物资源极具特色，盛产虫草、贝母、红景天等名贵药材，云杉、冷杉、红豆杉等珍稀林木遍布，雪豹、金雕等珍稀野生动物栖息，是川西重要药材产区与高原生物基因库。清洁能源资源富集，属全国太阳能资源B类地区，年日照超2500小时，风能资源开发潜力大，水风光多能互补条件优越</w:t>
      </w:r>
      <w:r>
        <w:rPr>
          <w:rFonts w:hint="eastAsia" w:ascii="Times New Roman" w:hAnsi="Times New Roman" w:eastAsia="仿宋_GB2312" w:cs="Times New Roman"/>
          <w:color w:val="000000" w:themeColor="text1"/>
          <w:sz w:val="32"/>
          <w:highlight w:val="none"/>
          <w:lang w:eastAsia="zh-CN"/>
          <w14:textFill>
            <w14:solidFill>
              <w14:schemeClr w14:val="tx1"/>
            </w14:solidFill>
          </w14:textFill>
        </w:rPr>
        <w:t>。</w:t>
      </w:r>
    </w:p>
    <w:p w14:paraId="6376DB71">
      <w:pPr>
        <w:pStyle w:val="4"/>
        <w:keepNext w:val="0"/>
        <w:keepLines/>
        <w:pageBreakBefore w:val="0"/>
        <w:widowControl w:val="0"/>
        <w:numPr>
          <w:ilvl w:val="0"/>
          <w:numId w:val="4"/>
        </w:numPr>
        <w:shd w:val="clear"/>
        <w:tabs>
          <w:tab w:val="left" w:pos="5450"/>
        </w:tabs>
        <w:kinsoku/>
        <w:wordWrap/>
        <w:overflowPunct/>
        <w:topLinePunct w:val="0"/>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color w:val="000000" w:themeColor="text1"/>
          <w:highlight w:val="none"/>
          <w14:textFill>
            <w14:solidFill>
              <w14:schemeClr w14:val="tx1"/>
            </w14:solidFill>
          </w14:textFill>
        </w:rPr>
      </w:pPr>
      <w:bookmarkStart w:id="11" w:name="_Toc32209"/>
      <w:r>
        <w:rPr>
          <w:rFonts w:hint="eastAsia" w:ascii="Times New Roman" w:hAnsi="Times New Roman" w:eastAsia="仿宋_GB2312" w:cs="Times New Roman"/>
          <w:color w:val="000000" w:themeColor="text1"/>
          <w:highlight w:val="none"/>
          <w14:textFill>
            <w14:solidFill>
              <w14:schemeClr w14:val="tx1"/>
            </w14:solidFill>
          </w14:textFill>
        </w:rPr>
        <w:t>绿色业态成型，产业经济支撑有力</w:t>
      </w:r>
      <w:bookmarkEnd w:id="11"/>
      <w:r>
        <w:rPr>
          <w:rFonts w:hint="eastAsia" w:ascii="Times New Roman" w:hAnsi="Times New Roman" w:eastAsia="仿宋_GB2312" w:cs="Times New Roman"/>
          <w:color w:val="000000" w:themeColor="text1"/>
          <w:highlight w:val="none"/>
          <w14:textFill>
            <w14:solidFill>
              <w14:schemeClr w14:val="tx1"/>
            </w14:solidFill>
          </w14:textFill>
        </w:rPr>
        <w:tab/>
      </w:r>
    </w:p>
    <w:p w14:paraId="5C0E9EA5">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color w:val="000000" w:themeColor="text1"/>
          <w:highlight w:val="none"/>
          <w:lang w:eastAsia="zh-CN"/>
          <w14:textFill>
            <w14:solidFill>
              <w14:schemeClr w14:val="tx1"/>
            </w14:solidFill>
          </w14:textFill>
        </w:rPr>
        <w:t>绿色产业基础扎实、动能强劲，构建起生态农牧、清洁能源、文旅融合、林下经济四大绿色产业体系，与美丽建设高度契合。生态农牧业优势凸显，为四川省十大牧区县之一，牦牛、青稞为核心支柱，建成省五星青稞、省三星牦牛现代农业园区，全国首个青稞科技小院落地，青稞精深加工率超80%，综合产值达1.2亿元，“阿坝县拖岗黑青稞”等品牌影响力持续扩大。清洁能源产业加速崛起，光伏资源开发如火如荼，年内完成500万千瓦光伏项目确权，查理、河支等大型光伏项目落地，水风光多能互补格局加快形成，绿色能源正成为县域经济新增长极。全域文旅产业蓬勃发展，拥有莲宝叶则4A级景区（争创5A）、曼泽塘湿地等核心资源，草原、雪山、湿地、宗教文化等景观齐备，入选《中国国家地理》最美景观，2025年以莲宝叶则为核心推动文旅融合，打造低碳旅游新业态，文旅产业成为支柱产业。林下经济潜力释放，推进“高原森林粮库”建设，林下种植甘松、天麻、羊肚菌等，发展林产品加工，带动群众增收，形成生态保护与产业发展良性循环。整体绿色产业结构清晰、链条完整、生态附加值高，为美丽建设提供坚实经济支撑与可持续动力。</w:t>
      </w:r>
    </w:p>
    <w:p w14:paraId="227D0048">
      <w:pPr>
        <w:pStyle w:val="3"/>
        <w:pageBreakBefore w:val="0"/>
        <w:widowControl w:val="0"/>
        <w:numPr>
          <w:ilvl w:val="0"/>
          <w:numId w:val="2"/>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000000" w:themeColor="text1"/>
          <w:highlight w:val="none"/>
          <w14:textFill>
            <w14:solidFill>
              <w14:schemeClr w14:val="tx1"/>
            </w14:solidFill>
          </w14:textFill>
        </w:rPr>
      </w:pPr>
      <w:bookmarkStart w:id="12" w:name="_Toc25897"/>
      <w:r>
        <w:rPr>
          <w:rFonts w:hint="eastAsia" w:ascii="方正楷体_GB2312" w:hAnsi="方正楷体_GB2312" w:eastAsia="方正楷体_GB2312" w:cs="方正楷体_GB2312"/>
          <w:color w:val="000000" w:themeColor="text1"/>
          <w:highlight w:val="none"/>
          <w14:textFill>
            <w14:solidFill>
              <w14:schemeClr w14:val="tx1"/>
            </w14:solidFill>
          </w14:textFill>
        </w:rPr>
        <w:t>问题与挑战</w:t>
      </w:r>
      <w:bookmarkEnd w:id="12"/>
    </w:p>
    <w:p w14:paraId="21EE2C15">
      <w:pPr>
        <w:pStyle w:val="4"/>
        <w:pageBreakBefore w:val="0"/>
        <w:widowControl w:val="0"/>
        <w:numPr>
          <w:ilvl w:val="0"/>
          <w:numId w:val="5"/>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color w:val="000000" w:themeColor="text1"/>
          <w:highlight w:val="none"/>
          <w14:textFill>
            <w14:solidFill>
              <w14:schemeClr w14:val="tx1"/>
            </w14:solidFill>
          </w14:textFill>
        </w:rPr>
      </w:pPr>
      <w:bookmarkStart w:id="13" w:name="_Toc15896"/>
      <w:r>
        <w:rPr>
          <w:rFonts w:ascii="Times New Roman" w:hAnsi="Times New Roman" w:eastAsia="仿宋_GB2312" w:cs="Times New Roman"/>
          <w:color w:val="000000" w:themeColor="text1"/>
          <w:highlight w:val="none"/>
          <w14:textFill>
            <w14:solidFill>
              <w14:schemeClr w14:val="tx1"/>
            </w14:solidFill>
          </w14:textFill>
        </w:rPr>
        <w:t>基础设施建设滞后，城乡配套短板突出</w:t>
      </w:r>
      <w:bookmarkEnd w:id="13"/>
    </w:p>
    <w:p w14:paraId="3C672EAA">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color w:val="000000" w:themeColor="text1"/>
          <w:highlight w:val="none"/>
          <w:lang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县域基础设施整体薄弱。交通方面，干线公路等级偏低，农村公路、产业道路建设滞后，部分偏远牧区通达性差。水利设施短板明显，缺乏控制性水源工程，骨干沟渠标准低，防洪与流域治理能力不足，水源涵养配套薄弱。电力保障能力弱，电网输送距离长、通道狭窄，供电稳定性差，无法满足清洁能源开发与民生用电需求。市政设施不完善，城乡污水、垃圾处理设施覆盖不全，雨污分流不彻底，集中供暖缺口大；通讯网络存在盲点，远牧点信号弱，数字化建设支撑不足。同时，设施重建轻管，运维资金短缺、机制不健全，后续管护水平偏低。</w:t>
      </w:r>
    </w:p>
    <w:p w14:paraId="3F29D760">
      <w:pPr>
        <w:pStyle w:val="4"/>
        <w:pageBreakBefore w:val="0"/>
        <w:widowControl w:val="0"/>
        <w:numPr>
          <w:ilvl w:val="0"/>
          <w:numId w:val="5"/>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color w:val="000000" w:themeColor="text1"/>
          <w:highlight w:val="none"/>
          <w14:textFill>
            <w14:solidFill>
              <w14:schemeClr w14:val="tx1"/>
            </w14:solidFill>
          </w14:textFill>
        </w:rPr>
      </w:pPr>
      <w:bookmarkStart w:id="14" w:name="_Toc18195"/>
      <w:r>
        <w:rPr>
          <w:rFonts w:ascii="Times New Roman" w:hAnsi="Times New Roman" w:eastAsia="仿宋_GB2312" w:cs="Times New Roman"/>
          <w:color w:val="000000" w:themeColor="text1"/>
          <w:highlight w:val="none"/>
          <w14:textFill>
            <w14:solidFill>
              <w14:schemeClr w14:val="tx1"/>
            </w14:solidFill>
          </w14:textFill>
        </w:rPr>
        <w:t>生态治理能力不足，监管保护水平偏弱</w:t>
      </w:r>
      <w:bookmarkEnd w:id="14"/>
    </w:p>
    <w:p w14:paraId="450C720B">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作为长江黄河上游生态屏障，生态治理与监管存在明显短板。生态保护方面，草原“两化三害”、湿地退化、水土流失等问题突出，部分区域植被恢复难度大，林牧矛盾长期存在。治理能力层面，环保基础设施薄弱，城乡垃圾分类不规范，建筑垃圾、农业面源污染处理能力不足。监管执法力度不足，部门执法合力不强，日常巡查频次与质量不足。基层生态管护力量薄弱，管护员履职不到位、责任落实不力，生态补偿标准偏低、长效机制缺失，群众参与保护积极性不高。</w:t>
      </w:r>
    </w:p>
    <w:p w14:paraId="65061315">
      <w:pPr>
        <w:pStyle w:val="4"/>
        <w:pageBreakBefore w:val="0"/>
        <w:widowControl w:val="0"/>
        <w:numPr>
          <w:ilvl w:val="0"/>
          <w:numId w:val="5"/>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color w:val="000000" w:themeColor="text1"/>
          <w:highlight w:val="none"/>
          <w14:textFill>
            <w14:solidFill>
              <w14:schemeClr w14:val="tx1"/>
            </w14:solidFill>
          </w14:textFill>
        </w:rPr>
      </w:pPr>
      <w:bookmarkStart w:id="15" w:name="_Toc28349"/>
      <w:r>
        <w:rPr>
          <w:rFonts w:ascii="Times New Roman" w:hAnsi="Times New Roman" w:eastAsia="仿宋_GB2312" w:cs="Times New Roman"/>
          <w:color w:val="000000" w:themeColor="text1"/>
          <w:highlight w:val="none"/>
          <w14:textFill>
            <w14:solidFill>
              <w14:schemeClr w14:val="tx1"/>
            </w14:solidFill>
          </w14:textFill>
        </w:rPr>
        <w:t>资金投入缺口较大，多元融资渠道不畅</w:t>
      </w:r>
      <w:bookmarkEnd w:id="15"/>
    </w:p>
    <w:p w14:paraId="3DA96CEF">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县域财政实力薄弱，美丽建设资金保障存在压力。本级财政收入有限，2025年一般公共预算收入仅2.82亿元，难以覆盖基础设施、生态治理、产业发展等大额投入需求。项目投资下滑明显，2025年基础设施投资同比下降32.8%，产业投资下降50.4%，资金供给与建设需求矛盾突出。生态、农牧、文旅等重点领域项目普遍存在资金短缺，如高原森林粮库、光伏配套、农村人居环境整治等项目推进受阻。融资渠道单一，过度依赖上级转移支付与专项债，社会资本参与意愿低，市场化融资机制不成熟，资金撬动能力不足。</w:t>
      </w:r>
    </w:p>
    <w:p w14:paraId="3081ACB7">
      <w:pPr>
        <w:pStyle w:val="4"/>
        <w:pageBreakBefore w:val="0"/>
        <w:widowControl w:val="0"/>
        <w:numPr>
          <w:ilvl w:val="0"/>
          <w:numId w:val="5"/>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color w:val="000000" w:themeColor="text1"/>
          <w:highlight w:val="none"/>
          <w14:textFill>
            <w14:solidFill>
              <w14:schemeClr w14:val="tx1"/>
            </w14:solidFill>
          </w14:textFill>
        </w:rPr>
      </w:pPr>
      <w:bookmarkStart w:id="16" w:name="_Toc30237"/>
      <w:r>
        <w:rPr>
          <w:rFonts w:ascii="Times New Roman" w:hAnsi="Times New Roman" w:eastAsia="仿宋_GB2312" w:cs="Times New Roman"/>
          <w:color w:val="000000" w:themeColor="text1"/>
          <w:highlight w:val="none"/>
          <w14:textFill>
            <w14:solidFill>
              <w14:schemeClr w14:val="tx1"/>
            </w14:solidFill>
          </w14:textFill>
        </w:rPr>
        <w:t>生态系统</w:t>
      </w:r>
      <w:r>
        <w:rPr>
          <w:rFonts w:hint="eastAsia" w:ascii="Times New Roman" w:hAnsi="Times New Roman" w:eastAsia="仿宋_GB2312" w:cs="Times New Roman"/>
          <w:color w:val="000000" w:themeColor="text1"/>
          <w:highlight w:val="none"/>
          <w:lang w:val="en-US" w:eastAsia="zh-CN"/>
          <w14:textFill>
            <w14:solidFill>
              <w14:schemeClr w14:val="tx1"/>
            </w14:solidFill>
          </w14:textFill>
        </w:rPr>
        <w:t>敏感</w:t>
      </w:r>
      <w:r>
        <w:rPr>
          <w:rFonts w:ascii="Times New Roman" w:hAnsi="Times New Roman" w:eastAsia="仿宋_GB2312" w:cs="Times New Roman"/>
          <w:color w:val="000000" w:themeColor="text1"/>
          <w:highlight w:val="none"/>
          <w14:textFill>
            <w14:solidFill>
              <w14:schemeClr w14:val="tx1"/>
            </w14:solidFill>
          </w14:textFill>
        </w:rPr>
        <w:t>脆弱，保护修复难度</w:t>
      </w:r>
      <w:r>
        <w:rPr>
          <w:rFonts w:hint="eastAsia" w:ascii="Times New Roman" w:hAnsi="Times New Roman" w:eastAsia="仿宋_GB2312" w:cs="Times New Roman"/>
          <w:color w:val="000000" w:themeColor="text1"/>
          <w:highlight w:val="none"/>
          <w:lang w:val="en-US" w:eastAsia="zh-CN"/>
          <w14:textFill>
            <w14:solidFill>
              <w14:schemeClr w14:val="tx1"/>
            </w14:solidFill>
          </w14:textFill>
        </w:rPr>
        <w:t>较高</w:t>
      </w:r>
      <w:bookmarkEnd w:id="16"/>
    </w:p>
    <w:p w14:paraId="44F6A7FE">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阿坝县地处生态敏感带，生态系统脆弱性突出，抗干扰能力与自我修复能力弱。全县平均海拔3999米，属高原寒温带，气候恶劣、生长期短，植被生长缓慢，一旦破坏极难恢复。生态保护红线占国土面积48.84%，环境容量有限，北部区域为生态极度脆弱区，土地沙化、水土流失、湿地退化问题集中。自然灾害频发，泥石流、冰雹、雪灾等突发灾害多发，对生态设施、人居环境破坏严重，加剧生态退化风险。生态保护与发展矛盾突出，产业开发、城镇建设易对脆弱生态造成不可逆影响，平衡保护与发展难度较大。</w:t>
      </w:r>
    </w:p>
    <w:p w14:paraId="25A401F9">
      <w:pPr>
        <w:pStyle w:val="4"/>
        <w:pageBreakBefore w:val="0"/>
        <w:widowControl w:val="0"/>
        <w:numPr>
          <w:ilvl w:val="0"/>
          <w:numId w:val="5"/>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color w:val="000000" w:themeColor="text1"/>
          <w:highlight w:val="none"/>
          <w14:textFill>
            <w14:solidFill>
              <w14:schemeClr w14:val="tx1"/>
            </w14:solidFill>
          </w14:textFill>
        </w:rPr>
      </w:pPr>
      <w:bookmarkStart w:id="17" w:name="_Toc21078"/>
      <w:r>
        <w:rPr>
          <w:rFonts w:ascii="Times New Roman" w:hAnsi="Times New Roman" w:eastAsia="仿宋_GB2312" w:cs="Times New Roman"/>
          <w:color w:val="000000" w:themeColor="text1"/>
          <w:highlight w:val="none"/>
          <w14:textFill>
            <w14:solidFill>
              <w14:schemeClr w14:val="tx1"/>
            </w14:solidFill>
          </w14:textFill>
        </w:rPr>
        <w:t>产业发展质效偏低，绿色动能支撑不足</w:t>
      </w:r>
      <w:bookmarkEnd w:id="17"/>
    </w:p>
    <w:p w14:paraId="4864524F">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color w:val="000000" w:themeColor="text1"/>
          <w:highlight w:val="none"/>
          <w:lang w:val="en-US" w:eastAsia="zh-CN"/>
          <w14:textFill>
            <w14:solidFill>
              <w14:schemeClr w14:val="tx1"/>
            </w14:solidFill>
          </w14:textFill>
        </w:rPr>
      </w:pPr>
      <w:r>
        <w:rPr>
          <w:rFonts w:hint="eastAsia" w:ascii="Times New Roman" w:hAnsi="Times New Roman"/>
          <w:color w:val="000000" w:themeColor="text1"/>
          <w:highlight w:val="none"/>
          <w:lang w:val="en-US" w:eastAsia="zh-CN"/>
          <w14:textFill>
            <w14:solidFill>
              <w14:schemeClr w14:val="tx1"/>
            </w14:solidFill>
          </w14:textFill>
        </w:rPr>
        <w:t>绿色产业体系不健全，发展质量与效益不高。产业结构失衡，2025年三次产业结构为</w:t>
      </w:r>
      <w:r>
        <w:rPr>
          <w:rFonts w:hint="default" w:ascii="Times New Roman" w:hAnsi="Times New Roman" w:eastAsia="仿宋_GB2312" w:cs="Times New Roman"/>
          <w:color w:val="000000" w:themeColor="text1"/>
          <w:kern w:val="2"/>
          <w:sz w:val="32"/>
          <w:szCs w:val="24"/>
          <w:highlight w:val="none"/>
          <w:lang w:val="en-US" w:eastAsia="zh-CN" w:bidi="ar-SA"/>
          <w14:textFill>
            <w14:solidFill>
              <w14:schemeClr w14:val="tx1"/>
            </w14:solidFill>
          </w14:textFill>
        </w:rPr>
        <w:t>32.6：11.7：55.7</w:t>
      </w:r>
      <w:r>
        <w:rPr>
          <w:rFonts w:hint="eastAsia" w:ascii="Times New Roman" w:hAnsi="Times New Roman"/>
          <w:color w:val="000000" w:themeColor="text1"/>
          <w:highlight w:val="none"/>
          <w:lang w:val="en-US" w:eastAsia="zh-CN"/>
          <w14:textFill>
            <w14:solidFill>
              <w14:schemeClr w14:val="tx1"/>
            </w14:solidFill>
          </w14:textFill>
        </w:rPr>
        <w:t>，一产现代化水平低、二产缺乏支柱、三产质量不优。生态农牧业粗放，仍以传统放牧、“三天农业”模式为主，青稞、牦牛等特色产业精深加工不足，产业链短、附加值低，品牌影响力弱。清洁能源开发滞后，光伏、水能资源丰富但电网配套不足，开发率仅2%，水风光多能互补格局尚未形成。文旅产业发育不成熟，莲宝叶则等核心资源挖掘不深，产品单一、融合度低，低碳旅游新业态培育不足。林下经济规模小，甘松、羊肚菌等种植分散，加工能力薄弱，生态价值转化效率较低。</w:t>
      </w:r>
    </w:p>
    <w:p w14:paraId="78F0107E">
      <w:pPr>
        <w:pStyle w:val="3"/>
        <w:pageBreakBefore w:val="0"/>
        <w:widowControl w:val="0"/>
        <w:numPr>
          <w:ilvl w:val="0"/>
          <w:numId w:val="2"/>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000000" w:themeColor="text1"/>
          <w:highlight w:val="none"/>
          <w14:textFill>
            <w14:solidFill>
              <w14:schemeClr w14:val="tx1"/>
            </w14:solidFill>
          </w14:textFill>
        </w:rPr>
      </w:pPr>
      <w:bookmarkStart w:id="18" w:name="_Toc24142"/>
      <w:r>
        <w:rPr>
          <w:rFonts w:hint="eastAsia" w:ascii="方正楷体_GB2312" w:hAnsi="方正楷体_GB2312" w:eastAsia="方正楷体_GB2312" w:cs="方正楷体_GB2312"/>
          <w:color w:val="000000" w:themeColor="text1"/>
          <w:highlight w:val="none"/>
          <w14:textFill>
            <w14:solidFill>
              <w14:schemeClr w14:val="tx1"/>
            </w14:solidFill>
          </w14:textFill>
        </w:rPr>
        <w:t>重大机遇</w:t>
      </w:r>
      <w:bookmarkEnd w:id="18"/>
    </w:p>
    <w:p w14:paraId="2BC9CA01">
      <w:pPr>
        <w:pStyle w:val="4"/>
        <w:pageBreakBefore w:val="0"/>
        <w:widowControl w:val="0"/>
        <w:numPr>
          <w:ilvl w:val="0"/>
          <w:numId w:val="6"/>
        </w:numPr>
        <w:shd w:val="clear"/>
        <w:kinsoku/>
        <w:wordWrap/>
        <w:overflowPunct/>
        <w:autoSpaceDE/>
        <w:autoSpaceDN/>
        <w:bidi w:val="0"/>
        <w:adjustRightInd/>
        <w:snapToGrid/>
        <w:spacing w:before="0" w:after="0" w:line="560" w:lineRule="atLeast"/>
        <w:ind w:firstLine="641"/>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bookmarkStart w:id="19" w:name="_Toc12657"/>
      <w:r>
        <w:rPr>
          <w:rFonts w:hint="eastAsia" w:ascii="Times New Roman" w:hAnsi="Times New Roman" w:eastAsia="仿宋_GB2312" w:cs="Times New Roman"/>
          <w:color w:val="000000" w:themeColor="text1"/>
          <w:highlight w:val="none"/>
          <w:lang w:val="en-US" w:eastAsia="zh-CN"/>
          <w14:textFill>
            <w14:solidFill>
              <w14:schemeClr w14:val="tx1"/>
            </w14:solidFill>
          </w14:textFill>
        </w:rPr>
        <w:t>国家战略叠加赋能，政策红利集中释放</w:t>
      </w:r>
      <w:bookmarkEnd w:id="19"/>
    </w:p>
    <w:p w14:paraId="2CB5986D">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FF"/>
          <w:highlight w:val="none"/>
          <w:lang w:eastAsia="zh-CN"/>
        </w:rPr>
      </w:pPr>
      <w:r>
        <w:rPr>
          <w:rFonts w:hint="eastAsia" w:ascii="Times New Roman" w:hAnsi="Times New Roman" w:eastAsia="仿宋_GB2312"/>
          <w:color w:val="000000" w:themeColor="text1"/>
          <w:highlight w:val="none"/>
          <w:lang w:val="en-US" w:eastAsia="zh-CN"/>
          <w14:textFill>
            <w14:solidFill>
              <w14:schemeClr w14:val="tx1"/>
            </w14:solidFill>
          </w14:textFill>
        </w:rPr>
        <w:t>国家与省级战略多重交汇，为美丽阿坝建设提供顶层支撑与政策加持。深度融入黄河流域生态保护和高质量发展、成渝地区双城经济圈建设、新时代西部大开发等国家战略，作为长江黄河上游生态屏障核心区，生态保护与修复获得中省专项政策倾斜阿坝县人民政府。省委“四化同步、城乡融合、五区共兴”与州委“1610”系统部署、《美丽阿坝建设规划（2023—2035年）》精准落地，明确支持阿坝县创建川甘青交界区域中心城市与最美高原县城，在生态治理、文旅发展、基础设施等方面给予重点保障。同时，生态环境法典立法推进，高原、冰川纳入法定保护范畴，为县域生态保护修复提供坚实法治支撑。</w:t>
      </w:r>
    </w:p>
    <w:p w14:paraId="5B214644">
      <w:pPr>
        <w:pStyle w:val="4"/>
        <w:pageBreakBefore w:val="0"/>
        <w:widowControl w:val="0"/>
        <w:numPr>
          <w:ilvl w:val="0"/>
          <w:numId w:val="6"/>
        </w:numPr>
        <w:shd w:val="clear"/>
        <w:kinsoku/>
        <w:wordWrap/>
        <w:overflowPunct/>
        <w:autoSpaceDE/>
        <w:autoSpaceDN/>
        <w:bidi w:val="0"/>
        <w:adjustRightInd/>
        <w:snapToGrid/>
        <w:spacing w:before="0" w:after="0" w:line="560" w:lineRule="atLeast"/>
        <w:ind w:firstLine="641"/>
        <w:textAlignment w:val="auto"/>
        <w:rPr>
          <w:rFonts w:hint="eastAsia" w:ascii="Times New Roman" w:hAnsi="Times New Roman" w:eastAsia="仿宋_GB2312" w:cs="Times New Roman"/>
          <w:color w:val="auto"/>
          <w:highlight w:val="none"/>
          <w:lang w:val="en-US" w:eastAsia="zh-CN"/>
        </w:rPr>
      </w:pPr>
      <w:bookmarkStart w:id="20" w:name="_Toc2070"/>
      <w:r>
        <w:rPr>
          <w:rFonts w:hint="eastAsia" w:ascii="Times New Roman" w:hAnsi="Times New Roman" w:eastAsia="仿宋_GB2312" w:cs="Times New Roman"/>
          <w:color w:val="auto"/>
          <w:highlight w:val="none"/>
          <w:lang w:val="en-US" w:eastAsia="zh-CN"/>
        </w:rPr>
        <w:t>清洁能源产业爆发，绿色动能加速集聚</w:t>
      </w:r>
      <w:bookmarkEnd w:id="20"/>
    </w:p>
    <w:p w14:paraId="7E16E266">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阿坝州北部清洁能源基地建设提速，阿坝县光伏、水能资源开发迎来历史性窗口期。2025年已完成500万千瓦光伏项目确权，查理“光伏+N”二期85万千瓦、河支100万千瓦光伏项目顺利备案，总投资近200亿元，投产后年发电量达88亿千瓦时、年创税收近5亿元，同步带动1.3万人次就业。水风光多能互补开发模式加快构建，清洁能源产业“1+N”融合发展路径清晰，既助力碳达峰碳中和目标实现，又为城乡建设、产业发展提供稳定绿色能源保障，成为美丽建设核心经济引擎。</w:t>
      </w:r>
    </w:p>
    <w:p w14:paraId="4CCA8F33">
      <w:pPr>
        <w:pStyle w:val="4"/>
        <w:pageBreakBefore w:val="0"/>
        <w:widowControl w:val="0"/>
        <w:numPr>
          <w:ilvl w:val="0"/>
          <w:numId w:val="6"/>
        </w:numPr>
        <w:shd w:val="clear"/>
        <w:kinsoku/>
        <w:wordWrap/>
        <w:overflowPunct/>
        <w:autoSpaceDE/>
        <w:autoSpaceDN/>
        <w:bidi w:val="0"/>
        <w:adjustRightInd/>
        <w:snapToGrid/>
        <w:spacing w:before="0" w:after="0" w:line="560" w:lineRule="atLeast"/>
        <w:ind w:firstLine="641"/>
        <w:textAlignment w:val="auto"/>
        <w:rPr>
          <w:rFonts w:hint="eastAsia" w:ascii="Times New Roman" w:hAnsi="Times New Roman" w:eastAsia="仿宋_GB2312" w:cs="Times New Roman"/>
          <w:color w:val="auto"/>
          <w:highlight w:val="none"/>
          <w:lang w:val="en-US" w:eastAsia="zh-CN"/>
        </w:rPr>
      </w:pPr>
      <w:bookmarkStart w:id="21" w:name="_Toc13421"/>
      <w:r>
        <w:rPr>
          <w:rFonts w:hint="eastAsia" w:ascii="Times New Roman" w:hAnsi="Times New Roman" w:eastAsia="仿宋_GB2312" w:cs="Times New Roman"/>
          <w:color w:val="auto"/>
          <w:highlight w:val="none"/>
          <w:lang w:val="en-US" w:eastAsia="zh-CN"/>
        </w:rPr>
        <w:t>文旅融合纵深推进，产业能级持续跃升</w:t>
      </w:r>
      <w:bookmarkEnd w:id="21"/>
    </w:p>
    <w:p w14:paraId="1656AEC8">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依托世界级生态与安多文化资源，文旅产业迎来品质升级与价值爆发机遇。以莲宝叶则5A级景区创建为核心，八大类配套设施全面提质，2025年景区接待游客43.23万人次，综合收入</w:t>
      </w:r>
      <w:r>
        <w:rPr>
          <w:rFonts w:hint="eastAsia" w:ascii="Times New Roman" w:hAnsi="Times New Roman" w:eastAsia="仿宋_GB2312" w:cs="Times New Roman"/>
          <w:color w:val="auto"/>
          <w:kern w:val="2"/>
          <w:sz w:val="32"/>
          <w:szCs w:val="24"/>
          <w:highlight w:val="none"/>
          <w:lang w:val="en-US" w:eastAsia="zh-CN" w:bidi="ar-SA"/>
        </w:rPr>
        <w:t>4378.25</w:t>
      </w:r>
      <w:r>
        <w:rPr>
          <w:rFonts w:hint="eastAsia" w:ascii="Times New Roman" w:hAnsi="Times New Roman"/>
          <w:color w:val="auto"/>
          <w:highlight w:val="none"/>
          <w:lang w:val="en-US" w:eastAsia="zh-CN"/>
        </w:rPr>
        <w:t>万元，同比分别增长34.10%和31.31%。扎崇文化旅游季、阿曲河畔狂欢节等IP活动影响力扩大，“无形妙有”非遗研学基地入选省级研学基地，藏香、藏陶、唐卡等沉浸式体验项目持续引流。州委明确支持神座传统村落建设、游牧体验民宿样板区提升，文旅融合从“流量”向“留量”转变，国际生态文化旅游目的地建设加速，为美丽建设注入强劲消费动能。</w:t>
      </w:r>
    </w:p>
    <w:p w14:paraId="3BDBD545">
      <w:pPr>
        <w:pStyle w:val="4"/>
        <w:keepNext w:val="0"/>
        <w:keepLines/>
        <w:pageBreakBefore w:val="0"/>
        <w:widowControl w:val="0"/>
        <w:numPr>
          <w:ilvl w:val="0"/>
          <w:numId w:val="6"/>
        </w:numPr>
        <w:shd w:val="clear"/>
        <w:kinsoku/>
        <w:wordWrap/>
        <w:overflowPunct/>
        <w:topLinePunct w:val="0"/>
        <w:autoSpaceDE/>
        <w:autoSpaceDN/>
        <w:bidi w:val="0"/>
        <w:adjustRightInd/>
        <w:snapToGrid/>
        <w:spacing w:before="0" w:after="0" w:line="560" w:lineRule="atLeast"/>
        <w:ind w:firstLine="641"/>
        <w:textAlignment w:val="auto"/>
        <w:rPr>
          <w:rFonts w:hint="eastAsia" w:ascii="Times New Roman" w:hAnsi="Times New Roman" w:eastAsia="仿宋_GB2312" w:cs="Times New Roman"/>
          <w:color w:val="auto"/>
          <w:highlight w:val="none"/>
          <w:lang w:val="en-US" w:eastAsia="zh-CN"/>
        </w:rPr>
      </w:pPr>
      <w:bookmarkStart w:id="22" w:name="_Toc32065"/>
      <w:r>
        <w:rPr>
          <w:rFonts w:hint="eastAsia" w:ascii="Times New Roman" w:hAnsi="Times New Roman" w:eastAsia="仿宋_GB2312" w:cs="Times New Roman"/>
          <w:color w:val="auto"/>
          <w:highlight w:val="none"/>
          <w:lang w:val="en-US" w:eastAsia="zh-CN"/>
        </w:rPr>
        <w:t>特色农牧业科技赋能，产业价值高效释放</w:t>
      </w:r>
      <w:bookmarkEnd w:id="22"/>
    </w:p>
    <w:p w14:paraId="0D0BB2C4">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传统农牧业向现代化、品牌化转型提速，科技与品牌双轮驱动产业提质增效。依托全国首个青稞科技小院，培育抗倒伏、抗病新品种，青稞亩产从260斤提升至400余斤，增幅超50%；物联网监测、无人机施肥等智慧农业技术普及，推动高原粮仓提质扩容。“阿坝县拖岗黑青稞”获国际认可，青稞奶茶、脆饼等深加工产品畅销粤港澳大湾区，2025年央企消费帮扶销售额突破140万元。牦牛、藏羊等生态牧场标准化建设推进，种养加产业链不断延伸，生态价值转化效率显著提升，助力农牧民增收与乡村振兴，夯实美丽建设民生基础。</w:t>
      </w:r>
    </w:p>
    <w:p w14:paraId="7E680425">
      <w:pPr>
        <w:pStyle w:val="4"/>
        <w:pageBreakBefore w:val="0"/>
        <w:widowControl w:val="0"/>
        <w:numPr>
          <w:ilvl w:val="0"/>
          <w:numId w:val="6"/>
        </w:numPr>
        <w:shd w:val="clear"/>
        <w:kinsoku/>
        <w:wordWrap/>
        <w:overflowPunct/>
        <w:autoSpaceDE/>
        <w:autoSpaceDN/>
        <w:bidi w:val="0"/>
        <w:adjustRightInd/>
        <w:snapToGrid/>
        <w:spacing w:before="0" w:after="0" w:line="560" w:lineRule="atLeast"/>
        <w:ind w:firstLine="641"/>
        <w:textAlignment w:val="auto"/>
        <w:rPr>
          <w:rFonts w:hint="eastAsia" w:ascii="Times New Roman" w:hAnsi="Times New Roman" w:eastAsia="仿宋_GB2312" w:cs="Times New Roman"/>
          <w:color w:val="auto"/>
          <w:highlight w:val="none"/>
          <w:lang w:val="en-US" w:eastAsia="zh-CN"/>
        </w:rPr>
      </w:pPr>
      <w:bookmarkStart w:id="23" w:name="_Toc23852"/>
      <w:r>
        <w:rPr>
          <w:rFonts w:hint="eastAsia" w:ascii="Times New Roman" w:hAnsi="Times New Roman" w:eastAsia="仿宋_GB2312" w:cs="Times New Roman"/>
          <w:color w:val="auto"/>
          <w:highlight w:val="none"/>
          <w:lang w:val="en-US" w:eastAsia="zh-CN"/>
        </w:rPr>
        <w:t>基础设施提档升级，发展支撑全面强化</w:t>
      </w:r>
      <w:bookmarkEnd w:id="23"/>
    </w:p>
    <w:p w14:paraId="1134B67D">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交通、水利、能源、市政等基础设施建设迎来加速期，城乡发展承载力持续增强。川青铁路、都四轨道环线等区域交通网络布局优化，县域干线公路等级提升，农村产业道路、牧区通达工程加快推进，三省交界区位联通优势进一步凸显。水利设施短板加速补齐，控制性水源工程、骨干沟渠建设推进，防洪减灾与水源涵养能力提升。电网配套工程同步跟进，110kV输变电线路升级，保障清洁能源外送与民生用电需求。城乡污水、垃圾处理设施全覆盖，雨污分流、集中供暖、通讯网络等市政设施完善，人居环境持续优化，为美丽建设筑牢硬件支撑。</w:t>
      </w:r>
    </w:p>
    <w:p w14:paraId="7C70D247">
      <w:pPr>
        <w:pStyle w:val="4"/>
        <w:keepNext w:val="0"/>
        <w:keepLines/>
        <w:pageBreakBefore w:val="0"/>
        <w:widowControl w:val="0"/>
        <w:numPr>
          <w:ilvl w:val="0"/>
          <w:numId w:val="6"/>
        </w:numPr>
        <w:shd w:val="clear"/>
        <w:kinsoku/>
        <w:wordWrap/>
        <w:overflowPunct/>
        <w:topLinePunct w:val="0"/>
        <w:autoSpaceDE/>
        <w:autoSpaceDN/>
        <w:bidi w:val="0"/>
        <w:adjustRightInd/>
        <w:snapToGrid/>
        <w:spacing w:before="0" w:after="0" w:line="560" w:lineRule="atLeast"/>
        <w:ind w:firstLine="641"/>
        <w:textAlignment w:val="auto"/>
        <w:rPr>
          <w:rFonts w:hint="eastAsia" w:ascii="Times New Roman" w:hAnsi="Times New Roman" w:eastAsia="仿宋_GB2312" w:cs="Times New Roman"/>
          <w:color w:val="auto"/>
          <w:highlight w:val="none"/>
          <w:lang w:val="en-US" w:eastAsia="zh-CN"/>
        </w:rPr>
      </w:pPr>
      <w:bookmarkStart w:id="24" w:name="_Toc25188"/>
      <w:r>
        <w:rPr>
          <w:rFonts w:hint="eastAsia" w:ascii="Times New Roman" w:hAnsi="Times New Roman" w:eastAsia="仿宋_GB2312" w:cs="Times New Roman"/>
          <w:color w:val="auto"/>
          <w:highlight w:val="none"/>
          <w:lang w:val="en-US" w:eastAsia="zh-CN"/>
        </w:rPr>
        <w:t>生态保护力度加大，绿色本底持续夯实</w:t>
      </w:r>
      <w:bookmarkEnd w:id="24"/>
    </w:p>
    <w:p w14:paraId="4DA561BE">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auto"/>
          <w:highlight w:val="none"/>
        </w:rPr>
      </w:pPr>
      <w:r>
        <w:rPr>
          <w:rFonts w:hint="eastAsia" w:ascii="Times New Roman" w:hAnsi="Times New Roman"/>
          <w:color w:val="auto"/>
          <w:highlight w:val="none"/>
          <w:lang w:val="en-US" w:eastAsia="zh-CN"/>
        </w:rPr>
        <w:t>作为长江黄河上游重要生态屏障，生态保护修复获得政策、资金、项目全方位支持，山水林田湖草沙一体化保护和系统治理项目密集落地。草原“两化三害”治理、湿地修复、水土流失治理等工程深入实施，2025年全县</w:t>
      </w:r>
      <w:r>
        <w:rPr>
          <w:rFonts w:hint="eastAsia" w:ascii="仿宋_GB2312" w:hAnsi="仿宋_GB2312" w:eastAsia="仿宋_GB2312" w:cs="仿宋_GB2312"/>
          <w:b w:val="0"/>
          <w:bCs w:val="0"/>
          <w:color w:val="auto"/>
          <w:spacing w:val="-14"/>
          <w:kern w:val="2"/>
          <w:sz w:val="32"/>
          <w:szCs w:val="32"/>
          <w:highlight w:val="none"/>
          <w:lang w:val="en-US" w:eastAsia="zh-CN" w:bidi="ar-SA"/>
        </w:rPr>
        <w:t>完成天然草原改良</w:t>
      </w:r>
      <w:r>
        <w:rPr>
          <w:rFonts w:hint="default" w:ascii="Times New Roman" w:hAnsi="Times New Roman" w:eastAsia="仿宋_GB2312" w:cs="Times New Roman"/>
          <w:b w:val="0"/>
          <w:bCs w:val="0"/>
          <w:color w:val="auto"/>
          <w:spacing w:val="-14"/>
          <w:kern w:val="2"/>
          <w:sz w:val="32"/>
          <w:szCs w:val="32"/>
          <w:highlight w:val="none"/>
          <w:lang w:val="en-US" w:eastAsia="zh-CN" w:bidi="ar-SA"/>
        </w:rPr>
        <w:t>3.38万亩</w:t>
      </w:r>
      <w:r>
        <w:rPr>
          <w:rFonts w:hint="default" w:ascii="Times New Roman" w:hAnsi="Times New Roman" w:cs="Times New Roman"/>
          <w:color w:val="0000FF"/>
          <w:highlight w:val="none"/>
          <w:lang w:val="en-US" w:eastAsia="zh-CN"/>
        </w:rPr>
        <w:t>、</w:t>
      </w:r>
      <w:r>
        <w:rPr>
          <w:rFonts w:hint="default" w:ascii="Times New Roman" w:hAnsi="Times New Roman" w:eastAsia="仿宋_GB2312" w:cs="Times New Roman"/>
          <w:b w:val="0"/>
          <w:bCs w:val="0"/>
          <w:color w:val="auto"/>
          <w:spacing w:val="-14"/>
          <w:kern w:val="2"/>
          <w:sz w:val="32"/>
          <w:szCs w:val="32"/>
          <w:highlight w:val="none"/>
          <w:lang w:val="en-US" w:eastAsia="zh-CN" w:bidi="ar-SA"/>
        </w:rPr>
        <w:t>退化林修复0.8</w:t>
      </w:r>
      <w:r>
        <w:rPr>
          <w:rFonts w:hint="eastAsia" w:ascii="仿宋_GB2312" w:hAnsi="仿宋_GB2312" w:eastAsia="仿宋_GB2312" w:cs="仿宋_GB2312"/>
          <w:b w:val="0"/>
          <w:bCs w:val="0"/>
          <w:color w:val="auto"/>
          <w:spacing w:val="-14"/>
          <w:kern w:val="2"/>
          <w:sz w:val="32"/>
          <w:szCs w:val="32"/>
          <w:highlight w:val="none"/>
          <w:lang w:val="en-US" w:eastAsia="zh-CN" w:bidi="ar-SA"/>
        </w:rPr>
        <w:t>万亩</w:t>
      </w:r>
      <w:r>
        <w:rPr>
          <w:rFonts w:hint="eastAsia" w:ascii="仿宋_GB2312" w:hAnsi="仿宋_GB2312" w:cs="仿宋_GB2312"/>
          <w:b w:val="0"/>
          <w:bCs w:val="0"/>
          <w:color w:val="auto"/>
          <w:spacing w:val="-14"/>
          <w:kern w:val="2"/>
          <w:sz w:val="32"/>
          <w:szCs w:val="32"/>
          <w:highlight w:val="none"/>
          <w:lang w:val="en-US" w:eastAsia="zh-CN" w:bidi="ar-SA"/>
        </w:rPr>
        <w:t>、</w:t>
      </w:r>
      <w:r>
        <w:rPr>
          <w:rFonts w:hint="eastAsia" w:ascii="仿宋_GB2312" w:hAnsi="仿宋_GB2312" w:eastAsia="仿宋_GB2312" w:cs="仿宋_GB2312"/>
          <w:b w:val="0"/>
          <w:bCs w:val="0"/>
          <w:color w:val="auto"/>
          <w:spacing w:val="-14"/>
          <w:kern w:val="2"/>
          <w:sz w:val="32"/>
          <w:szCs w:val="32"/>
          <w:highlight w:val="none"/>
          <w:lang w:val="en-US" w:eastAsia="zh-CN" w:bidi="ar-SA"/>
        </w:rPr>
        <w:t>人工造林</w:t>
      </w:r>
      <w:r>
        <w:rPr>
          <w:rFonts w:hint="default" w:ascii="Times New Roman" w:hAnsi="Times New Roman" w:eastAsia="仿宋_GB2312" w:cs="Times New Roman"/>
          <w:b w:val="0"/>
          <w:bCs w:val="0"/>
          <w:color w:val="auto"/>
          <w:spacing w:val="-14"/>
          <w:kern w:val="2"/>
          <w:sz w:val="32"/>
          <w:szCs w:val="32"/>
          <w:highlight w:val="none"/>
          <w:lang w:val="en-US" w:eastAsia="zh-CN" w:bidi="ar-SA"/>
        </w:rPr>
        <w:t>0.05万亩、草原鼠害防治60</w:t>
      </w:r>
      <w:r>
        <w:rPr>
          <w:rFonts w:hint="eastAsia" w:ascii="仿宋_GB2312" w:hAnsi="仿宋_GB2312" w:eastAsia="仿宋_GB2312" w:cs="仿宋_GB2312"/>
          <w:b w:val="0"/>
          <w:bCs w:val="0"/>
          <w:color w:val="auto"/>
          <w:spacing w:val="-14"/>
          <w:kern w:val="2"/>
          <w:sz w:val="32"/>
          <w:szCs w:val="32"/>
          <w:highlight w:val="none"/>
          <w:lang w:val="en-US" w:eastAsia="zh-CN" w:bidi="ar-SA"/>
        </w:rPr>
        <w:t>万亩次</w:t>
      </w:r>
      <w:r>
        <w:rPr>
          <w:rFonts w:hint="eastAsia" w:ascii="Times New Roman" w:hAnsi="Times New Roman"/>
          <w:color w:val="auto"/>
          <w:highlight w:val="none"/>
          <w:lang w:val="en-US" w:eastAsia="zh-CN"/>
        </w:rPr>
        <w:t>，阿坝县生态系统稳定性持续增强。生态补偿机制不断完善，管护队伍建设加强，群众参与生态保护积极性提升，优质生态本底既是美丽建设核心底色，也是生态产品价值实现的重要依托。</w:t>
      </w:r>
    </w:p>
    <w:p w14:paraId="5CA38F30">
      <w:pPr>
        <w:pStyle w:val="2"/>
        <w:keepNext w:val="0"/>
        <w:keepLines w:val="0"/>
        <w:pageBreakBefore w:val="0"/>
        <w:widowControl w:val="0"/>
        <w:numPr>
          <w:ilvl w:val="0"/>
          <w:numId w:val="1"/>
        </w:numPr>
        <w:shd w:val="clear"/>
        <w:kinsoku/>
        <w:wordWrap/>
        <w:overflowPunct/>
        <w:topLinePunct/>
        <w:autoSpaceDE/>
        <w:autoSpaceDN/>
        <w:bidi w:val="0"/>
        <w:adjustRightInd/>
        <w:snapToGrid/>
        <w:spacing w:before="0" w:after="0" w:line="560" w:lineRule="atLeast"/>
        <w:ind w:firstLine="643" w:firstLineChars="200"/>
        <w:jc w:val="left"/>
        <w:textAlignment w:val="auto"/>
        <w:rPr>
          <w:rFonts w:hint="eastAsia" w:ascii="宋体" w:hAnsi="宋体" w:eastAsia="黑体" w:cs="Times New Roman"/>
          <w:bCs/>
          <w:color w:val="000000" w:themeColor="text1"/>
          <w:sz w:val="32"/>
          <w:szCs w:val="48"/>
          <w:highlight w:val="none"/>
          <w14:textFill>
            <w14:solidFill>
              <w14:schemeClr w14:val="tx1"/>
            </w14:solidFill>
          </w14:textFill>
        </w:rPr>
      </w:pPr>
      <w:bookmarkStart w:id="25" w:name="_Toc10046"/>
      <w:r>
        <w:rPr>
          <w:rFonts w:hint="eastAsia" w:ascii="宋体" w:hAnsi="宋体" w:eastAsia="黑体" w:cs="Times New Roman"/>
          <w:bCs/>
          <w:color w:val="000000" w:themeColor="text1"/>
          <w:sz w:val="32"/>
          <w:szCs w:val="48"/>
          <w:highlight w:val="none"/>
          <w14:textFill>
            <w14:solidFill>
              <w14:schemeClr w14:val="tx1"/>
            </w14:solidFill>
          </w14:textFill>
        </w:rPr>
        <w:t>总体要求</w:t>
      </w:r>
      <w:bookmarkEnd w:id="25"/>
    </w:p>
    <w:p w14:paraId="09B90420">
      <w:pPr>
        <w:pStyle w:val="3"/>
        <w:pageBreakBefore w:val="0"/>
        <w:widowControl w:val="0"/>
        <w:numPr>
          <w:ilvl w:val="0"/>
          <w:numId w:val="7"/>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000000" w:themeColor="text1"/>
          <w:highlight w:val="none"/>
          <w14:textFill>
            <w14:solidFill>
              <w14:schemeClr w14:val="tx1"/>
            </w14:solidFill>
          </w14:textFill>
        </w:rPr>
      </w:pPr>
      <w:bookmarkStart w:id="26" w:name="_Toc20700"/>
      <w:r>
        <w:rPr>
          <w:rFonts w:hint="eastAsia" w:ascii="方正楷体_GB2312" w:hAnsi="方正楷体_GB2312" w:eastAsia="方正楷体_GB2312" w:cs="方正楷体_GB2312"/>
          <w:color w:val="000000" w:themeColor="text1"/>
          <w:highlight w:val="none"/>
          <w14:textFill>
            <w14:solidFill>
              <w14:schemeClr w14:val="tx1"/>
            </w14:solidFill>
          </w14:textFill>
        </w:rPr>
        <w:t>指导思想</w:t>
      </w:r>
      <w:bookmarkEnd w:id="26"/>
    </w:p>
    <w:p w14:paraId="19DFF161">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000000" w:themeColor="text1"/>
          <w:highlight w:val="none"/>
          <w14:textFill>
            <w14:solidFill>
              <w14:schemeClr w14:val="tx1"/>
            </w14:solidFill>
          </w14:textFill>
        </w:rPr>
        <w:t>坚持以习近平生态文明思想为指导，全面贯彻落实党的二十大和二十届</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历次</w:t>
      </w:r>
      <w:r>
        <w:rPr>
          <w:rFonts w:hint="eastAsia" w:ascii="仿宋_GB2312" w:hAnsi="仿宋_GB2312" w:eastAsia="仿宋_GB2312" w:cs="仿宋_GB2312"/>
          <w:color w:val="000000" w:themeColor="text1"/>
          <w:highlight w:val="none"/>
          <w14:textFill>
            <w14:solidFill>
              <w14:schemeClr w14:val="tx1"/>
            </w14:solidFill>
          </w14:textFill>
        </w:rPr>
        <w:t>全会精神及新时代党的治藏方略，深入贯彻习近平总书记来川视察重要指示精神及“把青藏高原打造成为全国乃至国际生态文明高地”重大要求，全面落实省委“四化同步、城乡融合、五区共兴”发展战略和州委“建设民族地区高质量发展阿坝典范”决策部署，立足县域生态禀赋与三省交界区位优势，坚守生态安全底线，践行“绿水青山就是金山银山”理念，统筹生态治理、城乡建设、绿色产业、民生保障与民族工作，聚力夯实生态本底、完善基础设施、壮大绿色经济、优化人居环境，着力建设人与自</w:t>
      </w:r>
      <w:r>
        <w:rPr>
          <w:rFonts w:hint="eastAsia" w:ascii="仿宋_GB2312" w:hAnsi="仿宋_GB2312" w:eastAsia="仿宋_GB2312" w:cs="仿宋_GB2312"/>
          <w:color w:val="auto"/>
          <w:highlight w:val="none"/>
        </w:rPr>
        <w:t>然和谐共生、各民族安居乐业的美丽阿坝县。</w:t>
      </w:r>
    </w:p>
    <w:p w14:paraId="3F3BE118">
      <w:pPr>
        <w:pStyle w:val="3"/>
        <w:pageBreakBefore w:val="0"/>
        <w:widowControl w:val="0"/>
        <w:numPr>
          <w:ilvl w:val="0"/>
          <w:numId w:val="7"/>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auto"/>
          <w:highlight w:val="none"/>
        </w:rPr>
      </w:pPr>
      <w:bookmarkStart w:id="27" w:name="_Toc19057"/>
      <w:r>
        <w:rPr>
          <w:rFonts w:hint="eastAsia" w:ascii="方正楷体_GB2312" w:hAnsi="方正楷体_GB2312" w:eastAsia="方正楷体_GB2312" w:cs="方正楷体_GB2312"/>
          <w:color w:val="auto"/>
          <w:highlight w:val="none"/>
        </w:rPr>
        <w:t>基本原则</w:t>
      </w:r>
      <w:bookmarkEnd w:id="27"/>
    </w:p>
    <w:p w14:paraId="1B325959">
      <w:pPr>
        <w:pStyle w:val="4"/>
        <w:pageBreakBefore w:val="0"/>
        <w:widowControl w:val="0"/>
        <w:numPr>
          <w:ilvl w:val="0"/>
          <w:numId w:val="8"/>
        </w:numPr>
        <w:shd w:val="clear"/>
        <w:kinsoku/>
        <w:wordWrap/>
        <w:overflowPunct/>
        <w:autoSpaceDE/>
        <w:autoSpaceDN/>
        <w:bidi w:val="0"/>
        <w:adjustRightInd/>
        <w:snapToGrid/>
        <w:spacing w:before="0" w:after="0" w:line="560" w:lineRule="atLeast"/>
        <w:ind w:firstLine="641"/>
        <w:textAlignment w:val="auto"/>
        <w:rPr>
          <w:rFonts w:hint="eastAsia" w:ascii="Times New Roman" w:hAnsi="Times New Roman" w:eastAsia="仿宋_GB2312" w:cs="Times New Roman"/>
          <w:color w:val="auto"/>
          <w:highlight w:val="none"/>
          <w:lang w:val="en-US" w:eastAsia="zh-CN"/>
        </w:rPr>
      </w:pPr>
      <w:bookmarkStart w:id="28" w:name="_Toc7572"/>
      <w:r>
        <w:rPr>
          <w:rFonts w:hint="eastAsia" w:ascii="Times New Roman" w:hAnsi="Times New Roman" w:eastAsia="仿宋_GB2312" w:cs="Times New Roman"/>
          <w:color w:val="auto"/>
          <w:highlight w:val="none"/>
          <w:lang w:val="en-US" w:eastAsia="zh-CN"/>
        </w:rPr>
        <w:t>生态优先、绿色引领，筑牢江源屏障</w:t>
      </w:r>
      <w:bookmarkEnd w:id="28"/>
    </w:p>
    <w:p w14:paraId="1B3A7EF0">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牢固树立和践行“绿水青山就是金山银山”理念，始终把长江黄河上游生态安全放在首位，坚持“共抓大保护、不搞大开发”，严守生态保护红线、永久基本农田、城镇开发边界三条控制线。立足阿坝县作为黄河上游重要水源补给区、长江上游水源涵养地的战略定位，统筹山水林田湖草沙一体化保护和系统治理，以生态保护修复统领发展全局，走生态优先、绿色低碳的高质量发展道路，夯实美丽阿坝县的生态本底。</w:t>
      </w:r>
    </w:p>
    <w:p w14:paraId="0234602A">
      <w:pPr>
        <w:pStyle w:val="4"/>
        <w:pageBreakBefore w:val="0"/>
        <w:widowControl w:val="0"/>
        <w:numPr>
          <w:ilvl w:val="0"/>
          <w:numId w:val="8"/>
        </w:numPr>
        <w:shd w:val="clear"/>
        <w:kinsoku/>
        <w:wordWrap/>
        <w:overflowPunct/>
        <w:autoSpaceDE/>
        <w:autoSpaceDN/>
        <w:bidi w:val="0"/>
        <w:adjustRightInd/>
        <w:snapToGrid/>
        <w:spacing w:before="0" w:after="0" w:line="560" w:lineRule="atLeast"/>
        <w:ind w:firstLine="641"/>
        <w:textAlignment w:val="auto"/>
        <w:rPr>
          <w:rFonts w:hint="eastAsia" w:ascii="Times New Roman" w:hAnsi="Times New Roman" w:eastAsia="仿宋_GB2312" w:cs="Times New Roman"/>
          <w:color w:val="auto"/>
          <w:highlight w:val="none"/>
          <w:lang w:val="en-US" w:eastAsia="zh-CN"/>
        </w:rPr>
      </w:pPr>
      <w:bookmarkStart w:id="29" w:name="_Toc15092"/>
      <w:r>
        <w:rPr>
          <w:rFonts w:hint="eastAsia" w:ascii="Times New Roman" w:hAnsi="Times New Roman" w:eastAsia="仿宋_GB2312" w:cs="Times New Roman"/>
          <w:color w:val="auto"/>
          <w:highlight w:val="none"/>
          <w:lang w:val="en-US" w:eastAsia="zh-CN"/>
        </w:rPr>
        <w:t>系统谋划、全域统筹，促进协同共进</w:t>
      </w:r>
      <w:bookmarkEnd w:id="29"/>
    </w:p>
    <w:p w14:paraId="062B81F0">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全面落实美丽四川建设战略和美丽阿坝建设规划部署，坚持全县一盘棋、规划一张图、建设一体化。统筹生态保护与经济发展、城镇与乡村、产业与民生、传统与现代、保护与开发，兼顾川甘青三省交界区位联动、城乡融合发展、清洁能源与文旅农牧协同，强化多目标平衡、多要素统筹、多领域协同，做到系统治理、综合治理、源头治理，形成全域美丽、整体提升的发展格局。</w:t>
      </w:r>
    </w:p>
    <w:p w14:paraId="067EB7A4">
      <w:pPr>
        <w:pStyle w:val="4"/>
        <w:keepNext w:val="0"/>
        <w:keepLines w:val="0"/>
        <w:pageBreakBefore w:val="0"/>
        <w:widowControl w:val="0"/>
        <w:numPr>
          <w:ilvl w:val="0"/>
          <w:numId w:val="8"/>
        </w:numPr>
        <w:shd w:val="clear"/>
        <w:kinsoku/>
        <w:wordWrap/>
        <w:overflowPunct/>
        <w:topLinePunct w:val="0"/>
        <w:autoSpaceDE/>
        <w:autoSpaceDN/>
        <w:bidi w:val="0"/>
        <w:adjustRightInd/>
        <w:snapToGrid/>
        <w:spacing w:before="0" w:after="0" w:line="560" w:lineRule="atLeast"/>
        <w:ind w:firstLine="641"/>
        <w:textAlignment w:val="auto"/>
        <w:rPr>
          <w:rFonts w:hint="eastAsia" w:ascii="Times New Roman" w:hAnsi="Times New Roman" w:eastAsia="仿宋_GB2312" w:cs="Times New Roman"/>
          <w:color w:val="auto"/>
          <w:highlight w:val="none"/>
          <w:lang w:val="en-US" w:eastAsia="zh-CN"/>
        </w:rPr>
      </w:pPr>
      <w:bookmarkStart w:id="30" w:name="_Toc23341"/>
      <w:r>
        <w:rPr>
          <w:rFonts w:hint="eastAsia" w:ascii="Times New Roman" w:hAnsi="Times New Roman" w:eastAsia="仿宋_GB2312" w:cs="Times New Roman"/>
          <w:color w:val="auto"/>
          <w:highlight w:val="none"/>
          <w:lang w:val="en-US" w:eastAsia="zh-CN"/>
        </w:rPr>
        <w:t>以人为本、民生为本，共建共享美丽</w:t>
      </w:r>
      <w:bookmarkEnd w:id="30"/>
    </w:p>
    <w:p w14:paraId="6455D4B2">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坚持以人民为中心的发展思想，把各族群众对美好生活的向往作为出发点和落脚点，立足高原藏区实际，聚焦群众急难愁盼，持续改善城乡人居环境、完善公共服务、提升基础设施、促进就业增收、传承民族文化。尊重群众意愿、尊重民族习俗、尊重高原生产生活方式，充分调动农牧民、社区、企业、社会组织等各方积极性，共建共治共享美丽阿坝建设成果，促进民族团结、社会和谐、共同富裕。</w:t>
      </w:r>
    </w:p>
    <w:p w14:paraId="4B1BD821">
      <w:pPr>
        <w:pStyle w:val="4"/>
        <w:pageBreakBefore w:val="0"/>
        <w:widowControl w:val="0"/>
        <w:numPr>
          <w:ilvl w:val="0"/>
          <w:numId w:val="8"/>
        </w:numPr>
        <w:shd w:val="clear"/>
        <w:kinsoku/>
        <w:wordWrap/>
        <w:overflowPunct/>
        <w:autoSpaceDE/>
        <w:autoSpaceDN/>
        <w:bidi w:val="0"/>
        <w:adjustRightInd/>
        <w:snapToGrid/>
        <w:spacing w:before="0" w:after="0" w:line="560" w:lineRule="atLeast"/>
        <w:ind w:firstLine="641"/>
        <w:textAlignment w:val="auto"/>
        <w:rPr>
          <w:rFonts w:hint="eastAsia" w:ascii="Times New Roman" w:hAnsi="Times New Roman" w:eastAsia="仿宋_GB2312" w:cs="Times New Roman"/>
          <w:color w:val="auto"/>
          <w:highlight w:val="none"/>
          <w:lang w:val="en-US" w:eastAsia="zh-CN"/>
        </w:rPr>
      </w:pPr>
      <w:bookmarkStart w:id="31" w:name="_Toc7014"/>
      <w:r>
        <w:rPr>
          <w:rFonts w:hint="eastAsia" w:ascii="Times New Roman" w:hAnsi="Times New Roman" w:eastAsia="仿宋_GB2312" w:cs="Times New Roman"/>
          <w:color w:val="auto"/>
          <w:highlight w:val="none"/>
          <w:lang w:val="en-US" w:eastAsia="zh-CN"/>
        </w:rPr>
        <w:t>彰显特色、因地制宜，塑造高原风貌</w:t>
      </w:r>
      <w:bookmarkEnd w:id="31"/>
    </w:p>
    <w:p w14:paraId="22C5E384">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eastAsia="仿宋_GB2312"/>
          <w:color w:val="auto"/>
          <w:highlight w:val="none"/>
          <w:lang w:eastAsia="zh-CN"/>
        </w:rPr>
      </w:pPr>
      <w:r>
        <w:rPr>
          <w:rFonts w:hint="eastAsia" w:ascii="仿宋_GB2312" w:hAnsi="仿宋_GB2312" w:eastAsia="仿宋_GB2312" w:cs="仿宋_GB2312"/>
          <w:color w:val="auto"/>
          <w:highlight w:val="none"/>
        </w:rPr>
        <w:t>立足阿坝县川甘青结合部、高原河谷、藏羌文化交融、莲宝叶则生态文旅、清洁能源富集的独特禀赋，坚持“小而美、小而特、小而精、小而富”，不照搬平原城市模式，不搞大拆大建。突出高原风貌、藏地风情、江源风光，保护传统村落、历史文脉、自然肌理，做强生态文旅、清洁能源、特色农牧三大绿色产业，把生态优势、文化优势转化为发展优势、竞争优势，打造川甘青交界最美高原县城、生态文化旅游目的地</w:t>
      </w:r>
      <w:r>
        <w:rPr>
          <w:rFonts w:hint="eastAsia" w:ascii="仿宋_GB2312" w:hAnsi="仿宋_GB2312" w:cs="仿宋_GB2312"/>
          <w:color w:val="auto"/>
          <w:highlight w:val="none"/>
          <w:lang w:eastAsia="zh-CN"/>
        </w:rPr>
        <w:t>。</w:t>
      </w:r>
    </w:p>
    <w:p w14:paraId="1CB5F91A">
      <w:pPr>
        <w:pStyle w:val="3"/>
        <w:pageBreakBefore w:val="0"/>
        <w:widowControl w:val="0"/>
        <w:numPr>
          <w:ilvl w:val="0"/>
          <w:numId w:val="7"/>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auto"/>
          <w:highlight w:val="none"/>
        </w:rPr>
      </w:pPr>
      <w:bookmarkStart w:id="32" w:name="_Toc6721"/>
      <w:r>
        <w:rPr>
          <w:rFonts w:hint="eastAsia" w:ascii="方正楷体_GB2312" w:hAnsi="方正楷体_GB2312" w:eastAsia="方正楷体_GB2312" w:cs="方正楷体_GB2312"/>
          <w:color w:val="auto"/>
          <w:highlight w:val="none"/>
        </w:rPr>
        <w:t>战略定位</w:t>
      </w:r>
      <w:bookmarkEnd w:id="32"/>
    </w:p>
    <w:p w14:paraId="73B9DF44">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default" w:ascii="Times New Roman" w:hAnsi="Times New Roman" w:eastAsia="仿宋_GB2312" w:cs="Times New Roman"/>
          <w:color w:val="auto"/>
          <w:highlight w:val="none"/>
        </w:rPr>
      </w:pPr>
      <w:r>
        <w:rPr>
          <w:rFonts w:hint="eastAsia" w:ascii="仿宋_GB2312" w:hAnsi="仿宋_GB2312" w:eastAsia="仿宋_GB2312" w:cs="仿宋_GB2312"/>
          <w:color w:val="auto"/>
          <w:highlight w:val="none"/>
        </w:rPr>
        <w:t>黄河上游生态安全屏障核心守护地</w:t>
      </w:r>
      <w:r>
        <w:rPr>
          <w:rFonts w:hint="eastAsia" w:ascii="仿宋_GB2312" w:hAnsi="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以莲宝叶则、多美林卡湿地公园、漫泽塘湿地、严波也则野生动植物自然保护区四大生态区块为重点，统筹推进全域生态保护与系统修复，持续提升黄河上游水源涵养、水土保持和生物多样性保护能力。严格落实“两核三区、四廊多点”生态安全格局，严守生态保护</w:t>
      </w:r>
      <w:r>
        <w:rPr>
          <w:rFonts w:hint="eastAsia" w:ascii="仿宋_GB2312" w:hAnsi="仿宋_GB2312" w:cs="仿宋_GB2312"/>
          <w:color w:val="auto"/>
          <w:highlight w:val="none"/>
          <w:lang w:val="en-US" w:eastAsia="zh-CN"/>
        </w:rPr>
        <w:t>红</w:t>
      </w:r>
      <w:r>
        <w:rPr>
          <w:rFonts w:hint="eastAsia" w:ascii="仿宋_GB2312" w:hAnsi="仿宋_GB2312" w:eastAsia="仿宋_GB2312" w:cs="仿宋_GB2312"/>
          <w:color w:val="auto"/>
          <w:highlight w:val="none"/>
          <w:lang w:val="en-US" w:eastAsia="zh-CN"/>
        </w:rPr>
        <w:t>线，常态化开展湿地保育、草原修复、生态治理等工程，有效防范高原生态退化风险，稳固川西北高原生态基底，全力筑牢黄河上游生态安全屏障，打造江河上游生态保护示范标杆</w:t>
      </w:r>
      <w:r>
        <w:rPr>
          <w:rFonts w:hint="default" w:ascii="Times New Roman" w:hAnsi="Times New Roman" w:eastAsia="仿宋_GB2312" w:cs="Times New Roman"/>
          <w:color w:val="auto"/>
          <w:highlight w:val="none"/>
          <w:lang w:val="en-US" w:eastAsia="zh-CN"/>
        </w:rPr>
        <w:t>。</w:t>
      </w:r>
    </w:p>
    <w:p w14:paraId="028969EC">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仿宋_GB2312" w:hAnsi="仿宋_GB2312" w:eastAsia="仿宋_GB2312" w:cs="仿宋_GB2312"/>
          <w:color w:val="auto"/>
          <w:highlight w:val="none"/>
        </w:rPr>
      </w:pPr>
      <w:r>
        <w:rPr>
          <w:rFonts w:hint="default" w:ascii="Times New Roman" w:hAnsi="Times New Roman" w:eastAsia="仿宋_GB2312" w:cs="Times New Roman"/>
          <w:color w:val="auto"/>
          <w:highlight w:val="none"/>
        </w:rPr>
        <w:t>川甘青交界绿色产业集聚发展高地</w:t>
      </w:r>
      <w:r>
        <w:rPr>
          <w:rFonts w:hint="default" w:ascii="Times New Roman" w:hAnsi="Times New Roman" w:cs="Times New Roman"/>
          <w:color w:val="auto"/>
          <w:highlight w:val="none"/>
          <w:lang w:eastAsia="zh-CN"/>
        </w:rPr>
        <w:t>——</w:t>
      </w:r>
      <w:r>
        <w:rPr>
          <w:rFonts w:hint="default" w:ascii="Times New Roman" w:hAnsi="Times New Roman" w:eastAsia="仿宋_GB2312" w:cs="Times New Roman"/>
          <w:color w:val="auto"/>
          <w:highlight w:val="none"/>
          <w:lang w:val="en-US" w:eastAsia="zh-CN"/>
        </w:rPr>
        <w:t>依托G347、G0615、S217、S452等县域主干交通干线，立足川甘</w:t>
      </w:r>
      <w:r>
        <w:rPr>
          <w:rFonts w:hint="eastAsia" w:ascii="仿宋_GB2312" w:hAnsi="仿宋_GB2312" w:eastAsia="仿宋_GB2312" w:cs="仿宋_GB2312"/>
          <w:color w:val="auto"/>
          <w:highlight w:val="none"/>
          <w:lang w:val="en-US" w:eastAsia="zh-CN"/>
        </w:rPr>
        <w:t>青三省交界门户区位优势，依托优质高原资源禀赋，聚力发展生态农牧、光伏清洁能源、中藏医药康养三大特色绿色产业。以交通路网为发展脉络，串联整合产业资源、优化产业布局、打通发展通道，推动传统农牧业转型升级、清洁能源扩容提质、中藏医药产业精深发展。坚持生态优先、绿色低碳发展导向，构建生态友好、链条完善、效益突出的绿色产业体系，实现生态保护与产业发展双向赋能，打造川甘青交界绿色产业集聚发展高地。</w:t>
      </w:r>
    </w:p>
    <w:p w14:paraId="6CA3F8CA">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雪山草地全域文旅融合示范样板</w:t>
      </w:r>
      <w:r>
        <w:rPr>
          <w:rFonts w:hint="eastAsia" w:ascii="仿宋_GB2312" w:hAnsi="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依托县域优质雪山、草原、湿地等自然生态资源，深度融合黄河文化、长征红色文化、安多藏乡民俗文化，推动生态与文旅产业深度融合发展。以高原草地湿地为基底，串联雪山、草原、红色遗址、藏乡风情等特色资源，打造“雪山草地”文旅走廊，构建“一核四带六廊六景区”全域旅游发展格局。持续丰富文旅业态、提升服务品质、塑造特色文旅品牌，统筹生态保护、文化传承、旅游发展与城乡建设协同推进，全力创建川甘青三省交界生态建设示范县，打造集生态观光、红色研学、民俗康养于一体的全域文旅融合高原示范样板。</w:t>
      </w:r>
    </w:p>
    <w:p w14:paraId="68145C57">
      <w:pPr>
        <w:pStyle w:val="3"/>
        <w:keepNext w:val="0"/>
        <w:keepLines/>
        <w:pageBreakBefore w:val="0"/>
        <w:widowControl w:val="0"/>
        <w:numPr>
          <w:ilvl w:val="0"/>
          <w:numId w:val="7"/>
        </w:numPr>
        <w:shd w:val="clear"/>
        <w:kinsoku/>
        <w:wordWrap/>
        <w:overflowPunct/>
        <w:topLinePunct w:val="0"/>
        <w:autoSpaceDE/>
        <w:autoSpaceDN/>
        <w:bidi w:val="0"/>
        <w:adjustRightInd/>
        <w:snapToGrid/>
        <w:spacing w:before="0" w:after="0" w:line="560" w:lineRule="atLeast"/>
        <w:ind w:left="-221" w:firstLine="602" w:firstLineChars="200"/>
        <w:textAlignment w:val="auto"/>
        <w:rPr>
          <w:rFonts w:hint="eastAsia" w:ascii="方正楷体_GB2312" w:hAnsi="方正楷体_GB2312" w:eastAsia="方正楷体_GB2312" w:cs="方正楷体_GB2312"/>
          <w:color w:val="auto"/>
          <w:sz w:val="30"/>
          <w:szCs w:val="30"/>
          <w:highlight w:val="none"/>
        </w:rPr>
      </w:pPr>
      <w:bookmarkStart w:id="33" w:name="_Toc14474"/>
      <w:r>
        <w:rPr>
          <w:rFonts w:hint="eastAsia" w:ascii="方正楷体_GB2312" w:hAnsi="方正楷体_GB2312" w:eastAsia="方正楷体_GB2312" w:cs="方正楷体_GB2312"/>
          <w:color w:val="auto"/>
          <w:sz w:val="30"/>
          <w:szCs w:val="30"/>
          <w:highlight w:val="none"/>
        </w:rPr>
        <w:t>建设目标</w:t>
      </w:r>
      <w:bookmarkEnd w:id="33"/>
    </w:p>
    <w:p w14:paraId="40D607CD">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olor w:val="auto"/>
          <w:highlight w:val="none"/>
        </w:rPr>
      </w:pPr>
      <w:r>
        <w:rPr>
          <w:rFonts w:ascii="Times New Roman" w:hAnsi="Times New Roman" w:eastAsia="仿宋_GB2312"/>
          <w:color w:val="auto"/>
          <w:highlight w:val="none"/>
        </w:rPr>
        <w:t>到2027年，美丽山川生态稳步提质</w:t>
      </w:r>
      <w:r>
        <w:rPr>
          <w:rFonts w:hint="eastAsia" w:ascii="Times New Roman" w:hAnsi="Times New Roman"/>
          <w:color w:val="auto"/>
          <w:highlight w:val="none"/>
          <w:lang w:eastAsia="zh-CN"/>
        </w:rPr>
        <w:t>。</w:t>
      </w:r>
      <w:r>
        <w:rPr>
          <w:rFonts w:ascii="Times New Roman" w:hAnsi="Times New Roman" w:eastAsia="仿宋_GB2312"/>
          <w:color w:val="auto"/>
          <w:highlight w:val="none"/>
          <w:lang w:val="en-US" w:eastAsia="zh-CN"/>
        </w:rPr>
        <w:t>森林覆盖率稳步提升，草原综合植被盖度持续向好；足额完成年度水土流失治理任务，历史遗留</w:t>
      </w:r>
      <w:r>
        <w:rPr>
          <w:rFonts w:hint="eastAsia" w:ascii="Times New Roman" w:hAnsi="Times New Roman"/>
          <w:color w:val="auto"/>
          <w:highlight w:val="none"/>
          <w:lang w:val="en-US" w:eastAsia="zh-CN"/>
        </w:rPr>
        <w:t>废弃</w:t>
      </w:r>
      <w:r>
        <w:rPr>
          <w:rFonts w:ascii="Times New Roman" w:hAnsi="Times New Roman" w:eastAsia="仿宋_GB2312"/>
          <w:color w:val="auto"/>
          <w:highlight w:val="none"/>
          <w:lang w:val="en-US" w:eastAsia="zh-CN"/>
        </w:rPr>
        <w:t>矿山生态修复按年度推进落地。生态保护红线管控达标率稳定100%，各类自然保护地规范化建设水平明显提升，黄河上游水源涵养、水土保持核心生态功能有效筑牢。</w:t>
      </w:r>
    </w:p>
    <w:p w14:paraId="21192585">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olor w:val="auto"/>
          <w:highlight w:val="none"/>
        </w:rPr>
      </w:pPr>
      <w:r>
        <w:rPr>
          <w:rFonts w:ascii="Times New Roman" w:hAnsi="Times New Roman" w:eastAsia="仿宋_GB2312"/>
          <w:color w:val="auto"/>
          <w:highlight w:val="none"/>
        </w:rPr>
        <w:t>美丽河湖水质全面优良</w:t>
      </w:r>
      <w:r>
        <w:rPr>
          <w:rFonts w:hint="eastAsia" w:ascii="Times New Roman" w:hAnsi="Times New Roman"/>
          <w:color w:val="auto"/>
          <w:highlight w:val="none"/>
          <w:lang w:eastAsia="zh-CN"/>
        </w:rPr>
        <w:t>。</w:t>
      </w:r>
      <w:r>
        <w:rPr>
          <w:rFonts w:ascii="Times New Roman" w:hAnsi="Times New Roman" w:eastAsia="仿宋_GB2312"/>
          <w:color w:val="auto"/>
          <w:highlight w:val="none"/>
          <w:lang w:val="en-US" w:eastAsia="zh-CN"/>
        </w:rPr>
        <w:t>县域地表水、集中式饮用水水源地水质达标率均保持100%；县城生活污水处理能力达标提质，农村生活污水治理覆盖面持续扩大。按期完成州下达美丽</w:t>
      </w:r>
      <w:r>
        <w:rPr>
          <w:rFonts w:hint="eastAsia" w:ascii="Times New Roman" w:hAnsi="Times New Roman"/>
          <w:color w:val="auto"/>
          <w:highlight w:val="none"/>
          <w:lang w:val="en-US" w:eastAsia="zh-CN"/>
        </w:rPr>
        <w:t>（</w:t>
      </w:r>
      <w:r>
        <w:rPr>
          <w:rFonts w:ascii="Times New Roman" w:hAnsi="Times New Roman" w:eastAsia="仿宋_GB2312"/>
          <w:color w:val="auto"/>
          <w:highlight w:val="none"/>
          <w:lang w:val="en-US" w:eastAsia="zh-CN"/>
        </w:rPr>
        <w:t>幸福</w:t>
      </w:r>
      <w:r>
        <w:rPr>
          <w:rFonts w:hint="eastAsia" w:ascii="Times New Roman" w:hAnsi="Times New Roman"/>
          <w:color w:val="auto"/>
          <w:highlight w:val="none"/>
          <w:lang w:val="en-US" w:eastAsia="zh-CN"/>
        </w:rPr>
        <w:t>）</w:t>
      </w:r>
      <w:r>
        <w:rPr>
          <w:rFonts w:ascii="Times New Roman" w:hAnsi="Times New Roman" w:eastAsia="仿宋_GB2312"/>
          <w:color w:val="auto"/>
          <w:highlight w:val="none"/>
          <w:lang w:val="en-US" w:eastAsia="zh-CN"/>
        </w:rPr>
        <w:t>河湖创建任务，河湖生态流量保障有力，高原水生态、河湖岸线风貌管护更加规范有序。</w:t>
      </w:r>
    </w:p>
    <w:p w14:paraId="1DEA3DF7">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olor w:val="auto"/>
          <w:highlight w:val="none"/>
        </w:rPr>
      </w:pPr>
      <w:r>
        <w:rPr>
          <w:rFonts w:ascii="Times New Roman" w:hAnsi="Times New Roman" w:eastAsia="仿宋_GB2312"/>
          <w:color w:val="auto"/>
          <w:highlight w:val="none"/>
        </w:rPr>
        <w:t>美丽城市宜居品质持续提升</w:t>
      </w:r>
      <w:r>
        <w:rPr>
          <w:rFonts w:hint="eastAsia" w:ascii="Times New Roman" w:hAnsi="Times New Roman"/>
          <w:color w:val="auto"/>
          <w:highlight w:val="none"/>
          <w:lang w:eastAsia="zh-CN"/>
        </w:rPr>
        <w:t>。</w:t>
      </w:r>
      <w:r>
        <w:rPr>
          <w:rFonts w:ascii="Times New Roman" w:hAnsi="Times New Roman" w:eastAsia="仿宋_GB2312"/>
          <w:color w:val="auto"/>
          <w:highlight w:val="none"/>
          <w:lang w:val="en-US" w:eastAsia="zh-CN"/>
        </w:rPr>
        <w:t>县城空气质量优良天数比例稳居高位，生活垃圾无害化处理率保持100%。建成区绿地率逐年提高，绿色建筑占新建建筑比重稳步增长，市政供水管网漏损率持续下降，县城绿化、市政配套、宜居环境实现整体提档升级。</w:t>
      </w:r>
    </w:p>
    <w:p w14:paraId="4CEB6075">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olor w:val="auto"/>
          <w:highlight w:val="none"/>
        </w:rPr>
      </w:pPr>
      <w:r>
        <w:rPr>
          <w:rFonts w:ascii="Times New Roman" w:hAnsi="Times New Roman" w:eastAsia="仿宋_GB2312"/>
          <w:color w:val="auto"/>
          <w:highlight w:val="none"/>
        </w:rPr>
        <w:t>美丽乡村牧区风貌显著改善</w:t>
      </w:r>
      <w:r>
        <w:rPr>
          <w:rFonts w:hint="eastAsia" w:ascii="Times New Roman" w:hAnsi="Times New Roman"/>
          <w:color w:val="auto"/>
          <w:highlight w:val="none"/>
          <w:lang w:eastAsia="zh-CN"/>
        </w:rPr>
        <w:t>。</w:t>
      </w:r>
      <w:r>
        <w:rPr>
          <w:rFonts w:ascii="Times New Roman" w:hAnsi="Times New Roman" w:eastAsia="仿宋_GB2312"/>
          <w:color w:val="auto"/>
          <w:highlight w:val="none"/>
          <w:lang w:val="en-US" w:eastAsia="zh-CN"/>
        </w:rPr>
        <w:t>农村生活垃圾收运处置体系实现全域全覆盖，农村卫生厕所普及率</w:t>
      </w:r>
      <w:r>
        <w:rPr>
          <w:rFonts w:hint="eastAsia" w:ascii="Times New Roman" w:hAnsi="Times New Roman"/>
          <w:color w:val="auto"/>
          <w:highlight w:val="none"/>
          <w:lang w:val="en-US" w:eastAsia="zh-CN"/>
        </w:rPr>
        <w:t>持续巩固</w:t>
      </w:r>
      <w:r>
        <w:rPr>
          <w:rFonts w:ascii="Times New Roman" w:hAnsi="Times New Roman" w:eastAsia="仿宋_GB2312"/>
          <w:color w:val="auto"/>
          <w:highlight w:val="none"/>
          <w:lang w:val="en-US" w:eastAsia="zh-CN"/>
        </w:rPr>
        <w:t>。每年新增一批省州级、县级美丽示范村，特色村寨和传统村落保护完好率保持 100%，农牧区人居环境综合整治、乡村风貌美化成效突出。</w:t>
      </w:r>
    </w:p>
    <w:p w14:paraId="3B318B10">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olor w:val="auto"/>
          <w:highlight w:val="none"/>
        </w:rPr>
      </w:pPr>
      <w:r>
        <w:rPr>
          <w:rFonts w:ascii="Times New Roman" w:hAnsi="Times New Roman" w:eastAsia="仿宋_GB2312"/>
          <w:color w:val="auto"/>
          <w:highlight w:val="none"/>
        </w:rPr>
        <w:t>绿色产业低碳转型提速增效</w:t>
      </w:r>
      <w:r>
        <w:rPr>
          <w:rFonts w:hint="eastAsia" w:ascii="Times New Roman" w:hAnsi="Times New Roman"/>
          <w:color w:val="auto"/>
          <w:highlight w:val="none"/>
          <w:lang w:eastAsia="zh-CN"/>
        </w:rPr>
        <w:t>。</w:t>
      </w:r>
      <w:r>
        <w:rPr>
          <w:rFonts w:ascii="Times New Roman" w:hAnsi="Times New Roman" w:eastAsia="仿宋_GB2312"/>
          <w:color w:val="auto"/>
          <w:highlight w:val="none"/>
          <w:lang w:val="en-US" w:eastAsia="zh-CN"/>
        </w:rPr>
        <w:t>圆满完成州下达单位GDP能耗、碳排放强度下降目标；绿色有机农牧产品认证数量逐年递增，生态文旅产业营收占比稳步攀升，清洁能源开发利用比重持续提升，生态农牧、文旅康养、清洁能源、中藏医药绿色产业体系初步成型。</w:t>
      </w:r>
    </w:p>
    <w:p w14:paraId="04D2556B">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olor w:val="auto"/>
          <w:highlight w:val="none"/>
        </w:rPr>
      </w:pPr>
      <w:r>
        <w:rPr>
          <w:rFonts w:ascii="Times New Roman" w:hAnsi="Times New Roman" w:eastAsia="仿宋_GB2312"/>
          <w:color w:val="auto"/>
          <w:highlight w:val="none"/>
        </w:rPr>
        <w:t>美好生活民生福祉不断增进</w:t>
      </w:r>
      <w:r>
        <w:rPr>
          <w:rFonts w:hint="eastAsia" w:ascii="Times New Roman" w:hAnsi="Times New Roman"/>
          <w:color w:val="auto"/>
          <w:highlight w:val="none"/>
          <w:lang w:eastAsia="zh-CN"/>
        </w:rPr>
        <w:t>。</w:t>
      </w:r>
      <w:r>
        <w:rPr>
          <w:rFonts w:ascii="Times New Roman" w:hAnsi="Times New Roman" w:eastAsia="仿宋_GB2312"/>
          <w:color w:val="auto"/>
          <w:highlight w:val="none"/>
          <w:lang w:val="en-US" w:eastAsia="zh-CN"/>
        </w:rPr>
        <w:t>城乡居民人均可支配收入增速跑赢经济增速，义务教育巩固率稳定达标，基本医保参保实现全覆盖。行政村公共文化服务设施全域覆盖，民族文化传承力度加大，民族团结进步示范创建成果持续巩固，群众获得感幸福感显著增强。</w:t>
      </w:r>
    </w:p>
    <w:p w14:paraId="7F7EB839">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olor w:val="auto"/>
          <w:highlight w:val="none"/>
        </w:rPr>
      </w:pPr>
      <w:r>
        <w:rPr>
          <w:rFonts w:ascii="Times New Roman" w:hAnsi="Times New Roman" w:eastAsia="仿宋_GB2312"/>
          <w:color w:val="auto"/>
          <w:highlight w:val="none"/>
        </w:rPr>
        <w:t>宜人安全环境风险防控筑牢底线</w:t>
      </w:r>
      <w:r>
        <w:rPr>
          <w:rFonts w:hint="eastAsia" w:ascii="Times New Roman" w:hAnsi="Times New Roman"/>
          <w:color w:val="auto"/>
          <w:highlight w:val="none"/>
          <w:lang w:eastAsia="zh-CN"/>
        </w:rPr>
        <w:t>。</w:t>
      </w:r>
      <w:r>
        <w:rPr>
          <w:rFonts w:ascii="Times New Roman" w:hAnsi="Times New Roman" w:eastAsia="仿宋_GB2312"/>
          <w:color w:val="auto"/>
          <w:highlight w:val="none"/>
          <w:lang w:val="en-US" w:eastAsia="zh-CN"/>
        </w:rPr>
        <w:t>受污染耕地、重点建设用地安全利用率稳定100%；地质灾害隐患点治理有序推进、逐年清零增量隐患；严格管控环境风险，实现重大生态环境风险事件零发生，生态环境安全和地质安全保障能力全面强化。</w:t>
      </w:r>
    </w:p>
    <w:p w14:paraId="7310836E">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olor w:val="auto"/>
          <w:highlight w:val="none"/>
        </w:rPr>
      </w:pPr>
      <w:r>
        <w:rPr>
          <w:rFonts w:ascii="Times New Roman" w:hAnsi="Times New Roman" w:eastAsia="仿宋_GB2312"/>
          <w:color w:val="auto"/>
          <w:highlight w:val="none"/>
        </w:rPr>
        <w:t>县域特色生态管护全面落地</w:t>
      </w:r>
      <w:r>
        <w:rPr>
          <w:rFonts w:hint="eastAsia" w:ascii="Times New Roman" w:hAnsi="Times New Roman"/>
          <w:color w:val="auto"/>
          <w:highlight w:val="none"/>
          <w:lang w:eastAsia="zh-CN"/>
        </w:rPr>
        <w:t>。</w:t>
      </w:r>
      <w:r>
        <w:rPr>
          <w:rFonts w:ascii="Times New Roman" w:hAnsi="Times New Roman" w:eastAsia="仿宋_GB2312"/>
          <w:color w:val="auto"/>
          <w:highlight w:val="none"/>
          <w:lang w:val="en-US" w:eastAsia="zh-CN"/>
        </w:rPr>
        <w:t>黄河上游流域生态修复项目完成率达100%，高原湿地保护管护达标率保持100%；草原鼠虫害、沙化治理按时完成年度任务，生态补偿政策落地做到应保尽保，阿坝县高原湿地、草原、黄河源区特色生态保护格局基本建成。</w:t>
      </w:r>
    </w:p>
    <w:p w14:paraId="02635B3A">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olor w:val="auto"/>
          <w:highlight w:val="none"/>
        </w:rPr>
      </w:pPr>
      <w:r>
        <w:rPr>
          <w:rFonts w:ascii="Times New Roman" w:hAnsi="Times New Roman" w:eastAsia="仿宋_GB2312"/>
          <w:color w:val="auto"/>
          <w:highlight w:val="none"/>
        </w:rPr>
        <w:t>到203</w:t>
      </w:r>
      <w:r>
        <w:rPr>
          <w:rFonts w:hint="eastAsia" w:ascii="Times New Roman" w:hAnsi="Times New Roman" w:eastAsia="仿宋_GB2312"/>
          <w:color w:val="auto"/>
          <w:highlight w:val="none"/>
        </w:rPr>
        <w:t>0</w:t>
      </w:r>
      <w:r>
        <w:rPr>
          <w:rFonts w:ascii="Times New Roman" w:hAnsi="Times New Roman" w:eastAsia="仿宋_GB2312"/>
          <w:color w:val="auto"/>
          <w:highlight w:val="none"/>
        </w:rPr>
        <w:t>年，全县生态屏障功能稳固优化，林草湿地生态质量持续向好，矿山历史遗留问题全面清零，自然保护地实现规范化长效管护；</w:t>
      </w:r>
      <w:r>
        <w:rPr>
          <w:rFonts w:hint="eastAsia" w:ascii="Times New Roman" w:hAnsi="Times New Roman"/>
          <w:color w:val="auto"/>
          <w:highlight w:val="none"/>
          <w:lang w:val="en-US" w:eastAsia="zh-CN"/>
        </w:rPr>
        <w:t>美丽（幸福）</w:t>
      </w:r>
      <w:r>
        <w:rPr>
          <w:rFonts w:ascii="Times New Roman" w:hAnsi="Times New Roman" w:eastAsia="仿宋_GB2312"/>
          <w:color w:val="auto"/>
          <w:highlight w:val="none"/>
        </w:rPr>
        <w:t>河湖水质常年保持全优，城乡污水垃圾治理实现全域高标准覆盖，幸福河湖创建全覆盖。县城建成高原宜居精品小城，美丽乡村、特色村寨全域示范成型，农牧区人居环境风貌规范统一。绿色产业成为县域经济支柱，低碳发展水平走在前列；教育、医疗、社保、文化公共服务优质均衡，民族团结示范全面建成。土壤、地质、生态环境风险防控体系健全完善，黄河上游源区生态保护修复常态化长效运行，全面建成川甘青三省交界生态建设示范县、人与自然和谐共生的高原美丽宜居样板。</w:t>
      </w:r>
    </w:p>
    <w:p w14:paraId="38AF80A9">
      <w:pPr>
        <w:pStyle w:val="2"/>
        <w:keepNext w:val="0"/>
        <w:keepLines w:val="0"/>
        <w:pageBreakBefore w:val="0"/>
        <w:widowControl w:val="0"/>
        <w:numPr>
          <w:ilvl w:val="0"/>
          <w:numId w:val="1"/>
        </w:numPr>
        <w:shd w:val="clear"/>
        <w:kinsoku/>
        <w:wordWrap/>
        <w:overflowPunct/>
        <w:topLinePunct/>
        <w:autoSpaceDE/>
        <w:autoSpaceDN/>
        <w:bidi w:val="0"/>
        <w:adjustRightInd/>
        <w:snapToGrid/>
        <w:spacing w:before="0" w:after="0" w:line="560" w:lineRule="atLeast"/>
        <w:ind w:firstLine="643" w:firstLineChars="200"/>
        <w:jc w:val="left"/>
        <w:textAlignment w:val="auto"/>
        <w:rPr>
          <w:rFonts w:hint="eastAsia" w:ascii="宋体" w:hAnsi="宋体" w:eastAsia="黑体" w:cs="Times New Roman"/>
          <w:bCs/>
          <w:color w:val="000000" w:themeColor="text1"/>
          <w:sz w:val="32"/>
          <w:szCs w:val="48"/>
          <w:highlight w:val="none"/>
          <w14:textFill>
            <w14:solidFill>
              <w14:schemeClr w14:val="tx1"/>
            </w14:solidFill>
          </w14:textFill>
        </w:rPr>
      </w:pPr>
      <w:bookmarkStart w:id="34" w:name="_Toc16595"/>
      <w:r>
        <w:rPr>
          <w:rFonts w:hint="eastAsia" w:ascii="宋体" w:hAnsi="宋体" w:eastAsia="黑体" w:cs="Times New Roman"/>
          <w:bCs/>
          <w:color w:val="000000" w:themeColor="text1"/>
          <w:sz w:val="32"/>
          <w:szCs w:val="48"/>
          <w:highlight w:val="none"/>
          <w14:textFill>
            <w14:solidFill>
              <w14:schemeClr w14:val="tx1"/>
            </w14:solidFill>
          </w14:textFill>
        </w:rPr>
        <w:t>重点任务</w:t>
      </w:r>
      <w:bookmarkEnd w:id="34"/>
    </w:p>
    <w:p w14:paraId="429BBA7D">
      <w:pPr>
        <w:pStyle w:val="3"/>
        <w:pageBreakBefore w:val="0"/>
        <w:widowControl w:val="0"/>
        <w:numPr>
          <w:ilvl w:val="0"/>
          <w:numId w:val="9"/>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pPr>
      <w:bookmarkStart w:id="35" w:name="_Toc9083"/>
      <w:r>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t>守护高原秘境，勾勒美丽山川</w:t>
      </w:r>
      <w:bookmarkEnd w:id="35"/>
    </w:p>
    <w:p w14:paraId="1BC4A43C">
      <w:pPr>
        <w:pStyle w:val="4"/>
        <w:pageBreakBefore w:val="0"/>
        <w:widowControl w:val="0"/>
        <w:numPr>
          <w:ilvl w:val="0"/>
          <w:numId w:val="10"/>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36" w:name="_Toc23085"/>
      <w:r>
        <w:rPr>
          <w:rFonts w:ascii="Times New Roman" w:hAnsi="Times New Roman" w:eastAsia="仿宋_GB2312" w:cs="Times New Roman"/>
          <w:b/>
          <w:bCs w:val="0"/>
          <w:color w:val="000000" w:themeColor="text1"/>
          <w:highlight w:val="none"/>
          <w14:textFill>
            <w14:solidFill>
              <w14:schemeClr w14:val="tx1"/>
            </w14:solidFill>
          </w14:textFill>
        </w:rPr>
        <w:t>锚定生态格局，筑牢屏障基底</w:t>
      </w:r>
      <w:bookmarkEnd w:id="36"/>
    </w:p>
    <w:p w14:paraId="7D9C1FF9">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严格遵循阿坝县</w:t>
      </w:r>
      <w:r>
        <w:rPr>
          <w:rFonts w:hint="eastAsia" w:ascii="Times New Roman" w:hAnsi="Times New Roman" w:eastAsia="仿宋_GB2312"/>
          <w:color w:val="000000" w:themeColor="text1"/>
          <w:highlight w:val="none"/>
          <w:lang w:eastAsia="zh-CN"/>
          <w14:textFill>
            <w14:solidFill>
              <w14:schemeClr w14:val="tx1"/>
            </w14:solidFill>
          </w14:textFill>
        </w:rPr>
        <w:t>“</w:t>
      </w:r>
      <w:r>
        <w:rPr>
          <w:rFonts w:hint="eastAsia" w:ascii="Times New Roman" w:hAnsi="Times New Roman" w:eastAsia="仿宋_GB2312"/>
          <w:color w:val="000000" w:themeColor="text1"/>
          <w:highlight w:val="none"/>
          <w14:textFill>
            <w14:solidFill>
              <w14:schemeClr w14:val="tx1"/>
            </w14:solidFill>
          </w14:textFill>
        </w:rPr>
        <w:t>两核三区、四廊多点</w:t>
      </w:r>
      <w:r>
        <w:rPr>
          <w:rFonts w:hint="eastAsia" w:ascii="Times New Roman" w:hAnsi="Times New Roman" w:eastAsia="仿宋_GB2312"/>
          <w:color w:val="000000" w:themeColor="text1"/>
          <w:highlight w:val="none"/>
          <w:lang w:eastAsia="zh-CN"/>
          <w14:textFill>
            <w14:solidFill>
              <w14:schemeClr w14:val="tx1"/>
            </w14:solidFill>
          </w14:textFill>
        </w:rPr>
        <w:t>”</w:t>
      </w:r>
      <w:r>
        <w:rPr>
          <w:rFonts w:hint="eastAsia" w:ascii="Times New Roman" w:hAnsi="Times New Roman" w:eastAsia="仿宋_GB2312"/>
          <w:color w:val="000000" w:themeColor="text1"/>
          <w:highlight w:val="none"/>
          <w14:textFill>
            <w14:solidFill>
              <w14:schemeClr w14:val="tx1"/>
            </w14:solidFill>
          </w14:textFill>
        </w:rPr>
        <w:t>全域生态安全保护格局，以莲宝叶则国家湿地自然公园、若尔盖国家公园为两大生态保护核心，以严波也则自然保护区、黄河源头水源涵养保护区、大渡河流域生态保护区为三大功能片区，依托克柯河、尼曲河、大渡河、黄河四大生态廊道，联动全域饮用水源地等多</w:t>
      </w:r>
      <w:r>
        <w:rPr>
          <w:rFonts w:hint="eastAsia" w:ascii="Times New Roman" w:hAnsi="Times New Roman"/>
          <w:color w:val="000000" w:themeColor="text1"/>
          <w:highlight w:val="none"/>
          <w:lang w:val="en-US" w:eastAsia="zh-CN"/>
          <w14:textFill>
            <w14:solidFill>
              <w14:schemeClr w14:val="tx1"/>
            </w14:solidFill>
          </w14:textFill>
        </w:rPr>
        <w:t>个</w:t>
      </w:r>
      <w:r>
        <w:rPr>
          <w:rFonts w:hint="eastAsia" w:ascii="Times New Roman" w:hAnsi="Times New Roman" w:eastAsia="仿宋_GB2312"/>
          <w:color w:val="000000" w:themeColor="text1"/>
          <w:highlight w:val="none"/>
          <w14:textFill>
            <w14:solidFill>
              <w14:schemeClr w14:val="tx1"/>
            </w14:solidFill>
          </w14:textFill>
        </w:rPr>
        <w:t>生态节点，构建系统完整的生态安全骨架。坚守国土空间生态保护红线4944平方公里、占比48.84%底线，严格执行“面积不减少、功能不降低、性质不改变”管控要求，全面落地分区管控体系，对优先保护单元强化原生态保育，重点管控单元严控开发强度，一般单元规范产业布局，从空间源头守护高原山川生态本底。深度融入长江经济带、黄河流域高质量发展国家战略，立足川甘青三省交界生态区位，扛起上游生态保护责任，筑牢青藏高原东南缘生态安全屏障。</w:t>
      </w:r>
    </w:p>
    <w:p w14:paraId="7B6D1054">
      <w:pPr>
        <w:pStyle w:val="4"/>
        <w:pageBreakBefore w:val="0"/>
        <w:widowControl w:val="0"/>
        <w:numPr>
          <w:ilvl w:val="0"/>
          <w:numId w:val="10"/>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color w:val="000000" w:themeColor="text1"/>
          <w:highlight w:val="none"/>
          <w14:textFill>
            <w14:solidFill>
              <w14:schemeClr w14:val="tx1"/>
            </w14:solidFill>
          </w14:textFill>
        </w:rPr>
      </w:pPr>
      <w:bookmarkStart w:id="37" w:name="_Toc26254"/>
      <w:r>
        <w:rPr>
          <w:rFonts w:ascii="Times New Roman" w:hAnsi="Times New Roman" w:eastAsia="仿宋_GB2312" w:cs="Times New Roman"/>
          <w:color w:val="000000" w:themeColor="text1"/>
          <w:highlight w:val="none"/>
          <w14:textFill>
            <w14:solidFill>
              <w14:schemeClr w14:val="tx1"/>
            </w14:solidFill>
          </w14:textFill>
        </w:rPr>
        <w:t>系统施治林草，修复生态肌理</w:t>
      </w:r>
      <w:bookmarkEnd w:id="37"/>
    </w:p>
    <w:p w14:paraId="3A28FBE0">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全面压实林长制责任，实现县乡村三级林长全覆盖，常态化推进国有森林</w:t>
      </w:r>
      <w:r>
        <w:rPr>
          <w:rFonts w:hint="eastAsia" w:ascii="Times New Roman" w:hAnsi="Times New Roman"/>
          <w:color w:val="000000" w:themeColor="text1"/>
          <w:highlight w:val="none"/>
          <w:lang w:val="en-US" w:eastAsia="zh-CN"/>
          <w14:textFill>
            <w14:solidFill>
              <w14:schemeClr w14:val="tx1"/>
            </w14:solidFill>
          </w14:textFill>
        </w:rPr>
        <w:t>422.83</w:t>
      </w:r>
      <w:r>
        <w:rPr>
          <w:rFonts w:hint="eastAsia" w:ascii="Times New Roman" w:hAnsi="Times New Roman" w:eastAsia="仿宋_GB2312"/>
          <w:color w:val="000000" w:themeColor="text1"/>
          <w:highlight w:val="none"/>
          <w14:textFill>
            <w14:solidFill>
              <w14:schemeClr w14:val="tx1"/>
            </w14:solidFill>
          </w14:textFill>
        </w:rPr>
        <w:t>万亩、集体公益林</w:t>
      </w:r>
      <w:r>
        <w:rPr>
          <w:rFonts w:hint="eastAsia" w:ascii="Times New Roman" w:hAnsi="Times New Roman"/>
          <w:color w:val="000000" w:themeColor="text1"/>
          <w:highlight w:val="none"/>
          <w:lang w:val="en-US" w:eastAsia="zh-CN"/>
          <w14:textFill>
            <w14:solidFill>
              <w14:schemeClr w14:val="tx1"/>
            </w14:solidFill>
          </w14:textFill>
        </w:rPr>
        <w:t>13.27</w:t>
      </w:r>
      <w:r>
        <w:rPr>
          <w:rFonts w:hint="eastAsia" w:ascii="Times New Roman" w:hAnsi="Times New Roman" w:eastAsia="仿宋_GB2312"/>
          <w:color w:val="000000" w:themeColor="text1"/>
          <w:highlight w:val="none"/>
          <w14:textFill>
            <w14:solidFill>
              <w14:schemeClr w14:val="tx1"/>
            </w14:solidFill>
          </w14:textFill>
        </w:rPr>
        <w:t>万亩管护工作。</w:t>
      </w:r>
      <w:r>
        <w:rPr>
          <w:rFonts w:ascii="Times New Roman" w:hAnsi="Times New Roman" w:eastAsia="仿宋_GB2312"/>
          <w:color w:val="000000" w:themeColor="text1"/>
          <w:highlight w:val="none"/>
          <w14:textFill>
            <w14:solidFill>
              <w14:schemeClr w14:val="tx1"/>
            </w14:solidFill>
          </w14:textFill>
        </w:rPr>
        <w:t>坚持山水林田湖草沙一体化保护和系统治理，</w:t>
      </w:r>
      <w:r>
        <w:rPr>
          <w:rFonts w:hint="eastAsia" w:ascii="Times New Roman" w:hAnsi="Times New Roman" w:eastAsia="仿宋_GB2312"/>
          <w:color w:val="000000" w:themeColor="text1"/>
          <w:highlight w:val="none"/>
          <w14:textFill>
            <w14:solidFill>
              <w14:schemeClr w14:val="tx1"/>
            </w14:solidFill>
          </w14:textFill>
        </w:rPr>
        <w:t>持续实施封山育林、人工造林、退化林修复、森林抚育等重点工程，重点向</w:t>
      </w:r>
      <w:r>
        <w:rPr>
          <w:rFonts w:hint="eastAsia" w:ascii="Times New Roman" w:hAnsi="Times New Roman"/>
          <w:color w:val="000000" w:themeColor="text1"/>
          <w:highlight w:val="none"/>
          <w:lang w:val="en-US" w:eastAsia="zh-CN"/>
          <w14:textFill>
            <w14:solidFill>
              <w14:schemeClr w14:val="tx1"/>
            </w14:solidFill>
          </w14:textFill>
        </w:rPr>
        <w:t>山谷</w:t>
      </w:r>
      <w:r>
        <w:rPr>
          <w:rFonts w:hint="eastAsia" w:ascii="Times New Roman" w:hAnsi="Times New Roman" w:eastAsia="仿宋_GB2312"/>
          <w:color w:val="000000" w:themeColor="text1"/>
          <w:highlight w:val="none"/>
          <w14:textFill>
            <w14:solidFill>
              <w14:schemeClr w14:val="tx1"/>
            </w14:solidFill>
          </w14:textFill>
        </w:rPr>
        <w:t>林区、黄河流域沿线布局水源涵养林与水土保持林，稳步稳固9.01%森林覆盖率，持续提升森林生态质量。严格落实草原禁牧、休牧、划区轮牧制度，全域推进退化草原、沙化土地、鼠荒地综合治理，实施人工种草、天然草原改良、围栏封育等生态举措，加大草原鼠虫害、毒害草防控力度，推进招鹰灭鼠、生物防治等绿色防控模式，确保草原综合植被盖度稳定保持85.2</w:t>
      </w:r>
      <w:r>
        <w:rPr>
          <w:rFonts w:hint="eastAsia" w:ascii="Times New Roman" w:hAnsi="Times New Roman"/>
          <w:color w:val="000000" w:themeColor="text1"/>
          <w:highlight w:val="none"/>
          <w:lang w:val="en-US" w:eastAsia="zh-CN"/>
          <w14:textFill>
            <w14:solidFill>
              <w14:schemeClr w14:val="tx1"/>
            </w14:solidFill>
          </w14:textFill>
        </w:rPr>
        <w:t>7</w:t>
      </w:r>
      <w:r>
        <w:rPr>
          <w:rFonts w:hint="eastAsia" w:ascii="Times New Roman" w:hAnsi="Times New Roman" w:eastAsia="仿宋_GB2312"/>
          <w:color w:val="000000" w:themeColor="text1"/>
          <w:highlight w:val="none"/>
          <w14:textFill>
            <w14:solidFill>
              <w14:schemeClr w14:val="tx1"/>
            </w14:solidFill>
          </w14:textFill>
        </w:rPr>
        <w:t>%以上，草原超载率控制在0%，持续修复高原草原山川生态肌理。同时严控乱砍滥伐、非法开垦、无序放牧等破坏山林草原行为，常态化开展森林草原防灭火，延续连续无重大火灾良好态势。</w:t>
      </w:r>
    </w:p>
    <w:p w14:paraId="275ED835">
      <w:pPr>
        <w:pStyle w:val="4"/>
        <w:pageBreakBefore w:val="0"/>
        <w:widowControl w:val="0"/>
        <w:numPr>
          <w:ilvl w:val="0"/>
          <w:numId w:val="10"/>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color w:val="000000" w:themeColor="text1"/>
          <w:highlight w:val="none"/>
          <w14:textFill>
            <w14:solidFill>
              <w14:schemeClr w14:val="tx1"/>
            </w14:solidFill>
          </w14:textFill>
        </w:rPr>
      </w:pPr>
      <w:bookmarkStart w:id="38" w:name="_Toc2742"/>
      <w:r>
        <w:rPr>
          <w:rFonts w:ascii="Times New Roman" w:hAnsi="Times New Roman" w:eastAsia="仿宋_GB2312" w:cs="Times New Roman"/>
          <w:color w:val="000000" w:themeColor="text1"/>
          <w:highlight w:val="none"/>
          <w14:textFill>
            <w14:solidFill>
              <w14:schemeClr w14:val="tx1"/>
            </w14:solidFill>
          </w14:textFill>
        </w:rPr>
        <w:t>守护物种基因，夯实多样根基</w:t>
      </w:r>
      <w:bookmarkEnd w:id="38"/>
    </w:p>
    <w:p w14:paraId="079488E1">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阿坝县作为全球生物多样性热点区域、高原物种基因库，聚焦东北部高原湿地、西北部高原山地、南部高山峡谷三大生态系统差异化保护。重点保护黑颈鹤、天鹅、金雕、川金丝猴、白唇鹿等国家珍稀野生动植物，以及贝母、羌活、虫草、甘松等中藏药野生种质资源。健全自然保护地管护体系，完善漫泽塘、多美林卡、莲宝叶则、严波也则等自然保护区常态化</w:t>
      </w:r>
      <w:r>
        <w:rPr>
          <w:rFonts w:hint="eastAsia" w:ascii="Times New Roman" w:hAnsi="Times New Roman"/>
          <w:color w:val="000000" w:themeColor="text1"/>
          <w:highlight w:val="none"/>
          <w:lang w:eastAsia="zh-CN"/>
          <w14:textFill>
            <w14:solidFill>
              <w14:schemeClr w14:val="tx1"/>
            </w14:solidFill>
          </w14:textFill>
        </w:rPr>
        <w:t>、</w:t>
      </w:r>
      <w:r>
        <w:rPr>
          <w:rFonts w:hint="eastAsia" w:ascii="Times New Roman" w:hAnsi="Times New Roman"/>
          <w:color w:val="000000" w:themeColor="text1"/>
          <w:highlight w:val="none"/>
          <w:lang w:val="en-US" w:eastAsia="zh-CN"/>
          <w14:textFill>
            <w14:solidFill>
              <w14:schemeClr w14:val="tx1"/>
            </w14:solidFill>
          </w14:textFill>
        </w:rPr>
        <w:t>信息化巡护</w:t>
      </w:r>
      <w:r>
        <w:rPr>
          <w:rFonts w:hint="eastAsia" w:ascii="Times New Roman" w:hAnsi="Times New Roman" w:eastAsia="仿宋_GB2312"/>
          <w:color w:val="000000" w:themeColor="text1"/>
          <w:highlight w:val="none"/>
          <w14:textFill>
            <w14:solidFill>
              <w14:schemeClr w14:val="tx1"/>
            </w14:solidFill>
          </w14:textFill>
        </w:rPr>
        <w:t>监测。</w:t>
      </w:r>
      <w:r>
        <w:rPr>
          <w:rFonts w:hint="eastAsia" w:ascii="Times New Roman" w:hAnsi="Times New Roman"/>
          <w:color w:val="000000" w:themeColor="text1"/>
          <w:highlight w:val="none"/>
          <w:lang w:val="en-US" w:eastAsia="zh-CN"/>
          <w14:textFill>
            <w14:solidFill>
              <w14:schemeClr w14:val="tx1"/>
            </w14:solidFill>
          </w14:textFill>
        </w:rPr>
        <w:t>积极推进</w:t>
      </w:r>
      <w:r>
        <w:rPr>
          <w:rFonts w:hint="eastAsia" w:ascii="Times New Roman" w:hAnsi="Times New Roman" w:eastAsia="仿宋_GB2312"/>
          <w:color w:val="000000" w:themeColor="text1"/>
          <w:highlight w:val="none"/>
          <w14:textFill>
            <w14:solidFill>
              <w14:schemeClr w14:val="tx1"/>
            </w14:solidFill>
          </w14:textFill>
        </w:rPr>
        <w:t>濒危和极小种群物种保护，梳理各类物种面临的共性威胁因素，建立统一的重点保护物种名录。加强与周边地区的合作与交流，共同构建物种保护网络，为极度濒危和极小种群物种创造更好的生存环境。深入开展“清风行动”，严厉打击非法捕猎、贩卖、采伐、盗挖等违法行为，加强外来入侵物种排查防控，完善野生动物疫源疫病监测预警体系，打造高原生物多样性保护示范样板。</w:t>
      </w:r>
    </w:p>
    <w:p w14:paraId="28223B57">
      <w:pPr>
        <w:pStyle w:val="4"/>
        <w:pageBreakBefore w:val="0"/>
        <w:widowControl w:val="0"/>
        <w:numPr>
          <w:ilvl w:val="0"/>
          <w:numId w:val="10"/>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color w:val="000000" w:themeColor="text1"/>
          <w:highlight w:val="none"/>
          <w14:textFill>
            <w14:solidFill>
              <w14:schemeClr w14:val="tx1"/>
            </w14:solidFill>
          </w14:textFill>
        </w:rPr>
      </w:pPr>
      <w:bookmarkStart w:id="39" w:name="_Toc29259"/>
      <w:r>
        <w:rPr>
          <w:rFonts w:hint="eastAsia" w:ascii="Times New Roman" w:hAnsi="Times New Roman" w:eastAsia="仿宋_GB2312" w:cs="Times New Roman"/>
          <w:color w:val="000000" w:themeColor="text1"/>
          <w:highlight w:val="none"/>
          <w14:textFill>
            <w14:solidFill>
              <w14:schemeClr w14:val="tx1"/>
            </w14:solidFill>
          </w14:textFill>
        </w:rPr>
        <w:t>强化生物安全，严管有害生物</w:t>
      </w:r>
      <w:bookmarkEnd w:id="39"/>
    </w:p>
    <w:p w14:paraId="39383D57">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lang w:val="en-US" w:eastAsia="zh-CN"/>
          <w14:textFill>
            <w14:solidFill>
              <w14:schemeClr w14:val="tx1"/>
            </w14:solidFill>
          </w14:textFill>
        </w:rPr>
        <w:t>全面提升阿坝县生物安全管理能力，</w:t>
      </w:r>
      <w:r>
        <w:rPr>
          <w:rFonts w:ascii="Times New Roman" w:hAnsi="Times New Roman" w:eastAsia="仿宋_GB2312"/>
          <w:color w:val="000000" w:themeColor="text1"/>
          <w:highlight w:val="none"/>
          <w14:textFill>
            <w14:solidFill>
              <w14:schemeClr w14:val="tx1"/>
            </w14:solidFill>
          </w14:textFill>
        </w:rPr>
        <w:t>加大生物多样性保护执法力度，坚决打击偷猎珍稀野生动物违法犯罪行为，守护生物安全。</w:t>
      </w:r>
      <w:r>
        <w:rPr>
          <w:rFonts w:hint="eastAsia" w:ascii="Times New Roman" w:hAnsi="Times New Roman" w:eastAsia="仿宋_GB2312"/>
          <w:color w:val="000000" w:themeColor="text1"/>
          <w:highlight w:val="none"/>
          <w14:textFill>
            <w14:solidFill>
              <w14:schemeClr w14:val="tx1"/>
            </w14:solidFill>
          </w14:textFill>
        </w:rPr>
        <w:t>将外来入侵物种排查纳入林草日常巡护管护体系，结合森林、草原、湿地生态系统管护工作，开展</w:t>
      </w:r>
      <w:r>
        <w:rPr>
          <w:rFonts w:hint="eastAsia" w:ascii="Times New Roman" w:hAnsi="Times New Roman"/>
          <w:color w:val="000000" w:themeColor="text1"/>
          <w:highlight w:val="none"/>
          <w:lang w:val="en-US" w:eastAsia="zh-CN"/>
          <w14:textFill>
            <w14:solidFill>
              <w14:schemeClr w14:val="tx1"/>
            </w14:solidFill>
          </w14:textFill>
        </w:rPr>
        <w:t>外来入侵物种</w:t>
      </w:r>
      <w:r>
        <w:rPr>
          <w:rFonts w:hint="eastAsia" w:ascii="Times New Roman" w:hAnsi="Times New Roman" w:eastAsia="仿宋_GB2312"/>
          <w:color w:val="000000" w:themeColor="text1"/>
          <w:highlight w:val="none"/>
          <w14:textFill>
            <w14:solidFill>
              <w14:schemeClr w14:val="tx1"/>
            </w14:solidFill>
          </w14:textFill>
        </w:rPr>
        <w:t>实地排查核实，持续动态更新林草外来入侵物种名录台账，全力做好数据归集梳理，夯实林草生物安全监管基础。</w:t>
      </w:r>
      <w:r>
        <w:rPr>
          <w:rFonts w:hint="eastAsia" w:ascii="Times New Roman" w:hAnsi="Times New Roman" w:eastAsia="仿宋_GB2312"/>
          <w:color w:val="000000" w:themeColor="text1"/>
          <w:highlight w:val="none"/>
          <w:lang w:val="en-US" w:eastAsia="zh-CN"/>
          <w14:textFill>
            <w14:solidFill>
              <w14:schemeClr w14:val="tx1"/>
            </w14:solidFill>
          </w14:textFill>
        </w:rPr>
        <w:t>聚焦森林草原鼠害、毒害草、病虫害等有害生物，推行生物防治、生态调控、物理防控相结合的绿色治理模式，加大鼠虫害连片防治、毒害草清除力度，科学降低灾害发生频次与危害程度。健全林业草原有害生物监测预警网络，布设野外监测样地、红外相机及遥感监测设备，构建空天地一体化预警体系。同时多渠道开展生物安全、野生动植物保护、外来物种危害等科普宣传，依托世界环境日、生物多样性日、爱鸟周等节点，进乡村、进寺庙、进学校、进景区开展主题宣讲，普及法律法规和保护知识，引导群众自觉参与物种保护、主动举报违规行为，营造全民守护高原生物安全的良好社会氛围。</w:t>
      </w:r>
    </w:p>
    <w:p w14:paraId="54577142">
      <w:pPr>
        <w:pStyle w:val="4"/>
        <w:pageBreakBefore w:val="0"/>
        <w:widowControl w:val="0"/>
        <w:numPr>
          <w:ilvl w:val="0"/>
          <w:numId w:val="10"/>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color w:val="000000" w:themeColor="text1"/>
          <w:highlight w:val="none"/>
          <w14:textFill>
            <w14:solidFill>
              <w14:schemeClr w14:val="tx1"/>
            </w14:solidFill>
          </w14:textFill>
        </w:rPr>
      </w:pPr>
      <w:bookmarkStart w:id="40" w:name="_Toc28560"/>
      <w:r>
        <w:rPr>
          <w:rFonts w:ascii="Times New Roman" w:hAnsi="Times New Roman" w:eastAsia="仿宋_GB2312" w:cs="Times New Roman"/>
          <w:color w:val="000000" w:themeColor="text1"/>
          <w:highlight w:val="none"/>
          <w14:textFill>
            <w14:solidFill>
              <w14:schemeClr w14:val="tx1"/>
            </w14:solidFill>
          </w14:textFill>
        </w:rPr>
        <w:t>整治地质灾害，稳固山川安全</w:t>
      </w:r>
      <w:bookmarkEnd w:id="40"/>
    </w:p>
    <w:p w14:paraId="39394952">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针对阿坝县高寒高海拔、地形复杂、地质脆弱，暴雨洪涝、滑坡、泥石流、霜冻雪灾多发的特点，开展全域地质灾害隐患全面普查，建立隐患点台账，健全县、乡、村、组、监测员五级群测群防预警网络。分类实施工程治理、排危除险、生态搬迁、植被恢复四大举措，在河道两岸、交通干线、乡镇聚居区重点修建挡土墙、截排水沟等防护工程。加大水土流失综合治理力度，以中小河流域、山洪易发区、生态脆弱区为重点，实施封育保护、坡改梯、人工林草种植等水土保持工程，严控生产建设项目人为水土流失，同步完善气象、水文、地质灾害监测预警设施，提升山川生态防灾减灾和自我修复能力。</w:t>
      </w:r>
    </w:p>
    <w:p w14:paraId="55CD597D">
      <w:pPr>
        <w:pStyle w:val="4"/>
        <w:pageBreakBefore w:val="0"/>
        <w:widowControl w:val="0"/>
        <w:numPr>
          <w:ilvl w:val="0"/>
          <w:numId w:val="10"/>
        </w:numPr>
        <w:shd w:val="clear"/>
        <w:kinsoku/>
        <w:wordWrap/>
        <w:overflowPunct/>
        <w:autoSpaceDE/>
        <w:autoSpaceDN/>
        <w:bidi w:val="0"/>
        <w:adjustRightInd/>
        <w:snapToGrid/>
        <w:spacing w:before="0" w:after="0" w:line="560" w:lineRule="atLeast"/>
        <w:ind w:firstLine="643" w:firstLineChars="200"/>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bookmarkStart w:id="41" w:name="_Toc2852"/>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系统整治矿山，重塑高原地貌</w:t>
      </w:r>
      <w:bookmarkEnd w:id="41"/>
    </w:p>
    <w:p w14:paraId="6D7A6523">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default" w:ascii="Times New Roman" w:hAnsi="Times New Roman" w:eastAsia="仿宋_GB2312"/>
          <w:color w:val="000000" w:themeColor="text1"/>
          <w:highlight w:val="none"/>
          <w:lang w:val="en-US" w:eastAsia="zh-CN"/>
          <w14:textFill>
            <w14:solidFill>
              <w14:schemeClr w14:val="tx1"/>
            </w14:solidFill>
          </w14:textFill>
        </w:rPr>
      </w:pPr>
      <w:r>
        <w:rPr>
          <w:rFonts w:hint="default" w:ascii="Times New Roman" w:hAnsi="Times New Roman" w:eastAsia="仿宋_GB2312"/>
          <w:color w:val="000000" w:themeColor="text1"/>
          <w:highlight w:val="none"/>
          <w:lang w:val="en-US" w:eastAsia="zh-CN"/>
          <w14:textFill>
            <w14:solidFill>
              <w14:schemeClr w14:val="tx1"/>
            </w14:solidFill>
          </w14:textFill>
        </w:rPr>
        <w:t>立足阿坝县高寒脆弱生态本底，全面排查全域历史遗留矿山、采砂弃坑、矿渣堆放点等生态破损区域，建立台账清单、实行分类施策治理。严格遵循青藏高原生态保护要求，采取危岩清理、边坡稳固、场地平整、渣土清运等工程措施，同步实施土壤改良、乡土草种补播、乔灌草混植等生态修复手段，推进矿山迹地植被恢复、水土流失治理和地质灾害隐患排查整治。坚持</w:t>
      </w:r>
      <w:r>
        <w:rPr>
          <w:rFonts w:hint="eastAsia" w:ascii="Times New Roman" w:hAnsi="Times New Roman"/>
          <w:color w:val="000000" w:themeColor="text1"/>
          <w:highlight w:val="none"/>
          <w:lang w:val="en-US" w:eastAsia="zh-CN"/>
          <w14:textFill>
            <w14:solidFill>
              <w14:schemeClr w14:val="tx1"/>
            </w14:solidFill>
          </w14:textFill>
        </w:rPr>
        <w:t>“</w:t>
      </w:r>
      <w:r>
        <w:rPr>
          <w:rFonts w:hint="default" w:ascii="Times New Roman" w:hAnsi="Times New Roman" w:eastAsia="仿宋_GB2312"/>
          <w:color w:val="000000" w:themeColor="text1"/>
          <w:highlight w:val="none"/>
          <w:lang w:val="en-US" w:eastAsia="zh-CN"/>
          <w14:textFill>
            <w14:solidFill>
              <w14:schemeClr w14:val="tx1"/>
            </w14:solidFill>
          </w14:textFill>
        </w:rPr>
        <w:t>宜林则林、宜草则草、宜荒则荒</w:t>
      </w:r>
      <w:r>
        <w:rPr>
          <w:rFonts w:hint="eastAsia" w:ascii="Times New Roman" w:hAnsi="Times New Roman"/>
          <w:color w:val="000000" w:themeColor="text1"/>
          <w:highlight w:val="none"/>
          <w:lang w:val="en-US" w:eastAsia="zh-CN"/>
          <w14:textFill>
            <w14:solidFill>
              <w14:schemeClr w14:val="tx1"/>
            </w14:solidFill>
          </w14:textFill>
        </w:rPr>
        <w:t>”</w:t>
      </w:r>
      <w:r>
        <w:rPr>
          <w:rFonts w:hint="default" w:ascii="Times New Roman" w:hAnsi="Times New Roman" w:eastAsia="仿宋_GB2312"/>
          <w:color w:val="000000" w:themeColor="text1"/>
          <w:highlight w:val="none"/>
          <w:lang w:val="en-US" w:eastAsia="zh-CN"/>
          <w14:textFill>
            <w14:solidFill>
              <w14:schemeClr w14:val="tx1"/>
            </w14:solidFill>
          </w14:textFill>
        </w:rPr>
        <w:t>原则，统筹矿山修复与草原湿地保护、水土保持、国土空间规划衔接，严厉杜绝违规私采滥挖行为，健全矿山常态化监管机制。同步探索矿山修复后生态价值转化，适度联动生态文旅、草原管护等业态，彻底化解历史矿山遗留生态隐患，修复破损地貌肌理，筑牢长江黄河上游生态安全屏障。</w:t>
      </w:r>
    </w:p>
    <w:p w14:paraId="3B06A4B4">
      <w:pPr>
        <w:pStyle w:val="4"/>
        <w:pageBreakBefore w:val="0"/>
        <w:widowControl w:val="0"/>
        <w:numPr>
          <w:ilvl w:val="0"/>
          <w:numId w:val="10"/>
        </w:numPr>
        <w:shd w:val="clear"/>
        <w:kinsoku/>
        <w:wordWrap/>
        <w:overflowPunct/>
        <w:autoSpaceDE/>
        <w:autoSpaceDN/>
        <w:bidi w:val="0"/>
        <w:adjustRightInd/>
        <w:snapToGrid/>
        <w:spacing w:before="0" w:after="0" w:line="560" w:lineRule="atLeast"/>
        <w:ind w:firstLine="643" w:firstLineChars="200"/>
        <w:textAlignment w:val="auto"/>
        <w:rPr>
          <w:rFonts w:hint="default" w:ascii="Times New Roman" w:hAnsi="Times New Roman" w:eastAsia="仿宋_GB2312" w:cs="Times New Roman"/>
          <w:color w:val="000000" w:themeColor="text1"/>
          <w:highlight w:val="none"/>
          <w:lang w:val="en-US" w:eastAsia="zh-CN"/>
          <w14:textFill>
            <w14:solidFill>
              <w14:schemeClr w14:val="tx1"/>
            </w14:solidFill>
          </w14:textFill>
        </w:rPr>
      </w:pPr>
      <w:bookmarkStart w:id="42" w:name="_Toc12277"/>
      <w:r>
        <w:rPr>
          <w:rFonts w:hint="default" w:ascii="Times New Roman" w:hAnsi="Times New Roman" w:eastAsia="仿宋_GB2312" w:cs="Times New Roman"/>
          <w:color w:val="000000" w:themeColor="text1"/>
          <w:highlight w:val="none"/>
          <w:lang w:val="en-US" w:eastAsia="zh-CN"/>
          <w14:textFill>
            <w14:solidFill>
              <w14:schemeClr w14:val="tx1"/>
            </w14:solidFill>
          </w14:textFill>
        </w:rPr>
        <w:t>健全管护体系，推进保护地建管</w:t>
      </w:r>
      <w:r>
        <w:rPr>
          <w:rFonts w:hint="eastAsia" w:ascii="Times New Roman" w:hAnsi="Times New Roman" w:eastAsia="仿宋_GB2312" w:cs="Times New Roman"/>
          <w:color w:val="000000" w:themeColor="text1"/>
          <w:highlight w:val="none"/>
          <w:lang w:val="en-US" w:eastAsia="zh-CN"/>
          <w14:textFill>
            <w14:solidFill>
              <w14:schemeClr w14:val="tx1"/>
            </w14:solidFill>
          </w14:textFill>
        </w:rPr>
        <w:t>监</w:t>
      </w:r>
      <w:bookmarkEnd w:id="42"/>
    </w:p>
    <w:p w14:paraId="0CAA2C42">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default" w:ascii="Times New Roman" w:hAnsi="Times New Roman" w:eastAsia="仿宋_GB2312"/>
          <w:color w:val="000000" w:themeColor="text1"/>
          <w:highlight w:val="none"/>
          <w:lang w:val="en-US" w:eastAsia="zh-CN"/>
          <w14:textFill>
            <w14:solidFill>
              <w14:schemeClr w14:val="tx1"/>
            </w14:solidFill>
          </w14:textFill>
        </w:rPr>
      </w:pPr>
      <w:r>
        <w:rPr>
          <w:rFonts w:hint="default" w:ascii="Times New Roman" w:hAnsi="Times New Roman" w:eastAsia="仿宋_GB2312"/>
          <w:color w:val="000000" w:themeColor="text1"/>
          <w:highlight w:val="none"/>
          <w:lang w:val="en-US" w:eastAsia="zh-CN"/>
          <w14:textFill>
            <w14:solidFill>
              <w14:schemeClr w14:val="tx1"/>
            </w14:solidFill>
          </w14:textFill>
        </w:rPr>
        <w:t>以莲宝叶则、多美林卡、漫泽塘、严波也则等自然保护地为重点，</w:t>
      </w:r>
      <w:r>
        <w:rPr>
          <w:rFonts w:hint="eastAsia" w:ascii="Times New Roman" w:hAnsi="Times New Roman"/>
          <w:color w:val="000000" w:themeColor="text1"/>
          <w:highlight w:val="none"/>
          <w:lang w:val="en-US" w:eastAsia="zh-CN"/>
          <w14:textFill>
            <w14:solidFill>
              <w14:schemeClr w14:val="tx1"/>
            </w14:solidFill>
          </w14:textFill>
        </w:rPr>
        <w:t>严格落实</w:t>
      </w:r>
      <w:r>
        <w:rPr>
          <w:rFonts w:hint="default" w:ascii="Times New Roman" w:hAnsi="Times New Roman" w:eastAsia="仿宋_GB2312"/>
          <w:color w:val="000000" w:themeColor="text1"/>
          <w:highlight w:val="none"/>
          <w:lang w:val="en-US" w:eastAsia="zh-CN"/>
          <w14:textFill>
            <w14:solidFill>
              <w14:schemeClr w14:val="tx1"/>
            </w14:solidFill>
          </w14:textFill>
        </w:rPr>
        <w:t>自然保护地范围界线与功能分区，实现</w:t>
      </w:r>
      <w:r>
        <w:rPr>
          <w:rFonts w:hint="eastAsia" w:ascii="Times New Roman" w:hAnsi="Times New Roman"/>
          <w:color w:val="000000" w:themeColor="text1"/>
          <w:highlight w:val="none"/>
          <w:lang w:val="en-US" w:eastAsia="zh-CN"/>
          <w14:textFill>
            <w14:solidFill>
              <w14:schemeClr w14:val="tx1"/>
            </w14:solidFill>
          </w14:textFill>
        </w:rPr>
        <w:t>“</w:t>
      </w:r>
      <w:r>
        <w:rPr>
          <w:rFonts w:hint="default" w:ascii="Times New Roman" w:hAnsi="Times New Roman" w:eastAsia="仿宋_GB2312"/>
          <w:color w:val="000000" w:themeColor="text1"/>
          <w:highlight w:val="none"/>
          <w:lang w:val="en-US" w:eastAsia="zh-CN"/>
          <w14:textFill>
            <w14:solidFill>
              <w14:schemeClr w14:val="tx1"/>
            </w14:solidFill>
          </w14:textFill>
        </w:rPr>
        <w:t>边界清晰、分区明确、规则统一</w:t>
      </w:r>
      <w:r>
        <w:rPr>
          <w:rFonts w:hint="eastAsia" w:ascii="Times New Roman" w:hAnsi="Times New Roman"/>
          <w:color w:val="000000" w:themeColor="text1"/>
          <w:highlight w:val="none"/>
          <w:lang w:val="en-US" w:eastAsia="zh-CN"/>
          <w14:textFill>
            <w14:solidFill>
              <w14:schemeClr w14:val="tx1"/>
            </w14:solidFill>
          </w14:textFill>
        </w:rPr>
        <w:t>”</w:t>
      </w:r>
      <w:r>
        <w:rPr>
          <w:rFonts w:hint="default" w:ascii="Times New Roman" w:hAnsi="Times New Roman" w:eastAsia="仿宋_GB2312"/>
          <w:color w:val="000000" w:themeColor="text1"/>
          <w:highlight w:val="none"/>
          <w:lang w:val="en-US" w:eastAsia="zh-CN"/>
          <w14:textFill>
            <w14:solidFill>
              <w14:schemeClr w14:val="tx1"/>
            </w14:solidFill>
          </w14:textFill>
        </w:rPr>
        <w:t>的精细化管护格局，从制度层面筑牢自然保护地生态安全防线。健全自然保护地常态化巡护机制，配齐管护站点、巡护人员与设施装备，运用无人机、遥感卫星、红外监测等智能化手段，构建天空地一体化监管体系，严厉打击乱采滥挖、违规放牧、非法捕猎、违建开发等破坏行为。</w:t>
      </w:r>
      <w:r>
        <w:rPr>
          <w:rFonts w:hint="eastAsia" w:ascii="Times New Roman" w:hAnsi="Times New Roman" w:eastAsia="仿宋_GB2312"/>
          <w:color w:val="000000" w:themeColor="text1"/>
          <w:highlight w:val="none"/>
          <w14:textFill>
            <w14:solidFill>
              <w14:schemeClr w14:val="tx1"/>
            </w14:solidFill>
          </w14:textFill>
        </w:rPr>
        <w:t>在</w:t>
      </w:r>
      <w:r>
        <w:rPr>
          <w:rFonts w:hint="eastAsia" w:ascii="Times New Roman" w:hAnsi="Times New Roman"/>
          <w:color w:val="000000" w:themeColor="text1"/>
          <w:highlight w:val="none"/>
          <w:lang w:eastAsia="zh-CN"/>
          <w14:textFill>
            <w14:solidFill>
              <w14:schemeClr w14:val="tx1"/>
            </w14:solidFill>
          </w14:textFill>
        </w:rPr>
        <w:t>阿坝</w:t>
      </w:r>
      <w:r>
        <w:rPr>
          <w:rFonts w:hint="eastAsia" w:ascii="Times New Roman" w:hAnsi="Times New Roman" w:eastAsia="仿宋_GB2312"/>
          <w:color w:val="000000" w:themeColor="text1"/>
          <w:highlight w:val="none"/>
          <w14:textFill>
            <w14:solidFill>
              <w14:schemeClr w14:val="tx1"/>
            </w14:solidFill>
          </w14:textFill>
        </w:rPr>
        <w:t>县生物多样性调查成果的基础上，以自然保护地和关键生态系统为监测重点，开展长期监测，系统评估生态系统质量和功能变化情况、重要生物物种及其栖息地保护成效、退化受损生态系统保护修复成效等评估。指导开展光伏、水电等清洁能源项目等对生物多样性的影响评价，提出针对性</w:t>
      </w:r>
      <w:r>
        <w:rPr>
          <w:rFonts w:hint="eastAsia" w:ascii="Times New Roman" w:hAnsi="Times New Roman" w:eastAsia="仿宋_GB2312"/>
          <w:color w:val="000000" w:themeColor="text1"/>
          <w:highlight w:val="none"/>
          <w:lang w:val="en-US" w:eastAsia="zh-CN"/>
          <w14:textFill>
            <w14:solidFill>
              <w14:schemeClr w14:val="tx1"/>
            </w14:solidFill>
          </w14:textFill>
        </w:rPr>
        <w:t>的</w:t>
      </w:r>
      <w:r>
        <w:rPr>
          <w:rFonts w:hint="eastAsia" w:ascii="Times New Roman" w:hAnsi="Times New Roman" w:eastAsia="仿宋_GB2312"/>
          <w:color w:val="000000" w:themeColor="text1"/>
          <w:highlight w:val="none"/>
          <w14:textFill>
            <w14:solidFill>
              <w14:schemeClr w14:val="tx1"/>
            </w14:solidFill>
          </w14:textFill>
        </w:rPr>
        <w:t>保护和修复措施。</w:t>
      </w:r>
      <w:r>
        <w:rPr>
          <w:rFonts w:hint="default" w:ascii="Times New Roman" w:hAnsi="Times New Roman" w:eastAsia="仿宋_GB2312"/>
          <w:color w:val="000000" w:themeColor="text1"/>
          <w:highlight w:val="none"/>
          <w:lang w:val="en-US" w:eastAsia="zh-CN"/>
          <w14:textFill>
            <w14:solidFill>
              <w14:schemeClr w14:val="tx1"/>
            </w14:solidFill>
          </w14:textFill>
        </w:rPr>
        <w:t>完善自然保护地管理制度与准入负面清单，严格项目审批和建设活动管控，有序梳理化解历史遗留矛盾问题。购置和更新野外巡护、科研、培训和管理设备，引进和培养技术人员，提升自然保护区基础条件和科研能力。同步加强科普宣教、科研监测、生态修复与森林防火、疫病防控能力建设，健全部门联动、属地负责、社会参与的管护格局，全面提升自然保护地标准化、精细化、智慧化管理水平，筑牢高原生物多样性与生态安全屏障。</w:t>
      </w:r>
    </w:p>
    <w:p w14:paraId="21662A41">
      <w:pPr>
        <w:pStyle w:val="3"/>
        <w:pageBreakBefore w:val="0"/>
        <w:widowControl w:val="0"/>
        <w:numPr>
          <w:ilvl w:val="0"/>
          <w:numId w:val="9"/>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pPr>
      <w:bookmarkStart w:id="43" w:name="_Toc1479"/>
      <w:r>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t>润泽江河源流，涵养美丽河湖</w:t>
      </w:r>
      <w:bookmarkEnd w:id="43"/>
    </w:p>
    <w:p w14:paraId="26D91C5E">
      <w:pPr>
        <w:pStyle w:val="4"/>
        <w:pageBreakBefore w:val="0"/>
        <w:widowControl w:val="0"/>
        <w:numPr>
          <w:ilvl w:val="0"/>
          <w:numId w:val="11"/>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44" w:name="_Toc30383"/>
      <w:r>
        <w:rPr>
          <w:rFonts w:ascii="Times New Roman" w:hAnsi="Times New Roman" w:eastAsia="仿宋_GB2312" w:cs="Times New Roman"/>
          <w:b/>
          <w:bCs w:val="0"/>
          <w:color w:val="000000" w:themeColor="text1"/>
          <w:highlight w:val="none"/>
          <w14:textFill>
            <w14:solidFill>
              <w14:schemeClr w14:val="tx1"/>
            </w14:solidFill>
          </w14:textFill>
        </w:rPr>
        <w:t>严控流域管护，守护干支清流</w:t>
      </w:r>
      <w:bookmarkEnd w:id="44"/>
    </w:p>
    <w:p w14:paraId="03E4171F">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县域河流分属长江、黄河两大水系，麻尔曲、阿曲河隶属大渡河流域，贾曲、夏容曲隶属黄河流域。</w:t>
      </w:r>
      <w:r>
        <w:rPr>
          <w:rFonts w:hint="eastAsia" w:ascii="Times New Roman" w:hAnsi="Times New Roman" w:eastAsia="仿宋_GB2312"/>
          <w:color w:val="000000" w:themeColor="text1"/>
          <w:highlight w:val="none"/>
          <w:lang w:val="en-US" w:eastAsia="zh-CN"/>
          <w14:textFill>
            <w14:solidFill>
              <w14:schemeClr w14:val="tx1"/>
            </w14:solidFill>
          </w14:textFill>
        </w:rPr>
        <w:t>全面纵深推进河（湖）长制落地落细，构建起“县级总河长统筹、分级河湖长主抓、村级管护员落实、全域群众参与”的四级河湖管护责任体系，层层压实各级河湖长常态化巡河、精细化护河、常态化治河工作职责，实现全县大小河流、湖泊、沟渠管护全覆盖、无死角。</w:t>
      </w:r>
      <w:r>
        <w:rPr>
          <w:rFonts w:hint="eastAsia" w:ascii="Times New Roman" w:hAnsi="Times New Roman" w:eastAsia="仿宋_GB2312"/>
          <w:color w:val="000000" w:themeColor="text1"/>
          <w:highlight w:val="none"/>
          <w14:textFill>
            <w14:solidFill>
              <w14:schemeClr w14:val="tx1"/>
            </w14:solidFill>
          </w14:textFill>
        </w:rPr>
        <w:t>常态化开展“清河、护岸、净水、保水”四大专项行动，</w:t>
      </w:r>
      <w:r>
        <w:rPr>
          <w:rFonts w:hint="eastAsia" w:ascii="Times New Roman" w:hAnsi="Times New Roman" w:eastAsia="仿宋_GB2312"/>
          <w:color w:val="000000" w:themeColor="text1"/>
          <w:highlight w:val="none"/>
          <w:lang w:val="en-US" w:eastAsia="zh-CN"/>
          <w14:textFill>
            <w14:solidFill>
              <w14:schemeClr w14:val="tx1"/>
            </w14:solidFill>
          </w14:textFill>
        </w:rPr>
        <w:t>聚焦河道全域、河湖岸线、滨水区域重点排查整治，严厉杜绝垃圾入河、生活污水与生产废水直排、河道违规采砂取土、违法侵占河道水域、破坏水工设施等各类涉水违法行为。</w:t>
      </w:r>
      <w:r>
        <w:rPr>
          <w:rFonts w:hint="eastAsia" w:ascii="Times New Roman" w:hAnsi="Times New Roman" w:eastAsia="仿宋_GB2312"/>
          <w:color w:val="000000" w:themeColor="text1"/>
          <w:highlight w:val="none"/>
          <w14:textFill>
            <w14:solidFill>
              <w14:schemeClr w14:val="tx1"/>
            </w14:solidFill>
          </w14:textFill>
        </w:rPr>
        <w:t>持续推进入河排污口排查、溯源、整治、销号，完成全域排污口规范化管控，强化工矿、养殖、生活等污染源综合治理</w:t>
      </w:r>
      <w:r>
        <w:rPr>
          <w:rFonts w:hint="eastAsia" w:ascii="Times New Roman" w:hAnsi="Times New Roman"/>
          <w:color w:val="000000" w:themeColor="text1"/>
          <w:highlight w:val="none"/>
          <w:lang w:eastAsia="zh-CN"/>
          <w14:textFill>
            <w14:solidFill>
              <w14:schemeClr w14:val="tx1"/>
            </w14:solidFill>
          </w14:textFill>
        </w:rPr>
        <w:t>。通过常态化管控、精准化治理、常态化督导，</w:t>
      </w:r>
      <w:r>
        <w:rPr>
          <w:rFonts w:hint="eastAsia" w:ascii="Times New Roman" w:hAnsi="Times New Roman" w:eastAsia="仿宋_GB2312"/>
          <w:color w:val="000000" w:themeColor="text1"/>
          <w:highlight w:val="none"/>
          <w14:textFill>
            <w14:solidFill>
              <w14:schemeClr w14:val="tx1"/>
            </w14:solidFill>
          </w14:textFill>
        </w:rPr>
        <w:t>确保全县县级及以上断面、河湖水体常年保持地</w:t>
      </w:r>
      <w:r>
        <w:rPr>
          <w:rFonts w:hint="default" w:ascii="Times New Roman" w:hAnsi="Times New Roman" w:eastAsia="仿宋_GB2312" w:cs="Times New Roman"/>
          <w:color w:val="000000" w:themeColor="text1"/>
          <w:highlight w:val="none"/>
          <w14:textFill>
            <w14:solidFill>
              <w14:schemeClr w14:val="tx1"/>
            </w14:solidFill>
          </w14:textFill>
        </w:rPr>
        <w:t>表水Ⅲ类及以上标准，地表水水质优良比例</w:t>
      </w:r>
      <w:r>
        <w:rPr>
          <w:rFonts w:hint="default" w:ascii="Times New Roman" w:hAnsi="Times New Roman" w:cs="Times New Roman"/>
          <w:color w:val="000000" w:themeColor="text1"/>
          <w:highlight w:val="none"/>
          <w:lang w:val="en-US" w:eastAsia="zh-CN"/>
          <w14:textFill>
            <w14:solidFill>
              <w14:schemeClr w14:val="tx1"/>
            </w14:solidFill>
          </w14:textFill>
        </w:rPr>
        <w:t>稳定达到100%，确保全域无劣Ⅴ类水体、无黑臭水体、无大面积水体污染</w:t>
      </w:r>
      <w:r>
        <w:rPr>
          <w:rFonts w:hint="eastAsia" w:ascii="Times New Roman" w:hAnsi="Times New Roman" w:eastAsia="仿宋_GB2312"/>
          <w:color w:val="000000" w:themeColor="text1"/>
          <w:highlight w:val="none"/>
          <w14:textFill>
            <w14:solidFill>
              <w14:schemeClr w14:val="tx1"/>
            </w14:solidFill>
          </w14:textFill>
        </w:rPr>
        <w:t>，坚决守护江河源头水清质优的生态本色，筑牢长江、黄河上游干支流水质安全屏障。</w:t>
      </w:r>
    </w:p>
    <w:p w14:paraId="4097A864">
      <w:pPr>
        <w:pStyle w:val="4"/>
        <w:pageBreakBefore w:val="0"/>
        <w:widowControl w:val="0"/>
        <w:numPr>
          <w:ilvl w:val="0"/>
          <w:numId w:val="11"/>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45" w:name="_Toc20301"/>
      <w:r>
        <w:rPr>
          <w:rFonts w:ascii="Times New Roman" w:hAnsi="Times New Roman" w:eastAsia="仿宋_GB2312" w:cs="Times New Roman"/>
          <w:b/>
          <w:bCs w:val="0"/>
          <w:color w:val="000000" w:themeColor="text1"/>
          <w:highlight w:val="none"/>
          <w14:textFill>
            <w14:solidFill>
              <w14:schemeClr w14:val="tx1"/>
            </w14:solidFill>
          </w14:textFill>
        </w:rPr>
        <w:t>修复湿地生态，涵养水源命脉</w:t>
      </w:r>
      <w:bookmarkEnd w:id="45"/>
    </w:p>
    <w:p w14:paraId="3B4E4BA1">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聚焦若尔盖国家公园创建契机，</w:t>
      </w:r>
      <w:r>
        <w:rPr>
          <w:rFonts w:hint="eastAsia" w:ascii="Times New Roman" w:hAnsi="Times New Roman" w:eastAsia="仿宋_GB2312"/>
          <w:color w:val="000000" w:themeColor="text1"/>
          <w:highlight w:val="none"/>
          <w:lang w:val="en-US" w:eastAsia="zh-CN"/>
          <w14:textFill>
            <w14:solidFill>
              <w14:schemeClr w14:val="tx1"/>
            </w14:solidFill>
          </w14:textFill>
        </w:rPr>
        <w:t>立足高寒湿地生态保护修复核心定位，统筹整合生态保护、修复治理、项目建设各类资源，系统推进多美林卡、漫泽塘、莲宝叶则等各级湿地公园、自然保护区的标准化建设与提质升级，构建多点联动、全域覆盖的湿地生态保护格局。针对区域部分湿地存在的萎缩退化、沟渠积水不畅、植被覆盖率下降、草场退化等突出生态问题，精准实施</w:t>
      </w:r>
      <w:r>
        <w:rPr>
          <w:rFonts w:hint="eastAsia" w:ascii="Times New Roman" w:hAnsi="Times New Roman" w:eastAsia="仿宋_GB2312"/>
          <w:color w:val="000000" w:themeColor="text1"/>
          <w:highlight w:val="none"/>
          <w14:textFill>
            <w14:solidFill>
              <w14:schemeClr w14:val="tx1"/>
            </w14:solidFill>
          </w14:textFill>
        </w:rPr>
        <w:t>湿地扎堵填沟、围栏隔离、退牧还湿、生态补水等综合治理工程，</w:t>
      </w:r>
      <w:r>
        <w:rPr>
          <w:rFonts w:hint="eastAsia" w:ascii="Times New Roman" w:hAnsi="Times New Roman" w:eastAsia="仿宋_GB2312"/>
          <w:color w:val="000000" w:themeColor="text1"/>
          <w:highlight w:val="none"/>
          <w:lang w:val="en-US" w:eastAsia="zh-CN"/>
          <w14:textFill>
            <w14:solidFill>
              <w14:schemeClr w14:val="tx1"/>
            </w14:solidFill>
          </w14:textFill>
        </w:rPr>
        <w:t>破解湿地生态退化难题，有效遏制湿地面积缩减、植被退化、功能弱化的趋势。</w:t>
      </w:r>
      <w:r>
        <w:rPr>
          <w:rFonts w:hint="eastAsia" w:ascii="Times New Roman" w:hAnsi="Times New Roman" w:eastAsia="仿宋_GB2312"/>
          <w:color w:val="000000" w:themeColor="text1"/>
          <w:highlight w:val="none"/>
          <w14:textFill>
            <w14:solidFill>
              <w14:schemeClr w14:val="tx1"/>
            </w14:solidFill>
          </w14:textFill>
        </w:rPr>
        <w:t>持续加大高寒沼泽湿地、高寒草甸湿地两大核心湿地类型的保护力度，严格落实湿地保护管控条例，严禁区域内泥炭非法开采、湿地开沟排水、违规侵占填埋、无序开发利用等破坏湿地生态的行为，稳步推进湿地原生植被恢复、退化湿地修复、珍稀水鸟栖息地营建优化工程，稳固守住全县108.54万公顷湿地保有量，保障湿地生态系统完整性、稳定性。同步建立健全湿地常态化科研监测、全天候巡护值守、全方位科普宣教长效工作机制，常态化开展湿地生态水质、土壤、植被、生物种群动态监测，精准掌握湿地生态变化态势</w:t>
      </w:r>
      <w:r>
        <w:rPr>
          <w:rFonts w:hint="eastAsia" w:ascii="Times New Roman" w:hAnsi="Times New Roman"/>
          <w:color w:val="000000" w:themeColor="text1"/>
          <w:highlight w:val="none"/>
          <w:lang w:eastAsia="zh-CN"/>
          <w14:textFill>
            <w14:solidFill>
              <w14:schemeClr w14:val="tx1"/>
            </w14:solidFill>
          </w14:textFill>
        </w:rPr>
        <w:t>。</w:t>
      </w:r>
      <w:r>
        <w:rPr>
          <w:rFonts w:hint="eastAsia" w:ascii="Times New Roman" w:hAnsi="Times New Roman" w:eastAsia="仿宋_GB2312"/>
          <w:color w:val="000000" w:themeColor="text1"/>
          <w:highlight w:val="none"/>
          <w:lang w:val="en-US" w:eastAsia="zh-CN"/>
          <w14:textFill>
            <w14:solidFill>
              <w14:schemeClr w14:val="tx1"/>
            </w14:solidFill>
          </w14:textFill>
        </w:rPr>
        <w:t>严格落实省级湿地生态效益补偿、草原湿地生态保护奖励等惠民政策，充分调动群众参与湿地保护的积极性与主动性。通过系统性保护、针对性修复、常态化管控，全面提升湿地水源涵养、固碳释氧、水土保持、生物栖息、气候调节的核心生态功能，持续夯实高原湿地生态基底。</w:t>
      </w:r>
    </w:p>
    <w:p w14:paraId="558F31BC">
      <w:pPr>
        <w:pStyle w:val="4"/>
        <w:pageBreakBefore w:val="0"/>
        <w:widowControl w:val="0"/>
        <w:numPr>
          <w:ilvl w:val="0"/>
          <w:numId w:val="11"/>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46" w:name="_Toc31776"/>
      <w:r>
        <w:rPr>
          <w:rFonts w:ascii="Times New Roman" w:hAnsi="Times New Roman" w:eastAsia="仿宋_GB2312" w:cs="Times New Roman"/>
          <w:b/>
          <w:bCs w:val="0"/>
          <w:color w:val="000000" w:themeColor="text1"/>
          <w:highlight w:val="none"/>
          <w14:textFill>
            <w14:solidFill>
              <w14:schemeClr w14:val="tx1"/>
            </w14:solidFill>
          </w14:textFill>
        </w:rPr>
        <w:t>规范水源保护，保障饮水安全</w:t>
      </w:r>
      <w:bookmarkEnd w:id="46"/>
    </w:p>
    <w:p w14:paraId="7BB8FF17">
      <w:pPr>
        <w:pStyle w:val="7"/>
        <w:keepNext/>
        <w:keepLines w:val="0"/>
        <w:pageBreakBefore w:val="0"/>
        <w:widowControl w:val="0"/>
        <w:shd w:val="clear"/>
        <w:kinsoku/>
        <w:wordWrap/>
        <w:overflowPunct/>
        <w:topLinePunct w:val="0"/>
        <w:autoSpaceDE/>
        <w:autoSpaceDN/>
        <w:bidi w:val="0"/>
        <w:adjustRightInd/>
        <w:snapToGrid/>
        <w:spacing w:line="560" w:lineRule="atLeast"/>
        <w:ind w:firstLine="640" w:firstLineChars="200"/>
        <w:textAlignment w:val="auto"/>
        <w:rPr>
          <w:rFonts w:ascii="Segoe UI Emoji" w:hAnsi="Segoe UI Emoji" w:eastAsia="Segoe UI Emoji" w:cs="Segoe UI Emoji"/>
          <w:i w:val="0"/>
          <w:iCs w:val="0"/>
          <w:caps w:val="0"/>
          <w:color w:val="000000" w:themeColor="text1"/>
          <w:spacing w:val="0"/>
          <w:sz w:val="24"/>
          <w:szCs w:val="24"/>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推进县城、乡镇、村三级集中式饮用水水源地规范化、标准化建设，全面补齐水源地保护短板弱项。扎实完成所有集中式饮用水水源地勘界定标工作，精准划定水源保护一级、二级保护区范围，全面布设标准化隔离防护网、防护围栏，规范设立水源保护警示标识、界碑界桩、宣传标牌，配套安装高清视频监控、智能预警设备，构建起物理隔离、智能监控、全域防护的水源保护体系。建立水源地常态化管护机制，定期开展水源地水质采样送检、动态监测分析，全方位排查整治水源保护区内环境风险隐患，实现水质监测常态化、隐患排查常态化、问题整改常态化。科学划定水源地生态缓冲带，严格管控缓冲带开发建设与生产活动，坚决杜绝农业化肥农药残留污染、规模化畜禽养殖排污、生活污水垃圾直排、违规违建搭建、开垦种植等破坏水源生态的行为，从源头阻断面源污染入水源。同步完善饮用水水源地突发环境事件应急预案，配齐配足应急物资、应急设备，常态化组织开展水源污染应急处置演练，全面提升突发水质污染事件应急处置能力。针对农村偏远区域饮水保障需求，健全农村分散式饮用水源常态化管护机制，持续优化城乡供水整体布局，推进农村供水设施提质改造，强化分散式水源水质净化、日常巡查监管、定期消杀检测，全方位筑牢城乡饮水安全防线，实现全县集中式饮用水水源地水质达标率</w:t>
      </w:r>
      <w:r>
        <w:rPr>
          <w:rFonts w:hint="eastAsia" w:ascii="Times New Roman" w:hAnsi="Times New Roman"/>
          <w:color w:val="000000" w:themeColor="text1"/>
          <w:highlight w:val="none"/>
          <w:lang w:val="en-US" w:eastAsia="zh-CN"/>
          <w14:textFill>
            <w14:solidFill>
              <w14:schemeClr w14:val="tx1"/>
            </w14:solidFill>
          </w14:textFill>
        </w:rPr>
        <w:t>100%</w:t>
      </w:r>
      <w:r>
        <w:rPr>
          <w:rFonts w:hint="eastAsia" w:ascii="Times New Roman" w:hAnsi="Times New Roman" w:eastAsia="仿宋_GB2312"/>
          <w:color w:val="000000" w:themeColor="text1"/>
          <w:highlight w:val="none"/>
          <w14:textFill>
            <w14:solidFill>
              <w14:schemeClr w14:val="tx1"/>
            </w14:solidFill>
          </w14:textFill>
        </w:rPr>
        <w:t>，切实保障广大群众用上安全水、干净水、放心水。</w:t>
      </w:r>
    </w:p>
    <w:p w14:paraId="2C07397D">
      <w:pPr>
        <w:pStyle w:val="4"/>
        <w:pageBreakBefore w:val="0"/>
        <w:widowControl w:val="0"/>
        <w:numPr>
          <w:ilvl w:val="0"/>
          <w:numId w:val="11"/>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47" w:name="_Toc26513"/>
      <w:r>
        <w:rPr>
          <w:rFonts w:ascii="Times New Roman" w:hAnsi="Times New Roman" w:eastAsia="仿宋_GB2312" w:cs="Times New Roman"/>
          <w:b/>
          <w:bCs w:val="0"/>
          <w:color w:val="000000" w:themeColor="text1"/>
          <w:highlight w:val="none"/>
          <w14:textFill>
            <w14:solidFill>
              <w14:schemeClr w14:val="tx1"/>
            </w14:solidFill>
          </w14:textFill>
        </w:rPr>
        <w:t>打造生态廊道，勾勒河湖景致</w:t>
      </w:r>
      <w:bookmarkEnd w:id="47"/>
    </w:p>
    <w:p w14:paraId="49FF7801">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lang w:val="en-US" w:eastAsia="zh-CN"/>
          <w14:textFill>
            <w14:solidFill>
              <w14:schemeClr w14:val="tx1"/>
            </w14:solidFill>
          </w14:textFill>
        </w:rPr>
        <w:t>立足高原河湖生态特色与地域自然禀赋，依托克柯河、尼曲河、大渡河、黄河四大主干生态廊道专项建设规划，坚持“生态优先、因地制宜、顺势造景、系统治理”的原则，对沿河两岸水系生态、岸线资源、景观风貌进行系统化、一体化提质打造，统筹建设生态缓冲带与滨水景观带，实现生态保护、景观提升、环境提质有机融合。针对城镇河段与农牧区河段差异化特点，实施分类精准治理、分区提质建设：城镇河段聚焦人居环境提升与生态景观优化，重点开展河滩荒地整治、河道原生植被恢复、滨水绿道营建、休闲景观配套建设，打造宜居宜游的滨水生态空间；农牧区河段侧重生态防护与水土保持，强化农业面源污染拦截、河道生态固岸、边坡植被防护，稳固河道生态基底，防范水土流失。严格落实河湖岸线分级管控与用途管制制度，全面开展河湖岸线乱占、乱建、乱堆、乱采问题清理整治及复绿提质工作，最大程度保留河道自然蜿蜒形态、原生态风貌，坚决杜绝河道裁弯取直、过度硬质化改造、盲目开发建设等破坏河湖自然生态的行为。持续推进香柔曲、白河、夏荣曲等中小支流、沟渠河道生态综合治理，精准实施河道清淤疏浚、生态护岸砌筑、水土保持治理、滨水景观营造等重点工程，打通全域水系连通脉络，有效改善中小河道水生态、水环境。通过全域水系系统治理，有效串联整合区域水系、湿地、草原、山林各类生态资源，构建起“水系畅通、水清岸绿、植被繁茂、景美宜居、生态健康”的高原美丽河湖生态廊道，全方位提升河湖生态颜值与生态承载能力，彰显高原河湖独特生态魅力。</w:t>
      </w:r>
    </w:p>
    <w:p w14:paraId="7EEF12C5">
      <w:pPr>
        <w:pStyle w:val="4"/>
        <w:keepNext w:val="0"/>
        <w:keepLines/>
        <w:pageBreakBefore w:val="0"/>
        <w:widowControl w:val="0"/>
        <w:numPr>
          <w:ilvl w:val="0"/>
          <w:numId w:val="11"/>
        </w:numPr>
        <w:shd w:val="clear"/>
        <w:kinsoku/>
        <w:wordWrap/>
        <w:overflowPunct/>
        <w:topLinePunct w:val="0"/>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48" w:name="_Toc19889"/>
      <w:r>
        <w:rPr>
          <w:rFonts w:hint="eastAsia" w:ascii="Times New Roman" w:hAnsi="Times New Roman" w:eastAsia="仿宋_GB2312" w:cs="Times New Roman"/>
          <w:b/>
          <w:bCs w:val="0"/>
          <w:color w:val="000000" w:themeColor="text1"/>
          <w:highlight w:val="none"/>
          <w14:textFill>
            <w14:solidFill>
              <w14:schemeClr w14:val="tx1"/>
            </w14:solidFill>
          </w14:textFill>
        </w:rPr>
        <w:t>聚力污水综合治理，全域提升治污效能</w:t>
      </w:r>
      <w:bookmarkEnd w:id="48"/>
    </w:p>
    <w:p w14:paraId="05EA99DA">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szCs w:val="32"/>
          <w:highlight w:val="none"/>
          <w14:textFill>
            <w14:solidFill>
              <w14:schemeClr w14:val="tx1"/>
            </w14:solidFill>
          </w14:textFill>
        </w:rPr>
      </w:pPr>
      <w:r>
        <w:rPr>
          <w:rFonts w:hint="eastAsia" w:ascii="Times New Roman" w:hAnsi="Times New Roman" w:eastAsia="仿宋_GB2312"/>
          <w:color w:val="000000" w:themeColor="text1"/>
          <w:szCs w:val="32"/>
          <w:highlight w:val="none"/>
          <w:lang w:val="en-US" w:eastAsia="zh-CN"/>
          <w14:textFill>
            <w14:solidFill>
              <w14:schemeClr w14:val="tx1"/>
            </w14:solidFill>
          </w14:textFill>
        </w:rPr>
        <w:t>结合阿坝县城乡实际与地广人稀、村落分散的特点，统筹推进城乡水污染综合治理，精准提升污水治理效能。城镇层面聚焦县城建成区短板，分步实施老旧污水管网改造、空白区域管网延伸和雨污分流完善工程，持续健全城区污水收集体系。严格规范县城污水处理厂常态化运维、设备检修和水质监测，优化处理工艺，稳定提升县城生活污水处理率，确保尾水达标合规排放，同步整治城区零星散排排污问题。农村层面因地制宜推广低成本、易管护的污水治理模式，优先治理河道沿线、水源地周边重点村落生活污水，通过小型一体化处理设施、生态净化池、分户收集等方式整治污水乱排乱象。依托村级生态管护力量建立常态化巡查管护机制，动态排查整改设施故障、污水积存等问题，逐年扩大治理覆盖面，稳步提升农村生活污水治理率，从源头削减城乡水污染物排放。</w:t>
      </w:r>
    </w:p>
    <w:p w14:paraId="58C09EA0">
      <w:pPr>
        <w:pStyle w:val="4"/>
        <w:pageBreakBefore w:val="0"/>
        <w:widowControl w:val="0"/>
        <w:numPr>
          <w:ilvl w:val="0"/>
          <w:numId w:val="11"/>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lang w:val="en-US" w:eastAsia="zh-CN"/>
          <w14:textFill>
            <w14:solidFill>
              <w14:schemeClr w14:val="tx1"/>
            </w14:solidFill>
          </w14:textFill>
        </w:rPr>
      </w:pPr>
      <w:bookmarkStart w:id="49" w:name="_Toc26473"/>
      <w:r>
        <w:rPr>
          <w:rFonts w:hint="eastAsia" w:ascii="Times New Roman" w:hAnsi="Times New Roman" w:eastAsia="仿宋_GB2312" w:cs="Times New Roman"/>
          <w:b/>
          <w:bCs w:val="0"/>
          <w:color w:val="000000" w:themeColor="text1"/>
          <w:highlight w:val="none"/>
          <w:lang w:val="en-US" w:eastAsia="zh-CN"/>
          <w14:textFill>
            <w14:solidFill>
              <w14:schemeClr w14:val="tx1"/>
            </w14:solidFill>
          </w14:textFill>
        </w:rPr>
        <w:t>深耕幸福河湖创建，绘就高原水美画卷</w:t>
      </w:r>
      <w:bookmarkEnd w:id="49"/>
    </w:p>
    <w:p w14:paraId="20844C69">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color w:val="000000" w:themeColor="text1"/>
          <w:highlight w:val="none"/>
          <w14:textFill>
            <w14:solidFill>
              <w14:schemeClr w14:val="tx1"/>
            </w14:solidFill>
          </w14:textFill>
        </w:rPr>
      </w:pPr>
      <w:r>
        <w:rPr>
          <w:rFonts w:hint="eastAsia" w:ascii="Times New Roman" w:hAnsi="Times New Roman" w:eastAsia="仿宋_GB2312"/>
          <w:color w:val="000000" w:themeColor="text1"/>
          <w:szCs w:val="32"/>
          <w:highlight w:val="none"/>
          <w:lang w:val="en-US" w:eastAsia="zh-CN"/>
          <w14:textFill>
            <w14:solidFill>
              <w14:schemeClr w14:val="tx1"/>
            </w14:solidFill>
          </w14:textFill>
        </w:rPr>
        <w:t>立足阿坝县高原山水、河湖草原共生的生态基底，紧扣长江黄河上游生态屏障建设任务，全域推进美丽</w:t>
      </w:r>
      <w:r>
        <w:rPr>
          <w:rFonts w:hint="eastAsia" w:ascii="Times New Roman" w:hAnsi="Times New Roman"/>
          <w:color w:val="000000" w:themeColor="text1"/>
          <w:szCs w:val="32"/>
          <w:highlight w:val="none"/>
          <w:lang w:val="en-US" w:eastAsia="zh-CN"/>
          <w14:textFill>
            <w14:solidFill>
              <w14:schemeClr w14:val="tx1"/>
            </w14:solidFill>
          </w14:textFill>
        </w:rPr>
        <w:t>（</w:t>
      </w:r>
      <w:r>
        <w:rPr>
          <w:rFonts w:hint="eastAsia" w:ascii="Times New Roman" w:hAnsi="Times New Roman" w:eastAsia="仿宋_GB2312"/>
          <w:color w:val="000000" w:themeColor="text1"/>
          <w:szCs w:val="32"/>
          <w:highlight w:val="none"/>
          <w:lang w:val="en-US" w:eastAsia="zh-CN"/>
          <w14:textFill>
            <w14:solidFill>
              <w14:schemeClr w14:val="tx1"/>
            </w14:solidFill>
          </w14:textFill>
        </w:rPr>
        <w:t>幸福</w:t>
      </w:r>
      <w:r>
        <w:rPr>
          <w:rFonts w:hint="eastAsia" w:ascii="Times New Roman" w:hAnsi="Times New Roman"/>
          <w:color w:val="000000" w:themeColor="text1"/>
          <w:szCs w:val="32"/>
          <w:highlight w:val="none"/>
          <w:lang w:val="en-US" w:eastAsia="zh-CN"/>
          <w14:textFill>
            <w14:solidFill>
              <w14:schemeClr w14:val="tx1"/>
            </w14:solidFill>
          </w14:textFill>
        </w:rPr>
        <w:t>）</w:t>
      </w:r>
      <w:r>
        <w:rPr>
          <w:rFonts w:hint="eastAsia" w:ascii="Times New Roman" w:hAnsi="Times New Roman" w:eastAsia="仿宋_GB2312"/>
          <w:color w:val="000000" w:themeColor="text1"/>
          <w:szCs w:val="32"/>
          <w:highlight w:val="none"/>
          <w:lang w:val="en-US" w:eastAsia="zh-CN"/>
          <w14:textFill>
            <w14:solidFill>
              <w14:schemeClr w14:val="tx1"/>
            </w14:solidFill>
          </w14:textFill>
        </w:rPr>
        <w:t>河湖</w:t>
      </w:r>
      <w:r>
        <w:rPr>
          <w:rFonts w:hint="eastAsia" w:ascii="Times New Roman" w:hAnsi="Times New Roman"/>
          <w:color w:val="000000" w:themeColor="text1"/>
          <w:szCs w:val="32"/>
          <w:highlight w:val="none"/>
          <w:lang w:val="en-US" w:eastAsia="zh-CN"/>
          <w14:textFill>
            <w14:solidFill>
              <w14:schemeClr w14:val="tx1"/>
            </w14:solidFill>
          </w14:textFill>
        </w:rPr>
        <w:t>融合</w:t>
      </w:r>
      <w:r>
        <w:rPr>
          <w:rFonts w:hint="eastAsia" w:ascii="Times New Roman" w:hAnsi="Times New Roman" w:eastAsia="仿宋_GB2312"/>
          <w:color w:val="000000" w:themeColor="text1"/>
          <w:szCs w:val="32"/>
          <w:highlight w:val="none"/>
          <w:lang w:val="en-US" w:eastAsia="zh-CN"/>
          <w14:textFill>
            <w14:solidFill>
              <w14:schemeClr w14:val="tx1"/>
            </w14:solidFill>
          </w14:textFill>
        </w:rPr>
        <w:t>创建工作，打造具有高原特色的幸福河湖样板。结合县域水系分布与乡镇功能布局，细化干支河流、小微沟渠创建标准，构建全域覆盖、一河一景的创建格局。重点围绕黄河、大渡河县域段及尼曲河、克柯河、白河等主要河湖，分批实施示范河段、示范片区创建，统筹开展河道保洁、生态修复、岸线提质、亲水设施建设。城镇河段配套打造滨水步道、休憩平台、科普标识等便民景观，共享生态治理成果；农牧区河段坚持</w:t>
      </w:r>
      <w:r>
        <w:rPr>
          <w:rFonts w:hint="eastAsia" w:ascii="Times New Roman" w:hAnsi="Times New Roman"/>
          <w:color w:val="000000" w:themeColor="text1"/>
          <w:szCs w:val="32"/>
          <w:highlight w:val="none"/>
          <w:lang w:val="en-US" w:eastAsia="zh-CN"/>
          <w14:textFill>
            <w14:solidFill>
              <w14:schemeClr w14:val="tx1"/>
            </w14:solidFill>
          </w14:textFill>
        </w:rPr>
        <w:t>以</w:t>
      </w:r>
      <w:r>
        <w:rPr>
          <w:rFonts w:hint="eastAsia" w:ascii="Times New Roman" w:hAnsi="Times New Roman" w:eastAsia="仿宋_GB2312"/>
          <w:color w:val="000000" w:themeColor="text1"/>
          <w:szCs w:val="32"/>
          <w:highlight w:val="none"/>
          <w:lang w:val="en-US" w:eastAsia="zh-CN"/>
          <w14:textFill>
            <w14:solidFill>
              <w14:schemeClr w14:val="tx1"/>
            </w14:solidFill>
          </w14:textFill>
        </w:rPr>
        <w:t>自然修复为主，保留高原河湖原生风貌，提升乡村河湖生态质感。将河湖风貌管护、设施运维、常态保洁纳入河湖长制考核，严防河湖“四乱”反弹。深度结合乡村振兴与生态发展，打造一批生态优良、宜居宜游的美丽河湖示范点位，实现全域河湖“河畅、水清、岸绿、景美、人和”，擦亮阿坝</w:t>
      </w:r>
      <w:r>
        <w:rPr>
          <w:rFonts w:hint="eastAsia" w:ascii="Times New Roman" w:hAnsi="Times New Roman"/>
          <w:color w:val="000000" w:themeColor="text1"/>
          <w:szCs w:val="32"/>
          <w:highlight w:val="none"/>
          <w:lang w:val="en-US" w:eastAsia="zh-CN"/>
          <w14:textFill>
            <w14:solidFill>
              <w14:schemeClr w14:val="tx1"/>
            </w14:solidFill>
          </w14:textFill>
        </w:rPr>
        <w:t>幸福</w:t>
      </w:r>
      <w:r>
        <w:rPr>
          <w:rFonts w:hint="eastAsia" w:ascii="Times New Roman" w:hAnsi="Times New Roman" w:eastAsia="仿宋_GB2312"/>
          <w:color w:val="000000" w:themeColor="text1"/>
          <w:szCs w:val="32"/>
          <w:highlight w:val="none"/>
          <w:lang w:val="en-US" w:eastAsia="zh-CN"/>
          <w14:textFill>
            <w14:solidFill>
              <w14:schemeClr w14:val="tx1"/>
            </w14:solidFill>
          </w14:textFill>
        </w:rPr>
        <w:t>河湖生态名片。</w:t>
      </w:r>
    </w:p>
    <w:p w14:paraId="155061B4">
      <w:pPr>
        <w:pStyle w:val="3"/>
        <w:pageBreakBefore w:val="0"/>
        <w:widowControl w:val="0"/>
        <w:numPr>
          <w:ilvl w:val="0"/>
          <w:numId w:val="9"/>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pPr>
      <w:bookmarkStart w:id="50" w:name="_Toc9640"/>
      <w:r>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t>雕琢高原新城，共建美丽城市</w:t>
      </w:r>
      <w:bookmarkEnd w:id="50"/>
    </w:p>
    <w:p w14:paraId="1D074987">
      <w:pPr>
        <w:pStyle w:val="4"/>
        <w:pageBreakBefore w:val="0"/>
        <w:widowControl w:val="0"/>
        <w:numPr>
          <w:ilvl w:val="0"/>
          <w:numId w:val="12"/>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51" w:name="_Toc14758"/>
      <w:r>
        <w:rPr>
          <w:rFonts w:ascii="Times New Roman" w:hAnsi="Times New Roman" w:eastAsia="仿宋_GB2312" w:cs="Times New Roman"/>
          <w:b/>
          <w:bCs w:val="0"/>
          <w:color w:val="000000" w:themeColor="text1"/>
          <w:highlight w:val="none"/>
          <w14:textFill>
            <w14:solidFill>
              <w14:schemeClr w14:val="tx1"/>
            </w14:solidFill>
          </w14:textFill>
        </w:rPr>
        <w:t>优化城市风貌，彰显藏韵气质</w:t>
      </w:r>
      <w:bookmarkEnd w:id="51"/>
    </w:p>
    <w:p w14:paraId="12F0E94F">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lang w:val="en-US" w:eastAsia="zh-CN"/>
          <w14:textFill>
            <w14:solidFill>
              <w14:schemeClr w14:val="tx1"/>
            </w14:solidFill>
          </w14:textFill>
        </w:rPr>
        <w:t>立足阿坝县高原河谷地形特质与深厚的安多藏族文化底蕴，以阿坝镇县城核心建成区为重点，统筹城市发展格局、风貌塑造与文化传承，系统性推进城市空间品质提档升级。坚持新旧兼顾、统筹发展的原则，稳步实施老城有机更新工程，有序推进老旧街区、老旧楼栋、背街小巷改造提升，最大限度保留老城街巷肌理、传统院落格局与本土生活气息；科学有序推进南岸新区规划开发，严格落实城市总体风貌管控规划，杜绝无序开发、盲目建设。全面强化城市建筑风貌精细化管控，深度融合安多藏式传统建筑线条、色彩、构造元素，统一城区建筑风貌基调，严格管控超高建筑、突兀建筑、违和建筑审批建设，确保城市整体风貌和谐统一。聚焦县城“三桥两岸”滨水核心区域，整合水岸空间、绿化景观、夜景灯光资源，系统推进城市亮化、绿化、美化、净化提质工程，打造独具高原藏乡特色的滨水城市景观带。常态化开展城市天际线、街巷格局、沿街立面、户外设施规范整治，完整保留高原小城原生态、慢生活、藏韵味的城市肌理，着力打造兼具现代宜居功能、生态休闲品质与浓郁藏乡人文底蕴的高原特色魅力城市。</w:t>
      </w:r>
    </w:p>
    <w:p w14:paraId="61F3283E">
      <w:pPr>
        <w:pStyle w:val="4"/>
        <w:pageBreakBefore w:val="0"/>
        <w:widowControl w:val="0"/>
        <w:numPr>
          <w:ilvl w:val="0"/>
          <w:numId w:val="12"/>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52" w:name="_Toc32430"/>
      <w:r>
        <w:rPr>
          <w:rFonts w:ascii="Times New Roman" w:hAnsi="Times New Roman" w:eastAsia="仿宋_GB2312" w:cs="Times New Roman"/>
          <w:b/>
          <w:bCs w:val="0"/>
          <w:color w:val="000000" w:themeColor="text1"/>
          <w:highlight w:val="none"/>
          <w14:textFill>
            <w14:solidFill>
              <w14:schemeClr w14:val="tx1"/>
            </w14:solidFill>
          </w14:textFill>
        </w:rPr>
        <w:t>完善市政配套，夯实宜居根基</w:t>
      </w:r>
      <w:bookmarkEnd w:id="52"/>
    </w:p>
    <w:p w14:paraId="3578AE0B">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lang w:val="en-US" w:eastAsia="zh-CN"/>
          <w14:textFill>
            <w14:solidFill>
              <w14:schemeClr w14:val="tx1"/>
            </w14:solidFill>
          </w14:textFill>
        </w:rPr>
        <w:t>聚焦阿坝县县城市政基础设施薄弱环节与功能短板，坚持补短板、强弱项、提品质、优服务，全方位推进城市市政配套设施提质升级，持续夯实城市宜居承载根基。持续深化城镇污水治理体系建设，全力推进县城污水处理厂扩容提质改造，优化污水处理工艺、提升设备处理负荷，同步实施城区雨污分流管网新建、改建、延伸工程，补齐老旧片区管网缺失、管网老化、雨污混流等短板，构建全覆盖、标准化、规范化的污水收集处理体系，持续巩固提升县城生活污水处理率，确保稳定达标、动态提质。健全城市生活垃圾无害化、资源化处置体系，统筹推进县城垃圾分拣中心、标准化焚烧设施、配套填埋场等基础设施建设，完善“村收集、镇转运、县处理”全域收转运处置链条，实现县城生活垃圾无害化处理率稳定保持100%。重点强化城市供水保障能力建设，全面开展城区市政供水管网排查检测，针对性实施老旧破损管网更新改造、管网接驳优化、阀门检修更换等工程，常态化开展管网漏损排查、精准修复与智慧管控，建立供水管网常态化管护机制，推动市政供水管网漏损率持续稳步下降，全面提升城乡供水稳定性与安全性。同步统筹推进县城集中供暖提质、城市道路升级、通信电力三线入地、公共停车场及新能源充电桩配套建设，迭代优化城市公共厕所、休闲广场、环卫驿站等便民设施，全面提升城市综合承载能力与群众宜居获得感。</w:t>
      </w:r>
    </w:p>
    <w:p w14:paraId="461348A1">
      <w:pPr>
        <w:pStyle w:val="4"/>
        <w:pageBreakBefore w:val="0"/>
        <w:widowControl w:val="0"/>
        <w:numPr>
          <w:ilvl w:val="0"/>
          <w:numId w:val="12"/>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53" w:name="_Toc9467"/>
      <w:r>
        <w:rPr>
          <w:rFonts w:hint="eastAsia" w:ascii="Times New Roman" w:hAnsi="Times New Roman" w:eastAsia="仿宋_GB2312" w:cs="Times New Roman"/>
          <w:b/>
          <w:bCs w:val="0"/>
          <w:color w:val="000000" w:themeColor="text1"/>
          <w:highlight w:val="none"/>
          <w14:textFill>
            <w14:solidFill>
              <w14:schemeClr w14:val="tx1"/>
            </w14:solidFill>
          </w14:textFill>
        </w:rPr>
        <w:t>抓实蓝天保卫攻坚，持续优化空气环境</w:t>
      </w:r>
      <w:bookmarkEnd w:id="53"/>
    </w:p>
    <w:p w14:paraId="2FEB2019">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lang w:val="en-US" w:eastAsia="zh-CN"/>
          <w14:textFill>
            <w14:solidFill>
              <w14:schemeClr w14:val="tx1"/>
            </w14:solidFill>
          </w14:textFill>
        </w:rPr>
      </w:pPr>
      <w:r>
        <w:rPr>
          <w:rFonts w:hint="eastAsia" w:ascii="Times New Roman" w:hAnsi="Times New Roman" w:eastAsia="仿宋_GB2312"/>
          <w:color w:val="000000" w:themeColor="text1"/>
          <w:highlight w:val="none"/>
          <w:lang w:val="en-US" w:eastAsia="zh-CN"/>
          <w14:textFill>
            <w14:solidFill>
              <w14:schemeClr w14:val="tx1"/>
            </w14:solidFill>
          </w14:textFill>
        </w:rPr>
        <w:t>牢固树立生态优先、绿色发展理念，持续深化蓝天保卫战专项攻坚行动，聚焦阿坝县城区大气污染关键源头，实施精准管控、系统治理、常态管控，持续巩固提升县域环境空气质量。严格管控城市扬尘污染，重点针对城区建筑施工场地、道路施工片区、城郊裸土区域，全面落实施工围挡、裸土覆盖、洒水降尘、施工喷淋、车辆冲洗等防尘抑尘措施，常态化开展扬尘专项督查整治，严厉查处违规施工、扬尘扰民等问题。精准推进重点领域大气污染治理，常态化整治城区餐饮油烟无序排放问题，督促餐饮门店安装高效油烟净化设施并定期运维检测，实现油烟达标排放；强化机动车尾气、非道路移动机械污染监管，常态化开展尾气抽检、达标排查，引导老旧车辆淘汰更新，推广清洁能源车辆使用。严格落实全域禁烧管控要求，全面严禁城区及城郊露天焚烧杂物、秸秆、垃圾，严控节庆时段露天熏制、烟花爆竹燃放等污染行为，构建全域联防联控、群防群治的大气污染防控格局。通过全方位、常态化、精细化的大气治理，持续稳定提升城区空气质量优良天数比例，稳固优良空气生态基底，持续擦亮高原蓝天生态名片。</w:t>
      </w:r>
    </w:p>
    <w:p w14:paraId="35173993">
      <w:pPr>
        <w:pStyle w:val="4"/>
        <w:pageBreakBefore w:val="0"/>
        <w:widowControl w:val="0"/>
        <w:numPr>
          <w:ilvl w:val="0"/>
          <w:numId w:val="12"/>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54" w:name="_Toc10387"/>
      <w:r>
        <w:rPr>
          <w:rFonts w:hint="eastAsia" w:ascii="Times New Roman" w:hAnsi="Times New Roman" w:eastAsia="仿宋_GB2312" w:cs="Times New Roman"/>
          <w:b/>
          <w:bCs w:val="0"/>
          <w:color w:val="000000" w:themeColor="text1"/>
          <w:highlight w:val="none"/>
          <w:lang w:val="en-US" w:eastAsia="zh-CN"/>
          <w14:textFill>
            <w14:solidFill>
              <w14:schemeClr w14:val="tx1"/>
            </w14:solidFill>
          </w14:textFill>
        </w:rPr>
        <w:t>精修城市绿美肌理，提升生态宜居品质</w:t>
      </w:r>
      <w:bookmarkEnd w:id="54"/>
    </w:p>
    <w:p w14:paraId="1AD01716">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依托阿坝县高原生态资源优势，以增绿、提质、造景、惠民为核心，持续优化城区绿地系统布局，全方位提升城市绿化覆盖率与绿地品质，筑牢城市生态绿色底色。结合县城建成区空间布局、道路路网、滨水区域、闲置地块现状，科学编制城市绿地提质提升方案，精准布局城市综合公园、街头口袋公园、道路景观绿带、滨水生态绿地等多元绿化场景，有效盘活城市闲置空间、边角地块，实现城市见缝插绿、全域增绿，持续稳步提升城市绿地率与绿化覆盖率。精细化推进城市绿化管护工作，常态化开展城区绿植修剪、补植复绿、病虫害防治、杂草清理，健全绿化养护常态化、标准化管护机制，提升城市绿化景观质感与风貌层次。同步深化城市环境精细化保洁，持续提升城区主次干道、背街小巷机械化清扫覆盖率与清扫频次，严格落实湿式清扫、常态化保洁制度，有效抑制道路扬尘、积存垃圾，持续净化城市人居环境。统筹推进城市声环境综合治理，规范城区施工噪声、交通噪声、商业经营及生活娱乐噪声管控，划定噪声管控重点区域，健全常态化巡查管控机制，全力打造天蓝地绿、洁净有序、安静宜居的高原生态</w:t>
      </w:r>
      <w:r>
        <w:rPr>
          <w:rFonts w:hint="eastAsia" w:ascii="Times New Roman" w:hAnsi="Times New Roman"/>
          <w:color w:val="000000" w:themeColor="text1"/>
          <w:highlight w:val="none"/>
          <w:lang w:val="en-US" w:eastAsia="zh-CN"/>
          <w14:textFill>
            <w14:solidFill>
              <w14:schemeClr w14:val="tx1"/>
            </w14:solidFill>
          </w14:textFill>
        </w:rPr>
        <w:t>宜居县城</w:t>
      </w:r>
      <w:r>
        <w:rPr>
          <w:rFonts w:hint="eastAsia" w:ascii="Times New Roman" w:hAnsi="Times New Roman" w:eastAsia="仿宋_GB2312"/>
          <w:color w:val="000000" w:themeColor="text1"/>
          <w:highlight w:val="none"/>
          <w14:textFill>
            <w14:solidFill>
              <w14:schemeClr w14:val="tx1"/>
            </w14:solidFill>
          </w14:textFill>
        </w:rPr>
        <w:t>。</w:t>
      </w:r>
    </w:p>
    <w:p w14:paraId="7F69C9AC">
      <w:pPr>
        <w:pStyle w:val="4"/>
        <w:pageBreakBefore w:val="0"/>
        <w:widowControl w:val="0"/>
        <w:numPr>
          <w:ilvl w:val="0"/>
          <w:numId w:val="12"/>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55" w:name="_Toc30272"/>
      <w:r>
        <w:rPr>
          <w:rFonts w:ascii="Times New Roman" w:hAnsi="Times New Roman" w:eastAsia="仿宋_GB2312" w:cs="Times New Roman"/>
          <w:b/>
          <w:bCs w:val="0"/>
          <w:color w:val="000000" w:themeColor="text1"/>
          <w:highlight w:val="none"/>
          <w14:textFill>
            <w14:solidFill>
              <w14:schemeClr w14:val="tx1"/>
            </w14:solidFill>
          </w14:textFill>
        </w:rPr>
        <w:t>推进低碳智慧，提升治理能级</w:t>
      </w:r>
      <w:bookmarkEnd w:id="55"/>
    </w:p>
    <w:p w14:paraId="47BAD3F1">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立足现代化城市治理发展需求，以智慧赋能、低碳提质、精细治理为抓手，依托全县数字政府建设总体布局，加快推进城市智慧化、低碳化转型，全面提升城市现代化治理能级。统筹搭建集生态环境监测、市政设施管理、社会治安防控、便民政务服务于一体的城市智慧治理综合平台，全面整合环境质量实时监测、污染源动态管控、市政设施运维、城市秩序管理等各类数据资源，实现城市运行数据实时感知、问题智能预警、工单闭环处置，构建全方位、数字化、精细化的城市治理体系，彻底改变传统粗放式管理模式。全域推行绿色低碳城市建设模式，大力推进城区燃煤、燃油设施清洁能源替代，积极推广绿色建筑、超低能耗建筑建设标准，在新建楼盘、公共建筑、市政工程中全面落实低碳节能要求。广泛倡导绿色低碳生活方式，常态化宣传推广绿色出行、垃圾分类、节水节电、简约生活等低碳理念，稳步推进绿色机关、绿色学校、绿色社区、绿色商超等绿色载体创建，营造全民参与、全域低碳的良好氛围。持续健全城市环境应急处置机制与网格化监管体系，细化网格治理职责，压实常态化监管责任，全面提升阿坝县城市生态治理、风险防控与智慧运营综合水平。</w:t>
      </w:r>
    </w:p>
    <w:p w14:paraId="25D5FCCB">
      <w:pPr>
        <w:pStyle w:val="3"/>
        <w:pageBreakBefore w:val="0"/>
        <w:widowControl w:val="0"/>
        <w:numPr>
          <w:ilvl w:val="0"/>
          <w:numId w:val="9"/>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pPr>
      <w:bookmarkStart w:id="56" w:name="_Toc4106"/>
      <w:r>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t>焕新藏乡田园，扮靓美丽乡村</w:t>
      </w:r>
      <w:bookmarkEnd w:id="56"/>
    </w:p>
    <w:p w14:paraId="7629E3EB">
      <w:pPr>
        <w:pStyle w:val="4"/>
        <w:pageBreakBefore w:val="0"/>
        <w:widowControl w:val="0"/>
        <w:numPr>
          <w:ilvl w:val="0"/>
          <w:numId w:val="13"/>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57" w:name="_Toc21933"/>
      <w:r>
        <w:rPr>
          <w:rFonts w:ascii="Times New Roman" w:hAnsi="Times New Roman" w:eastAsia="仿宋_GB2312" w:cs="Times New Roman"/>
          <w:b/>
          <w:bCs w:val="0"/>
          <w:color w:val="000000" w:themeColor="text1"/>
          <w:highlight w:val="none"/>
          <w14:textFill>
            <w14:solidFill>
              <w14:schemeClr w14:val="tx1"/>
            </w14:solidFill>
          </w14:textFill>
        </w:rPr>
        <w:t>全域整治人居，擦亮乡村底色</w:t>
      </w:r>
      <w:bookmarkEnd w:id="57"/>
    </w:p>
    <w:p w14:paraId="715A46D9">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立足阿坝县农牧区地广村散、游牧定居并存的乡村实际，持续纵深推进农村人居环境整治提升五年行动，聚焦农牧村脏乱差突出问题，靶向施策、全域治理，全方位净化美化乡村人居环境。扎实有序推进农村“厕所革命”，结合各乡镇村落居住形态、气候条件与群众生产生活习惯，因地制宜分类推进卫生改厕工作，聚居村落重点推广三格式化粪池、微动力污水处理配套改厕模式，偏远散居农牧户普及标准化卫生旱厕，兼顾实用性与高寒地区管护便捷性，</w:t>
      </w:r>
      <w:r>
        <w:rPr>
          <w:rFonts w:hint="eastAsia" w:ascii="Times New Roman" w:hAnsi="Times New Roman"/>
          <w:color w:val="000000" w:themeColor="text1"/>
          <w:highlight w:val="none"/>
          <w:lang w:val="en-US" w:eastAsia="zh-CN"/>
          <w14:textFill>
            <w14:solidFill>
              <w14:schemeClr w14:val="tx1"/>
            </w14:solidFill>
          </w14:textFill>
        </w:rPr>
        <w:t>持续巩固</w:t>
      </w:r>
      <w:r>
        <w:rPr>
          <w:rFonts w:hint="eastAsia" w:ascii="Times New Roman" w:hAnsi="Times New Roman" w:eastAsia="仿宋_GB2312"/>
          <w:color w:val="000000" w:themeColor="text1"/>
          <w:highlight w:val="none"/>
          <w14:textFill>
            <w14:solidFill>
              <w14:schemeClr w14:val="tx1"/>
            </w14:solidFill>
          </w14:textFill>
        </w:rPr>
        <w:t>农村卫生厕所普及率。健全完善适配阿坝县农牧区的生活垃圾“村收集、乡镇转运、县域处理”常态化处置体系，按需配齐村级垃圾收集桶、集中收集点、乡镇转运车辆，常态化开展设备运维更新，保障垃圾收转体系高效运转。集中整治乡村环境突出顽疾，重点清理村庄内外乱堆乱放、残垣断壁、废弃棚圈、枯枝杂物，规范畜禽养殖秩序，整治畜禽散养乱跑、粪便乱堆问题，严控农村生活污水、洗涤污水、养殖污水随意排放。常态化开展农村河道、田间沟渠、村落水系清淤疏浚、杂草清理工作，落实村庄常态化清洁、网格化管护、群众常态化参与机制，持续开展庭院整洁、村容美化专项行动，引导农牧民养成良好卫生习惯，全面实现农牧区村容整洁、庭院秀美、水系清澈、乡风文明，持续擦亮高原美丽乡村生态底色。</w:t>
      </w:r>
    </w:p>
    <w:p w14:paraId="073CA0B2">
      <w:pPr>
        <w:pStyle w:val="4"/>
        <w:pageBreakBefore w:val="0"/>
        <w:widowControl w:val="0"/>
        <w:numPr>
          <w:ilvl w:val="0"/>
          <w:numId w:val="13"/>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58" w:name="_Toc14708"/>
      <w:r>
        <w:rPr>
          <w:rFonts w:ascii="Times New Roman" w:hAnsi="Times New Roman" w:eastAsia="仿宋_GB2312" w:cs="Times New Roman"/>
          <w:b/>
          <w:bCs w:val="0"/>
          <w:color w:val="000000" w:themeColor="text1"/>
          <w:highlight w:val="none"/>
          <w14:textFill>
            <w14:solidFill>
              <w14:schemeClr w14:val="tx1"/>
            </w14:solidFill>
          </w14:textFill>
        </w:rPr>
        <w:t>打造示范标杆，串靓乡村群落</w:t>
      </w:r>
      <w:bookmarkEnd w:id="58"/>
    </w:p>
    <w:p w14:paraId="3AC6A683">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lang w:val="en-US" w:eastAsia="zh-CN"/>
          <w14:textFill>
            <w14:solidFill>
              <w14:schemeClr w14:val="tx1"/>
            </w14:solidFill>
          </w14:textFill>
        </w:rPr>
        <w:t>深度挖掘阿坝县高原乡村自然禀赋与安多藏族民俗底蕴，坚持“一村一景、一村一韵、一村一特色”的差异化建设思路，杜绝同质化打造、模板化建设，精准培育一批辨识度高、特色鲜明、底蕴深厚的美丽乡村示范点位。重点聚焦神座村、茸安乡片区、哈拉玛村、蚕木扎村等基础条件优良、资源特色突出的村落，集中资源打造县级美丽乡村示范标杆，以重点村引领全域乡村风貌提质。严格遵循保护性开发原则，坚决杜绝大拆大建、过度改造，全力保护县域传统村落、藏式古民居、民俗碉房、传统院落的原生风貌，完整保留高原乡村肌理、民俗建筑特色和原生态自然格局。依托各村独有资源优势实施分类提质，依山傍水村落打造生态田园型乡村，草原腹地村落打造草原牧歌型乡村，峡谷民俗富集村落打造民俗文旅型乡村，形成多业态、差异化的乡村发展格局。同步完善乡村配套景观设施，有序建设乡村生态步道、滨水小径、民俗休闲节点、村民活动广场、民俗展示小节点，丰富乡村公共休闲空间。通过串点成线、连线成片、聚片成面，整合全域美丽乡村资源，打造多点支撑、特色互补、全域覆盖的高原美丽乡村示范集群，全面提升阿坝县乡村整体颜值与品牌影响力。</w:t>
      </w:r>
    </w:p>
    <w:p w14:paraId="6E8C7485">
      <w:pPr>
        <w:pStyle w:val="4"/>
        <w:keepNext w:val="0"/>
        <w:keepLines/>
        <w:pageBreakBefore w:val="0"/>
        <w:widowControl w:val="0"/>
        <w:numPr>
          <w:ilvl w:val="0"/>
          <w:numId w:val="13"/>
        </w:numPr>
        <w:shd w:val="clear"/>
        <w:kinsoku/>
        <w:wordWrap/>
        <w:overflowPunct/>
        <w:topLinePunct w:val="0"/>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59" w:name="_Toc26363"/>
      <w:r>
        <w:rPr>
          <w:rFonts w:ascii="Times New Roman" w:hAnsi="Times New Roman" w:eastAsia="仿宋_GB2312" w:cs="Times New Roman"/>
          <w:b/>
          <w:bCs w:val="0"/>
          <w:color w:val="000000" w:themeColor="text1"/>
          <w:highlight w:val="none"/>
          <w14:textFill>
            <w14:solidFill>
              <w14:schemeClr w14:val="tx1"/>
            </w14:solidFill>
          </w14:textFill>
        </w:rPr>
        <w:t>补齐乡村基建，均衡城乡服务</w:t>
      </w:r>
      <w:bookmarkEnd w:id="59"/>
    </w:p>
    <w:p w14:paraId="3FC9AD6A">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聚焦阿坝县乡村基础设施薄弱、城乡公共服务不均衡的现实短板，坚持补齐短板、提档升级、均衡共享，持续推进乡村基础设施提质增效，全面夯实和美乡村建设硬件根基。持续深化农村路网提档升级工程，对县域乡村主干道、通组路、入户路进行硬化改造、拓宽修缮、安防提质，完善错车道、防护栏、警示标识等配套设施，打通乡村交通微循环，构建畅通安全、便捷高效的全域乡村路网体系，彻底解决偏远村落出行难、通行差的问题。扎实推进农村供水保障提质工程，全面排查各乡镇老旧供水管网、蓄水池、引水设施，针对性实施管网更新、破损修复、管网延伸、水源净化提质等工程，优化乡村供水布局，强化水质常态化监测，全面保障农牧民饮水安全稳定。加快数字乡村建设步伐，推动5G通信网络、光纤宽带向偏远行政村、重点旅游村落、集中聚居点全覆盖延伸，打通乡村数字服务壁垒。持续完善乡村公共服务配套，提档升级乡镇文化站、村级文化活动室、村卫生室、便民服务中心、乡村体育健身场地，配齐便民服务设施、文体器材、医疗基础设备。统筹推动城乡基础设施一体化布局，将县城污水治理、垃圾处置、供水保障、公共交通、文旅服务等优质资源向乡村延伸覆盖，持续缩小城乡基础设施、公共服务差距，实现城乡资源共享、服务均等、发展均衡。</w:t>
      </w:r>
    </w:p>
    <w:p w14:paraId="6D7380F9">
      <w:pPr>
        <w:pStyle w:val="4"/>
        <w:keepNext w:val="0"/>
        <w:keepLines/>
        <w:pageBreakBefore w:val="0"/>
        <w:widowControl w:val="0"/>
        <w:numPr>
          <w:ilvl w:val="0"/>
          <w:numId w:val="13"/>
        </w:numPr>
        <w:shd w:val="clear"/>
        <w:kinsoku/>
        <w:wordWrap/>
        <w:overflowPunct/>
        <w:topLinePunct w:val="0"/>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60" w:name="_Toc12033"/>
      <w:r>
        <w:rPr>
          <w:rFonts w:ascii="Times New Roman" w:hAnsi="Times New Roman" w:eastAsia="仿宋_GB2312" w:cs="Times New Roman"/>
          <w:b/>
          <w:bCs w:val="0"/>
          <w:color w:val="000000" w:themeColor="text1"/>
          <w:highlight w:val="none"/>
          <w14:textFill>
            <w14:solidFill>
              <w14:schemeClr w14:val="tx1"/>
            </w14:solidFill>
          </w14:textFill>
        </w:rPr>
        <w:t>发展生态乡村，兴业富民赋能</w:t>
      </w:r>
      <w:bookmarkEnd w:id="60"/>
    </w:p>
    <w:p w14:paraId="50185320">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立足阿坝县高寒高原生态资源禀赋，坚守生态优先、绿色兴农、富民强村发展路径，依托优质高原生态基底，大力发展绿色生态、优质高效、可持续的高原特色农牧业，以生态产业赋能乡村振兴、带动群众增收。持续优化高原特色种植产业布局，规模化发展优质青稞、道地中药材、高原无公害蔬菜、优质牧草等生态种植产业，推行标准化种植、规范化管理，严控化肥、农药、地膜过量使用，从源头保障农畜产品绿色品质。做强高原特色养殖产业，规范牦牛、贾洛绵羊、藏鸡等本土特色畜禽标准化生态养殖模式，推广科学养殖、生态养殖技术，打造阿坝县本土特色农畜产品品牌。全面推广种养循环绿色发展模式，健全秸秆回收利用、畜禽粪污资源化处置体系，实现养殖废弃物、种植秸秆循环利用，有效降低农业面源污染，筑牢乡村农业生态基底。依托县域原生态草原湿地、森林峡谷、田园风光、安多民俗、非遗文化资源，大力培育乡村民宿、草原自驾、露营体验、农耕研学、民俗展演、非遗体验等乡村文旅新业态，盘活乡村闲置民居、土地、生态资源。推动生态农业与乡村文旅深度融合，构建“生态+农业+文旅”多元增收体系，切实实现乡村生态持续向好、特色产业提质增效、农牧群众稳定增收，走出一条生态美、产业兴、百姓富的高原乡村振兴之路。</w:t>
      </w:r>
    </w:p>
    <w:p w14:paraId="10FF995A">
      <w:pPr>
        <w:pStyle w:val="4"/>
        <w:keepNext w:val="0"/>
        <w:keepLines/>
        <w:pageBreakBefore w:val="0"/>
        <w:widowControl w:val="0"/>
        <w:numPr>
          <w:ilvl w:val="0"/>
          <w:numId w:val="13"/>
        </w:numPr>
        <w:shd w:val="clear"/>
        <w:kinsoku/>
        <w:wordWrap/>
        <w:overflowPunct/>
        <w:topLinePunct w:val="0"/>
        <w:autoSpaceDE/>
        <w:autoSpaceDN/>
        <w:bidi w:val="0"/>
        <w:adjustRightInd/>
        <w:snapToGrid/>
        <w:spacing w:before="0" w:after="0" w:line="560" w:lineRule="atLeast"/>
        <w:ind w:firstLine="643" w:firstLineChars="200"/>
        <w:textAlignment w:val="auto"/>
        <w:rPr>
          <w:rFonts w:hint="default" w:ascii="Times New Roman" w:hAnsi="Times New Roman" w:eastAsia="仿宋_GB2312" w:cs="Times New Roman"/>
          <w:b/>
          <w:bCs w:val="0"/>
          <w:color w:val="000000" w:themeColor="text1"/>
          <w:highlight w:val="none"/>
          <w:lang w:val="en-US" w:eastAsia="zh-CN"/>
          <w14:textFill>
            <w14:solidFill>
              <w14:schemeClr w14:val="tx1"/>
            </w14:solidFill>
          </w14:textFill>
        </w:rPr>
      </w:pPr>
      <w:bookmarkStart w:id="61" w:name="_Toc5012"/>
      <w:r>
        <w:rPr>
          <w:rFonts w:hint="default" w:ascii="Times New Roman" w:hAnsi="Times New Roman" w:eastAsia="仿宋_GB2312" w:cs="Times New Roman"/>
          <w:b/>
          <w:bCs w:val="0"/>
          <w:color w:val="000000" w:themeColor="text1"/>
          <w:highlight w:val="none"/>
          <w:lang w:val="en-US" w:eastAsia="zh-CN"/>
          <w14:textFill>
            <w14:solidFill>
              <w14:schemeClr w14:val="tx1"/>
            </w14:solidFill>
          </w14:textFill>
        </w:rPr>
        <w:t>深化价值转化，激活生态红利</w:t>
      </w:r>
      <w:bookmarkEnd w:id="61"/>
    </w:p>
    <w:p w14:paraId="3D5A1BC8">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default" w:ascii="Times New Roman" w:hAnsi="Times New Roman" w:eastAsia="仿宋_GB2312"/>
          <w:color w:val="000000" w:themeColor="text1"/>
          <w:highlight w:val="none"/>
          <w:lang w:val="en-US" w:eastAsia="zh-CN"/>
          <w14:textFill>
            <w14:solidFill>
              <w14:schemeClr w14:val="tx1"/>
            </w14:solidFill>
          </w14:textFill>
        </w:rPr>
      </w:pPr>
      <w:r>
        <w:rPr>
          <w:rFonts w:hint="default" w:ascii="Times New Roman" w:hAnsi="Times New Roman" w:eastAsia="仿宋_GB2312"/>
          <w:color w:val="000000" w:themeColor="text1"/>
          <w:highlight w:val="none"/>
          <w:lang w:val="en-US" w:eastAsia="zh-CN"/>
          <w14:textFill>
            <w14:solidFill>
              <w14:schemeClr w14:val="tx1"/>
            </w14:solidFill>
          </w14:textFill>
        </w:rPr>
        <w:t>立足阿坝县长江、黄河上游重要生态功能区定位，依托县域丰富的湿地、草原、森林、水系等优质生态资源，持续探索高原县域生态产品价值实现路径，打通</w:t>
      </w:r>
      <w:r>
        <w:rPr>
          <w:rFonts w:hint="eastAsia" w:ascii="Times New Roman" w:hAnsi="Times New Roman"/>
          <w:color w:val="000000" w:themeColor="text1"/>
          <w:highlight w:val="none"/>
          <w:lang w:val="en-US" w:eastAsia="zh-CN"/>
          <w14:textFill>
            <w14:solidFill>
              <w14:schemeClr w14:val="tx1"/>
            </w14:solidFill>
          </w14:textFill>
        </w:rPr>
        <w:t>“</w:t>
      </w:r>
      <w:r>
        <w:rPr>
          <w:rFonts w:hint="default" w:ascii="Times New Roman" w:hAnsi="Times New Roman" w:eastAsia="仿宋_GB2312"/>
          <w:color w:val="000000" w:themeColor="text1"/>
          <w:highlight w:val="none"/>
          <w:lang w:val="en-US" w:eastAsia="zh-CN"/>
          <w14:textFill>
            <w14:solidFill>
              <w14:schemeClr w14:val="tx1"/>
            </w14:solidFill>
          </w14:textFill>
        </w:rPr>
        <w:t>绿水青山</w:t>
      </w:r>
      <w:r>
        <w:rPr>
          <w:rFonts w:hint="eastAsia" w:ascii="Times New Roman" w:hAnsi="Times New Roman"/>
          <w:color w:val="000000" w:themeColor="text1"/>
          <w:highlight w:val="none"/>
          <w:lang w:val="en-US" w:eastAsia="zh-CN"/>
          <w14:textFill>
            <w14:solidFill>
              <w14:schemeClr w14:val="tx1"/>
            </w14:solidFill>
          </w14:textFill>
        </w:rPr>
        <w:t>”</w:t>
      </w:r>
      <w:r>
        <w:rPr>
          <w:rFonts w:hint="default" w:ascii="Times New Roman" w:hAnsi="Times New Roman" w:eastAsia="仿宋_GB2312"/>
          <w:color w:val="000000" w:themeColor="text1"/>
          <w:highlight w:val="none"/>
          <w:lang w:val="en-US" w:eastAsia="zh-CN"/>
          <w14:textFill>
            <w14:solidFill>
              <w14:schemeClr w14:val="tx1"/>
            </w14:solidFill>
          </w14:textFill>
        </w:rPr>
        <w:t>向</w:t>
      </w:r>
      <w:r>
        <w:rPr>
          <w:rFonts w:hint="eastAsia" w:ascii="Times New Roman" w:hAnsi="Times New Roman"/>
          <w:color w:val="000000" w:themeColor="text1"/>
          <w:highlight w:val="none"/>
          <w:lang w:val="en-US" w:eastAsia="zh-CN"/>
          <w14:textFill>
            <w14:solidFill>
              <w14:schemeClr w14:val="tx1"/>
            </w14:solidFill>
          </w14:textFill>
        </w:rPr>
        <w:t>“</w:t>
      </w:r>
      <w:r>
        <w:rPr>
          <w:rFonts w:hint="default" w:ascii="Times New Roman" w:hAnsi="Times New Roman" w:eastAsia="仿宋_GB2312"/>
          <w:color w:val="000000" w:themeColor="text1"/>
          <w:highlight w:val="none"/>
          <w:lang w:val="en-US" w:eastAsia="zh-CN"/>
          <w14:textFill>
            <w14:solidFill>
              <w14:schemeClr w14:val="tx1"/>
            </w14:solidFill>
          </w14:textFill>
        </w:rPr>
        <w:t>金山银山</w:t>
      </w:r>
      <w:r>
        <w:rPr>
          <w:rFonts w:hint="eastAsia" w:ascii="Times New Roman" w:hAnsi="Times New Roman"/>
          <w:color w:val="000000" w:themeColor="text1"/>
          <w:highlight w:val="none"/>
          <w:lang w:val="en-US" w:eastAsia="zh-CN"/>
          <w14:textFill>
            <w14:solidFill>
              <w14:schemeClr w14:val="tx1"/>
            </w14:solidFill>
          </w14:textFill>
        </w:rPr>
        <w:t>”</w:t>
      </w:r>
      <w:r>
        <w:rPr>
          <w:rFonts w:hint="default" w:ascii="Times New Roman" w:hAnsi="Times New Roman" w:eastAsia="仿宋_GB2312"/>
          <w:color w:val="000000" w:themeColor="text1"/>
          <w:highlight w:val="none"/>
          <w:lang w:val="en-US" w:eastAsia="zh-CN"/>
          <w14:textFill>
            <w14:solidFill>
              <w14:schemeClr w14:val="tx1"/>
            </w14:solidFill>
          </w14:textFill>
        </w:rPr>
        <w:t>的转化通道，让优质生态资源持续转化为发展红利、民生福祉。扎实推进生态保护补偿机制落地见效，严格落实草原、湿地、林地生态效益补偿政策，精准兑付各类生态补偿资金，鼓励农牧民就地参与生态管护，通过选聘生态护林员、湿地管护员、河湖管护员等岗位，实现生态保护与群众增收双向共赢。积极探索县域生态资源市场化转化模式，依托纯净水源、优质空气、原生态草原等生态优势，稳步培育生态康养、生态研学、生态观光等绿色业态，推动生态资源产业化、价值化发展。持续推进绿色有机农畜产品认证、地理标志产品培育，依托优良生态环境赋能农产品品质提升，打造高原绿色、生态、有机农畜产品区域品牌，提升本土农畜产品附加值与市场竞争力。健全生态产品价值核算、评估、应用机制，将生态价值融入乡村发展、项目建设、产业培育全过程，严控生态资源无序开发利用。通过系统化、常态化的生态价值转化举措，持续释放高原生态红利，构建生态保护、产业发展、群众增收良性循环的绿色发展新格局。</w:t>
      </w:r>
    </w:p>
    <w:p w14:paraId="560B7C9D">
      <w:pPr>
        <w:pStyle w:val="4"/>
        <w:keepNext w:val="0"/>
        <w:keepLines/>
        <w:pageBreakBefore w:val="0"/>
        <w:widowControl w:val="0"/>
        <w:numPr>
          <w:ilvl w:val="0"/>
          <w:numId w:val="12"/>
        </w:numPr>
        <w:shd w:val="clear"/>
        <w:kinsoku/>
        <w:wordWrap/>
        <w:overflowPunct/>
        <w:topLinePunct w:val="0"/>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62" w:name="_Toc25755"/>
      <w:r>
        <w:rPr>
          <w:rFonts w:hint="eastAsia" w:ascii="Times New Roman" w:hAnsi="Times New Roman" w:eastAsia="仿宋_GB2312" w:cs="Times New Roman"/>
          <w:b/>
          <w:bCs w:val="0"/>
          <w:color w:val="000000" w:themeColor="text1"/>
          <w:highlight w:val="none"/>
          <w14:textFill>
            <w14:solidFill>
              <w14:schemeClr w14:val="tx1"/>
            </w14:solidFill>
          </w14:textFill>
        </w:rPr>
        <w:t>严守水资源底线，全域推进节水增效</w:t>
      </w:r>
      <w:bookmarkEnd w:id="62"/>
    </w:p>
    <w:p w14:paraId="62A0FFF0">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lang w:val="en-US" w:eastAsia="zh-CN"/>
          <w14:textFill>
            <w14:solidFill>
              <w14:schemeClr w14:val="tx1"/>
            </w14:solidFill>
          </w14:textFill>
        </w:rPr>
        <w:t>紧扣阿坝县高原水系源头保护核心职责，立足县域江河、湿地、沟渠密布的水资源禀赋，统筹水资源刚性保护与集约节约利用，全方位推进水资源保护、水土涵养、节水增效工作，筑牢高原水资源安全屏障。严格落实最严格水资源管理制度，细化县域水资源管控指标，规范农业、生活、生态用水全过程管控，严格取水审批、用水监管、节水考核，严控地下水、地表水无序开采，持续稳固县域水资源存量与水环境质量。聚焦农牧区生产生活用水重点领域，大力推进农业节水改造，推广适配高原种植、养殖产业的节水灌溉、高效供水技术，改造老旧灌溉沟渠，减少农业用水损耗与跑冒滴漏问题，提升农业水资源利用效率。常态化开展河道、沟渠、水源周边生态管护，严防水体污染、水源破坏、水土流失等问题，持续保障全域水资源水质优良、水量稳定。深入推进全社会节水行动，面向乡镇、村居、农牧户广泛开展节水宣传教育，普及节水知识、推广节水器具，引导群众养成节约用水良好习惯。健全乡村节水管护机制，完善水资源节约利用考核体系，构建源头严控、过程严管、全民参与的水资源保护与节水利用新格局，持续提升县域水资源集约高效利用水平。</w:t>
      </w:r>
    </w:p>
    <w:p w14:paraId="7C855F5B">
      <w:pPr>
        <w:pStyle w:val="3"/>
        <w:pageBreakBefore w:val="0"/>
        <w:widowControl w:val="0"/>
        <w:numPr>
          <w:ilvl w:val="0"/>
          <w:numId w:val="9"/>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pPr>
      <w:bookmarkStart w:id="63" w:name="_Toc5942"/>
      <w:r>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t>深耕生态赋能，壮大绿色产业</w:t>
      </w:r>
      <w:bookmarkEnd w:id="63"/>
    </w:p>
    <w:p w14:paraId="0142B999">
      <w:pPr>
        <w:pStyle w:val="4"/>
        <w:pageBreakBefore w:val="0"/>
        <w:widowControl w:val="0"/>
        <w:numPr>
          <w:ilvl w:val="0"/>
          <w:numId w:val="14"/>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64" w:name="_Toc26754"/>
      <w:r>
        <w:rPr>
          <w:rFonts w:hint="eastAsia" w:ascii="Times New Roman" w:hAnsi="Times New Roman" w:eastAsia="仿宋_GB2312" w:cs="Times New Roman"/>
          <w:b/>
          <w:bCs w:val="0"/>
          <w:color w:val="000000" w:themeColor="text1"/>
          <w:highlight w:val="none"/>
          <w14:textFill>
            <w14:solidFill>
              <w14:schemeClr w14:val="tx1"/>
            </w14:solidFill>
          </w14:textFill>
        </w:rPr>
        <w:t>做强生态农牧业，夯实绿色产业根基</w:t>
      </w:r>
      <w:bookmarkEnd w:id="64"/>
    </w:p>
    <w:p w14:paraId="0804ACC2">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lang w:val="en-US" w:eastAsia="zh-CN"/>
          <w14:textFill>
            <w14:solidFill>
              <w14:schemeClr w14:val="tx1"/>
            </w14:solidFill>
          </w14:textFill>
        </w:rPr>
        <w:t>立足阿坝县高原生态农牧业资源禀赋，坚守绿色有机、生态高效发展方向，围绕优质粮油、露天蔬菜、优质牧草、道地中药、牛羊养殖五大核心产业，配套培育多元特色附属产业，全面构建“5+N”生态农牧业产业发展体系，全力推进天府高原粮仓示范区高标准建设，擦亮高原生态农牧产业招牌。聚焦粮油稳产增收，持续推进青稞高产示范片、标准化高标准农田建设，完善农田灌溉、田间道路、防护设施等基础配套，改良耕地质量、优化种植模式，持续提升高原粮油产能与品质。聚力壮大特色畜禽产业，重点提质升级麦尔玛牦牛、贾洛绵羊现代农业园区，规范化推进良种繁育、生态养殖、标准化饲喂体系建设，补齐产业发展短板。持续延伸农牧业产业链条，健全畜禽繁育、生态养殖、精深加工、冷链仓储、线上线下销售于一体的全产业链发展模式，打通产业上下游衔接壁垒。大力推广高原适配的生态养殖、绿色标准化种植技术，全面加强农业面源污染常态化管控，严格规范化肥、农药、农膜、兽药等农业投入品使用，推进秸秆、畜禽粪污资源化循环利用。持续培育绿色、有机、地理标志农畜产品品牌，打造阿坝县高原特色农牧公共品牌，推动县域农牧业向绿色化、规模化、标准化、品牌化方向高质量发展，筑牢乡村产业振兴核心根基。</w:t>
      </w:r>
    </w:p>
    <w:p w14:paraId="1245F15E">
      <w:pPr>
        <w:pStyle w:val="4"/>
        <w:pageBreakBefore w:val="0"/>
        <w:widowControl w:val="0"/>
        <w:numPr>
          <w:ilvl w:val="0"/>
          <w:numId w:val="14"/>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65" w:name="_Toc27316"/>
      <w:r>
        <w:rPr>
          <w:rFonts w:ascii="Times New Roman" w:hAnsi="Times New Roman" w:eastAsia="仿宋_GB2312" w:cs="Times New Roman"/>
          <w:b/>
          <w:bCs w:val="0"/>
          <w:color w:val="000000" w:themeColor="text1"/>
          <w:highlight w:val="none"/>
          <w14:textFill>
            <w14:solidFill>
              <w14:schemeClr w14:val="tx1"/>
            </w14:solidFill>
          </w14:textFill>
        </w:rPr>
        <w:t>做大清洁能源产业</w:t>
      </w:r>
      <w:r>
        <w:rPr>
          <w:rFonts w:ascii="Times New Roman" w:hAnsi="Times New Roman" w:eastAsia="仿宋_GB2312" w:cs="Times New Roman"/>
          <w:b/>
          <w:bCs w:val="0"/>
          <w:color w:val="000000" w:themeColor="text1"/>
          <w:highlight w:val="none"/>
          <w:lang w:val="en-US" w:eastAsia="zh-CN"/>
          <w14:textFill>
            <w14:solidFill>
              <w14:schemeClr w14:val="tx1"/>
            </w14:solidFill>
          </w14:textFill>
        </w:rPr>
        <w:t>，构建多能互补格局</w:t>
      </w:r>
      <w:bookmarkEnd w:id="65"/>
    </w:p>
    <w:p w14:paraId="4276FA71">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lang w:val="en-US" w:eastAsia="zh-CN"/>
          <w14:textFill>
            <w14:solidFill>
              <w14:schemeClr w14:val="tx1"/>
            </w14:solidFill>
          </w14:textFill>
        </w:rPr>
        <w:t>依托阿坝县全国太阳能B类富集资源优势以及丰富的水能、风能资源，立足川甘青交界区域能源发展区位优势，坚持生态优先、有序开发、绿色低碳的原则，科学统筹县域清洁能源资源开发布局，全力打造多元互补、清洁高效的绿色能源产业体系。重点深耕光伏、水能、风能三大核心清洁能源领域，有序推进县域“水光互补”“光热+”综合能源项目规划建设，优化能源配置结构，提升新能源综合利用效率。精准推进重大能源项目布局落地，加快安羌、查理抽水蓄能电站前期筹备、规划建设工作，补齐储能设施短板，提升能源调峰保供能力。扎实开展县域风能资源全域勘测、数据摸排、可行性论证工作，结合国土空间规划、生态保护红线要求，科学布局规模化风电场项目，丰富清洁能源供给类型。同步完善县域清洁能源输变电配套网络，优化电网架构、升级输电通道、补齐供电短板，构建水、风、光、储多能互补、协同发力的清洁能源发展体系。严格落实生态保护开发底线，所有能源项目严格执行生态环评、用地审批、生态修复制度，全程落实开发治理、植被恢复、水土保持等生态保护措施，坚决杜绝过度开发、破坏生态等问题。持续提升非化石能源消费占比，全力打造川甘青三省交界极具影响力的清洁能源示范地，构建安全稳定、绿色低碳、可持续的现代能源产业体系。</w:t>
      </w:r>
    </w:p>
    <w:p w14:paraId="5E6D75FF">
      <w:pPr>
        <w:pStyle w:val="4"/>
        <w:pageBreakBefore w:val="0"/>
        <w:widowControl w:val="0"/>
        <w:numPr>
          <w:ilvl w:val="0"/>
          <w:numId w:val="14"/>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66" w:name="_Toc11657"/>
      <w:r>
        <w:rPr>
          <w:rFonts w:ascii="Times New Roman" w:hAnsi="Times New Roman" w:eastAsia="仿宋_GB2312" w:cs="Times New Roman"/>
          <w:b/>
          <w:bCs w:val="0"/>
          <w:color w:val="000000" w:themeColor="text1"/>
          <w:highlight w:val="none"/>
          <w14:textFill>
            <w14:solidFill>
              <w14:schemeClr w14:val="tx1"/>
            </w14:solidFill>
          </w14:textFill>
        </w:rPr>
        <w:t>做精文旅融合产业</w:t>
      </w:r>
      <w:r>
        <w:rPr>
          <w:rFonts w:hint="eastAsia" w:ascii="Times New Roman" w:hAnsi="Times New Roman" w:eastAsia="仿宋_GB2312" w:cs="Times New Roman"/>
          <w:b/>
          <w:bCs w:val="0"/>
          <w:color w:val="000000" w:themeColor="text1"/>
          <w:highlight w:val="none"/>
          <w14:textFill>
            <w14:solidFill>
              <w14:schemeClr w14:val="tx1"/>
            </w14:solidFill>
          </w14:textFill>
        </w:rPr>
        <w:t>，打造生态文旅标杆</w:t>
      </w:r>
      <w:bookmarkEnd w:id="66"/>
    </w:p>
    <w:p w14:paraId="37CC0E8B">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依托阿坝县得天独厚的高原生态、民俗文化、红色资源优势，以莲宝叶则景区创建国家5A级旅游景区为核心牵引，全面提质升级漫泽塘湿地、神座原生态村落等重点景区景点品质，完善景区配套功能、优化游览体验、提升景区品牌能级。坚持多元融合发展思路，深度推进“文旅+农业+体育+研学+康养”业态融合，打破单一旅游发展模式，构建全域联动、业态丰富的文旅发展新格局。深度挖掘县域特色文化内核，系统整合安多藏民俗文化、长征红色文化、高原湿地生态文化、非遗传承民俗文化资源，推动文化资源活化利用、实景化呈现、产业化发展。聚焦全域旅游发展需求，精心打造高原生态自驾精品线路、沉浸式研学实践基地、非遗文化体验工坊、草原星空露营基地等新兴文旅业态，丰富全域旅游产品供给。持续完善全域文旅基础设施，提档升级景区步道、游客中心、停车场、标识系统、智慧文旅设备，全面提升乡村民宿品质、餐饮服务水平、接待服务能力，做大做强草原赛马、民俗节庆等特色文旅IP，常态化规范文旅市场经营秩序，强化行业监管、诚信经营、服务提质。锚定长远发展目标，持续扩大文旅产业规模、提升品牌影响力，力争2030年实现生态文旅产业</w:t>
      </w:r>
      <w:r>
        <w:rPr>
          <w:rFonts w:hint="eastAsia" w:ascii="Times New Roman" w:hAnsi="Times New Roman"/>
          <w:color w:val="000000" w:themeColor="text1"/>
          <w:highlight w:val="none"/>
          <w:lang w:val="en-US" w:eastAsia="zh-CN"/>
          <w14:textFill>
            <w14:solidFill>
              <w14:schemeClr w14:val="tx1"/>
            </w14:solidFill>
          </w14:textFill>
        </w:rPr>
        <w:t>成为县域支柱产业</w:t>
      </w:r>
      <w:r>
        <w:rPr>
          <w:rFonts w:hint="eastAsia" w:ascii="Times New Roman" w:hAnsi="Times New Roman" w:eastAsia="仿宋_GB2312"/>
          <w:color w:val="000000" w:themeColor="text1"/>
          <w:highlight w:val="none"/>
          <w14:textFill>
            <w14:solidFill>
              <w14:schemeClr w14:val="tx1"/>
            </w14:solidFill>
          </w14:textFill>
        </w:rPr>
        <w:t>，全力打造极具高原特色、民族风情、生态魅力的国际安多生态旅游目的地。</w:t>
      </w:r>
    </w:p>
    <w:p w14:paraId="5E8B5B28">
      <w:pPr>
        <w:pStyle w:val="4"/>
        <w:pageBreakBefore w:val="0"/>
        <w:widowControl w:val="0"/>
        <w:numPr>
          <w:ilvl w:val="0"/>
          <w:numId w:val="14"/>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67" w:name="_Toc17852"/>
      <w:r>
        <w:rPr>
          <w:rFonts w:ascii="Times New Roman" w:hAnsi="Times New Roman" w:eastAsia="仿宋_GB2312" w:cs="Times New Roman"/>
          <w:b/>
          <w:bCs w:val="0"/>
          <w:color w:val="000000" w:themeColor="text1"/>
          <w:highlight w:val="none"/>
          <w14:textFill>
            <w14:solidFill>
              <w14:schemeClr w14:val="tx1"/>
            </w14:solidFill>
          </w14:textFill>
        </w:rPr>
        <w:t>做优绿色加工产业</w:t>
      </w:r>
      <w:r>
        <w:rPr>
          <w:rFonts w:hint="eastAsia" w:ascii="Times New Roman" w:hAnsi="Times New Roman" w:eastAsia="仿宋_GB2312" w:cs="Times New Roman"/>
          <w:b/>
          <w:bCs w:val="0"/>
          <w:color w:val="000000" w:themeColor="text1"/>
          <w:highlight w:val="none"/>
          <w14:textFill>
            <w14:solidFill>
              <w14:schemeClr w14:val="tx1"/>
            </w14:solidFill>
          </w14:textFill>
        </w:rPr>
        <w:t>，激活循环工业动能</w:t>
      </w:r>
      <w:bookmarkEnd w:id="67"/>
    </w:p>
    <w:p w14:paraId="755670F5">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立足阿坝县生态功能定位与本土资源优势，坚持生态优先、绿色低碳、集约高效的工业发展理念，聚焦绿色循环发展方向，构建生态友好、链条完整、特色鲜明的绿色现代工业体系。依托县域丰富的农畜产品、道地中藏药材、民俗文创、高原食用菌等特色资源，重点布局发展农畜产品精深加工、中藏药饮片炮制、中藏药保健品研发制造、民族特色文创产品加工、高原食用菌深加工等绿色产业，彻底改变初级产品输出模式，提升资源综合利用率与产品附加值。严格落实生态产业准入制度，严守环保底线、能耗红线，坚决禁止高耗能、高污染、高排放项目入驻园区、落地建设，从源头把控工业污染与生态破坏问题。坚持产业集聚、集约发展，依托县域飞地园区、小微企业产业园，引导各类绿色加工企业集中布局、抱团发展、集群赋能，实现资源共享、配套共建、污染共治。全面推行清洁生产技术与循环经济发展模式，督促企业落实节能降耗、减排治污、固废资源化利用要求，推动生产全过程绿色化、清洁化、低碳化改造。持续延伸绿色加工产业链条，培育本土绿色工业龙头企业、中小微特色企业，打造县域绿色加工产业品牌，全力建成川甘青交界区域极具示范效应的绿色现代工业示范园区。</w:t>
      </w:r>
    </w:p>
    <w:p w14:paraId="49884F0D">
      <w:pPr>
        <w:pStyle w:val="4"/>
        <w:pageBreakBefore w:val="0"/>
        <w:widowControl w:val="0"/>
        <w:numPr>
          <w:ilvl w:val="0"/>
          <w:numId w:val="14"/>
        </w:numPr>
        <w:shd w:val="clear"/>
        <w:kinsoku/>
        <w:wordWrap/>
        <w:overflowPunct/>
        <w:autoSpaceDE/>
        <w:autoSpaceDN/>
        <w:bidi w:val="0"/>
        <w:adjustRightInd/>
        <w:snapToGrid/>
        <w:spacing w:before="0" w:after="0" w:line="560" w:lineRule="atLeast"/>
        <w:ind w:firstLine="643" w:firstLineChars="200"/>
        <w:textAlignment w:val="auto"/>
        <w:rPr>
          <w:rFonts w:hint="default" w:ascii="Times New Roman" w:hAnsi="Times New Roman" w:eastAsia="仿宋_GB2312" w:cs="Times New Roman"/>
          <w:b/>
          <w:bCs w:val="0"/>
          <w:color w:val="000000" w:themeColor="text1"/>
          <w:highlight w:val="none"/>
          <w:lang w:val="en-US" w:eastAsia="zh-CN"/>
          <w14:textFill>
            <w14:solidFill>
              <w14:schemeClr w14:val="tx1"/>
            </w14:solidFill>
          </w14:textFill>
        </w:rPr>
      </w:pPr>
      <w:bookmarkStart w:id="68" w:name="_Toc25665"/>
      <w:r>
        <w:rPr>
          <w:rFonts w:hint="default" w:ascii="Times New Roman" w:hAnsi="Times New Roman" w:eastAsia="仿宋_GB2312" w:cs="Times New Roman"/>
          <w:b/>
          <w:bCs w:val="0"/>
          <w:color w:val="000000" w:themeColor="text1"/>
          <w:highlight w:val="none"/>
          <w:lang w:val="en-US" w:eastAsia="zh-CN"/>
          <w14:textFill>
            <w14:solidFill>
              <w14:schemeClr w14:val="tx1"/>
            </w14:solidFill>
          </w14:textFill>
        </w:rPr>
        <w:t>严控能耗总量强度，推动产业节能降碳</w:t>
      </w:r>
      <w:bookmarkEnd w:id="68"/>
    </w:p>
    <w:p w14:paraId="0A913368">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default" w:ascii="Times New Roman" w:hAnsi="Times New Roman" w:eastAsia="仿宋_GB2312"/>
          <w:color w:val="000000" w:themeColor="text1"/>
          <w:highlight w:val="none"/>
          <w:lang w:val="en-US" w:eastAsia="zh-CN"/>
          <w14:textFill>
            <w14:solidFill>
              <w14:schemeClr w14:val="tx1"/>
            </w14:solidFill>
          </w14:textFill>
        </w:rPr>
      </w:pPr>
      <w:r>
        <w:rPr>
          <w:rFonts w:hint="default" w:ascii="Times New Roman" w:hAnsi="Times New Roman" w:eastAsia="仿宋_GB2312"/>
          <w:color w:val="000000" w:themeColor="text1"/>
          <w:highlight w:val="none"/>
          <w:lang w:val="en-US" w:eastAsia="zh-CN"/>
          <w14:textFill>
            <w14:solidFill>
              <w14:schemeClr w14:val="tx1"/>
            </w14:solidFill>
          </w14:textFill>
        </w:rPr>
        <w:t>紧扣全县绿色低碳发展总体布局，以能耗双控、降碳增效为核心目标，严格落实能源消费总量和强度双控管理制度，全方位推进重点领域、重点行业节能降耗提质行动，持续优化县域能源消费结构。聚焦工业、建筑、公共机构、民生用能四大重点领域，建立健全能耗常态化监测、统计、监管、考核机制，精准摸排高耗能点位，建立能耗管控台账，实施清单化、闭环式管理。针对园区加工企业、小型生产作坊等市场主体，引导企业更新节能设备、改造生产工艺、推广清洁能源替代技术，淘汰落后产能、老旧高耗能设备，持续降低单位产值能耗、碳排放强度。严格规范新建项目节能审查、环评审批流程，严把项目能耗准入关口，坚决杜绝高耗能、低效益项目落地。推进公共机构节能改造，实施机关单位、乡镇办公场所、学校、卫生院等公共建筑照明、空调、供水、供暖节能升级，推广节能器具、智能管控设备，降低公共领域能耗。强化建筑领域节能管理，新建建筑严格执行绿色建筑、超低能耗建筑标准，既有建筑分步实施节能改造。通过多领域、全方位节能管控，持续降低全县综合能耗水平，稳步提升能源利用效率，筑牢县域产业低碳发展坚实基础。</w:t>
      </w:r>
    </w:p>
    <w:p w14:paraId="1F5DC174">
      <w:pPr>
        <w:pStyle w:val="4"/>
        <w:pageBreakBefore w:val="0"/>
        <w:widowControl w:val="0"/>
        <w:numPr>
          <w:ilvl w:val="0"/>
          <w:numId w:val="14"/>
        </w:numPr>
        <w:shd w:val="clear"/>
        <w:kinsoku/>
        <w:wordWrap/>
        <w:overflowPunct/>
        <w:autoSpaceDE/>
        <w:autoSpaceDN/>
        <w:bidi w:val="0"/>
        <w:adjustRightInd/>
        <w:snapToGrid/>
        <w:spacing w:before="0" w:after="0" w:line="560" w:lineRule="atLeast"/>
        <w:ind w:firstLine="643" w:firstLineChars="200"/>
        <w:textAlignment w:val="auto"/>
        <w:rPr>
          <w:rFonts w:hint="default" w:ascii="Times New Roman" w:hAnsi="Times New Roman" w:eastAsia="仿宋_GB2312" w:cs="Times New Roman"/>
          <w:b/>
          <w:bCs w:val="0"/>
          <w:color w:val="000000" w:themeColor="text1"/>
          <w:highlight w:val="none"/>
          <w:lang w:val="en-US" w:eastAsia="zh-CN"/>
          <w14:textFill>
            <w14:solidFill>
              <w14:schemeClr w14:val="tx1"/>
            </w14:solidFill>
          </w14:textFill>
        </w:rPr>
      </w:pPr>
      <w:bookmarkStart w:id="69" w:name="_Toc30663"/>
      <w:r>
        <w:rPr>
          <w:rFonts w:hint="default" w:ascii="Times New Roman" w:hAnsi="Times New Roman" w:eastAsia="仿宋_GB2312" w:cs="Times New Roman"/>
          <w:b/>
          <w:bCs w:val="0"/>
          <w:color w:val="000000" w:themeColor="text1"/>
          <w:highlight w:val="none"/>
          <w:lang w:val="en-US" w:eastAsia="zh-CN"/>
          <w14:textFill>
            <w14:solidFill>
              <w14:schemeClr w14:val="tx1"/>
            </w14:solidFill>
          </w14:textFill>
        </w:rPr>
        <w:t>倡导低碳生产生活，营造绿色发展氛围</w:t>
      </w:r>
      <w:bookmarkEnd w:id="69"/>
    </w:p>
    <w:p w14:paraId="08126896">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default" w:ascii="Times New Roman" w:hAnsi="Times New Roman" w:eastAsia="仿宋_GB2312"/>
          <w:color w:val="000000" w:themeColor="text1"/>
          <w:highlight w:val="none"/>
          <w:lang w:val="en-US" w:eastAsia="zh-CN"/>
          <w14:textFill>
            <w14:solidFill>
              <w14:schemeClr w14:val="tx1"/>
            </w14:solidFill>
          </w14:textFill>
        </w:rPr>
      </w:pPr>
      <w:r>
        <w:rPr>
          <w:rFonts w:hint="default" w:ascii="Times New Roman" w:hAnsi="Times New Roman" w:eastAsia="仿宋_GB2312"/>
          <w:color w:val="000000" w:themeColor="text1"/>
          <w:highlight w:val="none"/>
          <w:lang w:val="en-US" w:eastAsia="zh-CN"/>
          <w14:textFill>
            <w14:solidFill>
              <w14:schemeClr w14:val="tx1"/>
            </w14:solidFill>
          </w14:textFill>
        </w:rPr>
        <w:t>坚持产业低碳转型与全民低碳践行双向发力，统筹推进生产领域绿色转型、生活领域低碳提质，全域构建全民参与、全域覆盖、全程践行的绿色低碳生产生活新格局。在生产端持续深化绿色低碳转型，引导农牧业、文旅产业、加工产业全面推行低碳生产模式，农牧业推广测土配方施肥、绿色防控、节水节能技术，减少农资消耗与碳排放；文旅产业推行低碳运营、绿色服务，规范景区垃圾处置、能源利用；加工产业落实清洁生产、余热利用、固废循环利用机制，最大限度降低生产领域碳消耗。在生活端广泛普及低碳生活理念，常态化开展绿色低碳宣传进机关、进乡村、进社区、进学校、进商户活动，普及节能、节水、节电、垃圾分类、绿色出行等低碳知识。积极培育绿色低碳生活方式，倡导群众优先选择步行、骑行、公共交通等绿色出行方式，推广使用节能家电、节水器具、清洁能源，杜绝资源浪费、随意排污、露天焚烧等不良行为。持续深化绿色创建行动，常态化推进绿色机关、绿色学校、绿色社区、绿色商超、绿色家庭创建，以示范引领带动全民践行低碳理念。通过生产生活全方位低碳提质，持续厚植县域绿色低碳发展底蕴，形成人人崇尚绿色、人人践行低碳的良好社会氛围。</w:t>
      </w:r>
    </w:p>
    <w:p w14:paraId="33C380F7">
      <w:pPr>
        <w:pStyle w:val="3"/>
        <w:pageBreakBefore w:val="0"/>
        <w:widowControl w:val="0"/>
        <w:numPr>
          <w:ilvl w:val="0"/>
          <w:numId w:val="9"/>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pPr>
      <w:bookmarkStart w:id="70" w:name="_Toc17063"/>
      <w:r>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t>普惠民生福祉，缔造美好生活</w:t>
      </w:r>
      <w:bookmarkEnd w:id="70"/>
    </w:p>
    <w:p w14:paraId="194E92BA">
      <w:pPr>
        <w:pStyle w:val="4"/>
        <w:pageBreakBefore w:val="0"/>
        <w:widowControl w:val="0"/>
        <w:numPr>
          <w:ilvl w:val="0"/>
          <w:numId w:val="15"/>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71" w:name="_Toc6564"/>
      <w:r>
        <w:rPr>
          <w:rFonts w:hint="eastAsia" w:ascii="Times New Roman" w:hAnsi="Times New Roman" w:eastAsia="仿宋_GB2312" w:cs="Times New Roman"/>
          <w:b/>
          <w:bCs w:val="0"/>
          <w:color w:val="000000" w:themeColor="text1"/>
          <w:highlight w:val="none"/>
          <w14:textFill>
            <w14:solidFill>
              <w14:schemeClr w14:val="tx1"/>
            </w14:solidFill>
          </w14:textFill>
        </w:rPr>
        <w:t>拓宽增收渠道，均衡城乡收入水平</w:t>
      </w:r>
      <w:bookmarkEnd w:id="71"/>
    </w:p>
    <w:p w14:paraId="37730014">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坚持富民优先发展导向，把城乡居民增收作为民生工作核心抓手，结合阿坝县城乡发展差异、农牧民生产生活特点，多维度拓宽群众增收渠道，持续稳定城乡居民</w:t>
      </w:r>
      <w:r>
        <w:rPr>
          <w:rFonts w:hint="eastAsia" w:ascii="Times New Roman" w:hAnsi="Times New Roman"/>
          <w:color w:val="000000" w:themeColor="text1"/>
          <w:highlight w:val="none"/>
          <w:lang w:val="en-US" w:eastAsia="zh-CN"/>
          <w14:textFill>
            <w14:solidFill>
              <w14:schemeClr w14:val="tx1"/>
            </w14:solidFill>
          </w14:textFill>
        </w:rPr>
        <w:t>人均</w:t>
      </w:r>
      <w:r>
        <w:rPr>
          <w:rFonts w:hint="eastAsia" w:ascii="Times New Roman" w:hAnsi="Times New Roman" w:eastAsia="仿宋_GB2312"/>
          <w:color w:val="000000" w:themeColor="text1"/>
          <w:highlight w:val="none"/>
          <w14:textFill>
            <w14:solidFill>
              <w14:schemeClr w14:val="tx1"/>
            </w14:solidFill>
          </w14:textFill>
        </w:rPr>
        <w:t>可支配收入增长态势，逐步缩小城乡收入差距、破解发展不均衡问题。聚焦城镇居民增收，持续稳就业、拓岗位，依托县域清洁能源、生态文旅、绿色加工等产业发展契机，培育吸纳就业能力强的市场主体，规范公益性岗位开发管理，落实稳岗补贴、创业扶持、技能培训等政策，鼓励城镇居民自主创业、灵活就业、就近就业，持续夯实城镇收入基本面。聚焦农牧民增收，依托生态农牧业、乡村文旅、生态公益</w:t>
      </w:r>
      <w:r>
        <w:rPr>
          <w:rFonts w:hint="eastAsia" w:ascii="Times New Roman" w:hAnsi="Times New Roman"/>
          <w:color w:val="000000" w:themeColor="text1"/>
          <w:highlight w:val="none"/>
          <w:lang w:val="en-US" w:eastAsia="zh-CN"/>
          <w14:textFill>
            <w14:solidFill>
              <w14:schemeClr w14:val="tx1"/>
            </w14:solidFill>
          </w14:textFill>
        </w:rPr>
        <w:t>性</w:t>
      </w:r>
      <w:r>
        <w:rPr>
          <w:rFonts w:hint="eastAsia" w:ascii="Times New Roman" w:hAnsi="Times New Roman" w:eastAsia="仿宋_GB2312"/>
          <w:color w:val="000000" w:themeColor="text1"/>
          <w:highlight w:val="none"/>
          <w14:textFill>
            <w14:solidFill>
              <w14:schemeClr w14:val="tx1"/>
            </w14:solidFill>
          </w14:textFill>
        </w:rPr>
        <w:t>岗位等本土资源，健全农牧民经营性、工资性、财产性、转移性多元增收体系，持续壮大青稞、牦牛、贾洛绵羊等特色种养产业收益，盘活闲置土地、民居、草场资源发展乡村旅游、民宿经济，拓宽农牧民增收路径。健全防返贫动态监测和帮扶机制，精准帮扶低收入群体、脱贫户、监测户，针对性落实产业帮扶、就业帮扶、兜底保障措施，坚决守住不发生规模性返贫底线。通过分类施策、精准赋能、全域增收，持续优化城乡收入结构，稳步提升城乡居民收入水平，不断缩小城乡发展差距，夯实共同富裕发展基础。</w:t>
      </w:r>
    </w:p>
    <w:p w14:paraId="472976DB">
      <w:pPr>
        <w:pStyle w:val="4"/>
        <w:pageBreakBefore w:val="0"/>
        <w:widowControl w:val="0"/>
        <w:numPr>
          <w:ilvl w:val="0"/>
          <w:numId w:val="15"/>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72" w:name="_Toc22024"/>
      <w:r>
        <w:rPr>
          <w:rFonts w:ascii="Times New Roman" w:hAnsi="Times New Roman" w:eastAsia="仿宋_GB2312" w:cs="Times New Roman"/>
          <w:b/>
          <w:bCs w:val="0"/>
          <w:color w:val="000000" w:themeColor="text1"/>
          <w:highlight w:val="none"/>
          <w:lang w:val="en-US" w:eastAsia="zh-CN"/>
          <w14:textFill>
            <w14:solidFill>
              <w14:schemeClr w14:val="tx1"/>
            </w14:solidFill>
          </w14:textFill>
        </w:rPr>
        <w:t>健全医疗体系，筑牢群众健康保障</w:t>
      </w:r>
      <w:bookmarkEnd w:id="72"/>
    </w:p>
    <w:p w14:paraId="670F3E2F">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立足阿坝县基层医疗卫生服务短板，持续完善全域医疗卫生服务体系，以提质增效、均衡普惠为目标，统筹推进城乡医疗资源优化配置、基层医疗机构标准化建设，全面提升县域医疗卫生服务能力和群众健康保障水平。持续健全城乡医疗保障体系，扎实落实基本医疗保险、大病保险、医疗救助三重保障政策，实现城乡居民医保参保全覆盖、待遇稳落实，重点保障农牧区群众、低收入群体、特殊困难群体医疗权益，有效减轻群众就医负担。聚焦乡镇卫生院、村卫生室薄弱环节，推进基层医疗机构标准化提质改造，配齐基础诊疗设备、药品耗材，补强基层常见病、多发病诊疗能力，打通基层医疗服务“最后一公里”。深化医养康养融合发展，完善县域养老医疗机构、康养服务站点配套建设，整合医疗资源与养老服务资源，推进居家养老、社区养老、机构养老医疗服务全覆盖，满足老年群体健康养护、康复护理、慢病管理需求。强化基层医疗人才队伍建设，通过人才引进、在岗培训、对口帮扶、远程诊疗等方式提升基层医护人员专业能力，常态化开展公共卫生服务、慢病管理、健康宣教、妇幼保健、疫病防控等工作，全方位守护城乡群众身体健康。</w:t>
      </w:r>
    </w:p>
    <w:p w14:paraId="251763E5">
      <w:pPr>
        <w:pStyle w:val="4"/>
        <w:pageBreakBefore w:val="0"/>
        <w:widowControl w:val="0"/>
        <w:numPr>
          <w:ilvl w:val="0"/>
          <w:numId w:val="15"/>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73" w:name="_Toc25658"/>
      <w:r>
        <w:rPr>
          <w:rFonts w:hint="eastAsia" w:ascii="Times New Roman" w:hAnsi="Times New Roman" w:eastAsia="仿宋_GB2312" w:cs="Times New Roman"/>
          <w:b/>
          <w:bCs w:val="0"/>
          <w:color w:val="000000" w:themeColor="text1"/>
          <w:highlight w:val="none"/>
          <w14:textFill>
            <w14:solidFill>
              <w14:schemeClr w14:val="tx1"/>
            </w14:solidFill>
          </w14:textFill>
        </w:rPr>
        <w:t>优化教育资源，提升办学育人质效</w:t>
      </w:r>
      <w:bookmarkEnd w:id="73"/>
    </w:p>
    <w:p w14:paraId="5AB96E3F">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始终坚持教育优先发展战略，立足阿坝县城乡教育发展不均衡实际，持续优化全域教育资源布局，统筹推进学前教育、义务教育、基础教育提质增效，全面改善城乡办学条件、提升教育教学质量，全力办好人民满意的高原教育。持续完善城乡学校基础设施建设，有序推进县城中小学、乡镇中心校标准化提质改造，优化校园教学设施、运动场地、食宿配套、智慧教学设备，补齐农牧区学校硬件短板，彻底改善基层办学条件。精准优化教育资源配置，推动县城优质教育资源向乡镇、村落延伸覆盖，通过结对帮扶、师资轮岗、送教下乡、线上课堂等方式，破解城乡、校际教育资源差距，促进教育优质均衡发展。强化教师队伍建设，健全教师培养、培训、激励、考核机制，持续提升县域教师教学能力、专业素养，夯实教育教学人才根基。聚焦牧区学生成长需求，常态化落实控辍保学、助学帮扶、寄宿保障等政策，全方位保障适龄少年儿童平等接受教育。丰富校园德育、美育、体育、劳动教育内容，融合本土藏乡文化、红色文化开展特色教学，全面培育德智体美劳全面发展的新时代青少年，持续提升县域整体办学水平和育人质效。</w:t>
      </w:r>
    </w:p>
    <w:p w14:paraId="2115956E">
      <w:pPr>
        <w:pStyle w:val="4"/>
        <w:pageBreakBefore w:val="0"/>
        <w:widowControl w:val="0"/>
        <w:numPr>
          <w:ilvl w:val="0"/>
          <w:numId w:val="15"/>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74" w:name="_Toc6455"/>
      <w:r>
        <w:rPr>
          <w:rFonts w:hint="eastAsia" w:ascii="Times New Roman" w:hAnsi="Times New Roman" w:eastAsia="仿宋_GB2312" w:cs="Times New Roman"/>
          <w:b/>
          <w:bCs w:val="0"/>
          <w:color w:val="000000" w:themeColor="text1"/>
          <w:highlight w:val="none"/>
          <w14:textFill>
            <w14:solidFill>
              <w14:schemeClr w14:val="tx1"/>
            </w14:solidFill>
          </w14:textFill>
        </w:rPr>
        <w:t>传承特色文脉，擦亮本土文化名片</w:t>
      </w:r>
      <w:bookmarkEnd w:id="74"/>
    </w:p>
    <w:p w14:paraId="03009B8B">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深度梳理阿坝县本土特色文化资源，系统整合安多藏乡非遗文化、红色草原革命文化、高原湿地生态文化三大核心文脉，坚持保护优先、活化传承、创新利用，全方位推动县域特色文化保护传承与创新发展。加大非遗文化保护力度，重点做好唐卡绘制、藏香制作、藏棋技艺、安多传统服饰、民俗歌舞等非遗项目的活态传承，完善非遗传承人培育、扶持、激励机制，常态化开展非遗技艺传承教学、展示展演活动。持续完善非遗传承基地、民俗文化展馆、红色教育阵地、生态科普场馆建设，夯实文化传承硬件载体，让本土文化有阵地、有传承、有展示。常态化提档升级大草原文化旅游节、全国藏棋邀请赛等特色品牌活动，精心创编贴合阿坝本土特色、彰显高原风貌的精品文艺剧目，持续提升县域文化品牌影响力。积极开展跨区域文化交流、文旅联动展示活动，讲好阿坝本土文化故事。持续推进文化下乡、民俗展演、乡村文艺汇演、生态科普宣讲等群众性文化活动，丰富城乡群众精神文化生活，持续厚植美丽阿坝人文底蕴，以特色文化赋能全域发展。</w:t>
      </w:r>
    </w:p>
    <w:p w14:paraId="379A7229">
      <w:pPr>
        <w:pStyle w:val="4"/>
        <w:pageBreakBefore w:val="0"/>
        <w:widowControl w:val="0"/>
        <w:numPr>
          <w:ilvl w:val="0"/>
          <w:numId w:val="15"/>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75" w:name="_Toc7797"/>
      <w:r>
        <w:rPr>
          <w:rFonts w:hint="eastAsia" w:ascii="Times New Roman" w:hAnsi="Times New Roman" w:eastAsia="仿宋_GB2312" w:cs="Times New Roman"/>
          <w:b/>
          <w:bCs w:val="0"/>
          <w:color w:val="000000" w:themeColor="text1"/>
          <w:highlight w:val="none"/>
          <w14:textFill>
            <w14:solidFill>
              <w14:schemeClr w14:val="tx1"/>
            </w14:solidFill>
          </w14:textFill>
        </w:rPr>
        <w:t>深耕绿色宣教，涵养生态文化氛围</w:t>
      </w:r>
      <w:bookmarkEnd w:id="75"/>
    </w:p>
    <w:p w14:paraId="1A5CE8FF">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立足阿坝县长江黄河上游生态屏障核心定位，以培育全域生态文化、弘扬绿色理念、凝聚共治合力为目标，常态化开展多层次、全覆盖、接地气的绿色生态文化宣传教育，推动生态文明理念深入人心、落地生根。依托世界环境日、生物多样性保护日、世界水日、植树节等重要节点，精心策划主题宣讲、科普展览、实践体验、志愿服务等系列活动，构建常态化、制度化生态宣教体系。聚焦学校、企业、社区、乡村</w:t>
      </w:r>
      <w:r>
        <w:rPr>
          <w:rFonts w:hint="eastAsia" w:ascii="Times New Roman" w:hAnsi="Times New Roman"/>
          <w:color w:val="000000" w:themeColor="text1"/>
          <w:highlight w:val="none"/>
          <w:lang w:val="en-US" w:eastAsia="zh-CN"/>
          <w14:textFill>
            <w14:solidFill>
              <w14:schemeClr w14:val="tx1"/>
            </w14:solidFill>
          </w14:textFill>
        </w:rPr>
        <w:t>四</w:t>
      </w:r>
      <w:r>
        <w:rPr>
          <w:rFonts w:hint="eastAsia" w:ascii="Times New Roman" w:hAnsi="Times New Roman" w:eastAsia="仿宋_GB2312"/>
          <w:color w:val="000000" w:themeColor="text1"/>
          <w:highlight w:val="none"/>
          <w14:textFill>
            <w14:solidFill>
              <w14:schemeClr w14:val="tx1"/>
            </w14:solidFill>
          </w14:textFill>
        </w:rPr>
        <w:t>大宣传阵地，精准开展差异化生态文化宣传，面向青少年普及生态科普知识，面向企业强化绿色生产宣教，面向城乡群众普及环保、节水、护绿知识，实现生态文化宣传全域覆盖。大力倡导绿色低碳生活方式，持续推进生活垃圾分类、减塑限塑、资源节约、绿色消费、低碳出行等文明行为普及，引导群众自觉参与生态保护、环境治理。深化绿色文明示范创建，常态化培育绿色家庭、绿色村居、绿色景区、绿色校园等示范载体，依托生态公益</w:t>
      </w:r>
      <w:r>
        <w:rPr>
          <w:rFonts w:hint="eastAsia" w:ascii="Times New Roman" w:hAnsi="Times New Roman"/>
          <w:color w:val="000000" w:themeColor="text1"/>
          <w:highlight w:val="none"/>
          <w:lang w:val="en-US" w:eastAsia="zh-CN"/>
          <w14:textFill>
            <w14:solidFill>
              <w14:schemeClr w14:val="tx1"/>
            </w14:solidFill>
          </w14:textFill>
        </w:rPr>
        <w:t>性</w:t>
      </w:r>
      <w:r>
        <w:rPr>
          <w:rFonts w:hint="eastAsia" w:ascii="Times New Roman" w:hAnsi="Times New Roman" w:eastAsia="仿宋_GB2312"/>
          <w:color w:val="000000" w:themeColor="text1"/>
          <w:highlight w:val="none"/>
          <w14:textFill>
            <w14:solidFill>
              <w14:schemeClr w14:val="tx1"/>
            </w14:solidFill>
          </w14:textFill>
        </w:rPr>
        <w:t>岗位，选聘群众担任巡河员、巡山员、生态监督员，带动全民参与生态管护、绿色治理，全面营造人人懂生态、爱生态、护生态的共建共享浓厚氛围。</w:t>
      </w:r>
    </w:p>
    <w:p w14:paraId="7D3C4EB4">
      <w:pPr>
        <w:pStyle w:val="4"/>
        <w:pageBreakBefore w:val="0"/>
        <w:widowControl w:val="0"/>
        <w:numPr>
          <w:ilvl w:val="0"/>
          <w:numId w:val="15"/>
        </w:numPr>
        <w:shd w:val="clear"/>
        <w:kinsoku/>
        <w:wordWrap/>
        <w:overflowPunct/>
        <w:autoSpaceDE/>
        <w:autoSpaceDN/>
        <w:bidi w:val="0"/>
        <w:adjustRightInd/>
        <w:snapToGrid/>
        <w:spacing w:before="0" w:after="0" w:line="560" w:lineRule="atLeast"/>
        <w:ind w:firstLine="643" w:firstLineChars="200"/>
        <w:textAlignment w:val="auto"/>
        <w:rPr>
          <w:rFonts w:ascii="Times New Roman" w:hAnsi="Times New Roman" w:eastAsia="仿宋_GB2312" w:cs="Times New Roman"/>
          <w:b/>
          <w:bCs w:val="0"/>
          <w:color w:val="000000" w:themeColor="text1"/>
          <w:highlight w:val="none"/>
          <w14:textFill>
            <w14:solidFill>
              <w14:schemeClr w14:val="tx1"/>
            </w14:solidFill>
          </w14:textFill>
        </w:rPr>
      </w:pPr>
      <w:bookmarkStart w:id="76" w:name="_Toc6477"/>
      <w:r>
        <w:rPr>
          <w:rFonts w:hint="eastAsia" w:ascii="Times New Roman" w:hAnsi="Times New Roman" w:eastAsia="仿宋_GB2312" w:cs="Times New Roman"/>
          <w:b/>
          <w:bCs w:val="0"/>
          <w:color w:val="000000" w:themeColor="text1"/>
          <w:highlight w:val="none"/>
          <w14:textFill>
            <w14:solidFill>
              <w14:schemeClr w14:val="tx1"/>
            </w14:solidFill>
          </w14:textFill>
        </w:rPr>
        <w:t>升级公共服务，提升城乡宜居质感</w:t>
      </w:r>
      <w:bookmarkEnd w:id="76"/>
    </w:p>
    <w:p w14:paraId="0A77DB0A">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olor w:val="000000" w:themeColor="text1"/>
          <w:highlight w:val="none"/>
          <w14:textFill>
            <w14:solidFill>
              <w14:schemeClr w14:val="tx1"/>
            </w14:solidFill>
          </w14:textFill>
        </w:rPr>
      </w:pPr>
      <w:r>
        <w:rPr>
          <w:rFonts w:hint="eastAsia" w:ascii="Times New Roman" w:hAnsi="Times New Roman" w:eastAsia="仿宋_GB2312"/>
          <w:color w:val="000000" w:themeColor="text1"/>
          <w:highlight w:val="none"/>
          <w14:textFill>
            <w14:solidFill>
              <w14:schemeClr w14:val="tx1"/>
            </w14:solidFill>
          </w14:textFill>
        </w:rPr>
        <w:t>聚焦城乡公共服务提质增效、均等普惠发展，持续完善县域公共服务配套体系，补齐城乡服务短板、优化服务品质，让各族群众共享美丽阿坝建设成果。持续优化城乡商业服务布局，提质改造县城商业街区、乡镇特色市集，规范餐饮住宿、商超零售、便民服务业态，完善城乡物流配送、农村电商、快递下乡配套体系，打通城乡便民商贸物流通道，提升便民服务便捷度、专业化水平。全面推进城乡公共文化、体育设施全域覆盖，完善乡村文体广场、农家书屋、文化活动室、健身器材等基础配套，常态化开展群众文体活动、趣味赛事、文艺汇演，丰富群众精神文体生活。持续深化政务服务、旅游服务、社区服务提质升级，优化办事流程、精简审批环节、提升办事效率，推行标准化、人性化、智慧化服务模式，切实解决群众办事难点、堵点问题。规范景区服务、民宿服务、基层窗口服务标准，提升行业服务素养和整体服务水平。通过全方位完善公共服务配套、全维度优化服务品质，持续增强城乡群众的获得感、幸福感、安全感。</w:t>
      </w:r>
    </w:p>
    <w:p w14:paraId="2620A953">
      <w:pPr>
        <w:pStyle w:val="4"/>
        <w:keepNext w:val="0"/>
        <w:keepLines/>
        <w:pageBreakBefore w:val="0"/>
        <w:widowControl w:val="0"/>
        <w:numPr>
          <w:ilvl w:val="0"/>
          <w:numId w:val="15"/>
        </w:numPr>
        <w:shd w:val="clear"/>
        <w:kinsoku/>
        <w:wordWrap/>
        <w:overflowPunct/>
        <w:topLinePunct w:val="0"/>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77" w:name="_Toc25465"/>
      <w:r>
        <w:rPr>
          <w:rFonts w:hint="eastAsia" w:ascii="Times New Roman" w:hAnsi="Times New Roman" w:eastAsia="仿宋_GB2312" w:cs="Times New Roman"/>
          <w:b/>
          <w:bCs w:val="0"/>
          <w:color w:val="000000" w:themeColor="text1"/>
          <w:highlight w:val="none"/>
          <w14:textFill>
            <w14:solidFill>
              <w14:schemeClr w14:val="tx1"/>
            </w14:solidFill>
          </w14:textFill>
        </w:rPr>
        <w:t>聚力生态共建，深化生态文明建设</w:t>
      </w:r>
      <w:bookmarkEnd w:id="77"/>
    </w:p>
    <w:p w14:paraId="1CE35F4B">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hint="default" w:ascii="Times New Roman" w:hAnsi="Times New Roman" w:eastAsia="仿宋_GB2312"/>
          <w:color w:val="000000" w:themeColor="text1"/>
          <w:highlight w:val="none"/>
          <w:lang w:val="en-US" w:eastAsia="zh-CN"/>
          <w14:textFill>
            <w14:solidFill>
              <w14:schemeClr w14:val="tx1"/>
            </w14:solidFill>
          </w14:textFill>
        </w:rPr>
      </w:pPr>
      <w:r>
        <w:rPr>
          <w:rFonts w:hint="default" w:ascii="Times New Roman" w:hAnsi="Times New Roman" w:eastAsia="仿宋_GB2312"/>
          <w:color w:val="000000" w:themeColor="text1"/>
          <w:highlight w:val="none"/>
          <w:lang w:val="en-US" w:eastAsia="zh-CN"/>
          <w14:textFill>
            <w14:solidFill>
              <w14:schemeClr w14:val="tx1"/>
            </w14:solidFill>
          </w14:textFill>
        </w:rPr>
        <w:t>紧扣阿坝县筑牢长江黄河上游生态安全屏障核心使命，坚持生态文明建设与经济社会发展深度融合，统筹生态保护、环境治理、生态修复、文明共建，全方位推进全域生态文明建设提质升级。严格落实生态保护责任制，严守生态保护红线、环境质量底线、资源利用上线，常态化开展全域生态环境排查整治，严厉打击破坏草原、湿地、森林、河道的违法行为，持续稳固县域优良生态基底。统筹推进山水林田湖草沙一体化保护和系统治理，持续实施草原修复、湿地保育、水土保持、植被恢复等生态工程，不断提升区域生态系统稳定性和自我修复能力。健全生态文明建设长效机制，将生态保护、绿色发展、环境治理纳入乡镇、部门常态化考核，压实各级生态管护责任。常态化开展生态文明示范创建，全力推进生态文明示范县、示范乡镇、示范村梯度创建，以示范引领带动全域生态治理提质。持续完善生态环境网格化监管体系，整合管护力量、细化监管网格，实现生态问题早发现、早处置、早整改。坚持生态惠民、生态利民、生态为民，持续推动生态保护与民生改善、产业发展、文化传承深度融合，全力打造生态优美、环境宜居、文明和谐的高原生态文明建设样板。</w:t>
      </w:r>
    </w:p>
    <w:p w14:paraId="1E58853A">
      <w:pPr>
        <w:pStyle w:val="3"/>
        <w:keepNext w:val="0"/>
        <w:keepLines/>
        <w:pageBreakBefore w:val="0"/>
        <w:widowControl w:val="0"/>
        <w:numPr>
          <w:ilvl w:val="0"/>
          <w:numId w:val="9"/>
        </w:numPr>
        <w:shd w:val="clear"/>
        <w:kinsoku/>
        <w:wordWrap/>
        <w:overflowPunct/>
        <w:topLinePunct w:val="0"/>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pPr>
      <w:bookmarkStart w:id="78" w:name="_Toc1418"/>
      <w:r>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t>筑牢安全底线，营造宜人安全环境</w:t>
      </w:r>
      <w:bookmarkEnd w:id="78"/>
    </w:p>
    <w:p w14:paraId="0042E0C0">
      <w:pPr>
        <w:pStyle w:val="4"/>
        <w:keepNext w:val="0"/>
        <w:keepLines/>
        <w:pageBreakBefore w:val="0"/>
        <w:widowControl w:val="0"/>
        <w:numPr>
          <w:ilvl w:val="0"/>
          <w:numId w:val="16"/>
        </w:numPr>
        <w:shd w:val="clear"/>
        <w:kinsoku/>
        <w:wordWrap/>
        <w:overflowPunct/>
        <w:topLinePunct w:val="0"/>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79" w:name="_Toc19342"/>
      <w:r>
        <w:rPr>
          <w:rFonts w:hint="eastAsia" w:ascii="Times New Roman" w:hAnsi="Times New Roman" w:eastAsia="仿宋_GB2312" w:cs="Times New Roman"/>
          <w:b/>
          <w:bCs w:val="0"/>
          <w:color w:val="000000" w:themeColor="text1"/>
          <w:highlight w:val="none"/>
          <w14:textFill>
            <w14:solidFill>
              <w14:schemeClr w14:val="tx1"/>
            </w14:solidFill>
          </w14:textFill>
        </w:rPr>
        <w:t>严守耕地安全底线，推进受污染耕地利用</w:t>
      </w:r>
      <w:bookmarkEnd w:id="79"/>
    </w:p>
    <w:p w14:paraId="5A2C5334">
      <w:pPr>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立足阿坝县高原生态农业发展定位，坚决守住耕地生态安全和农产品质量安全底线，常态化推进净土保卫战，聚焦县域受污染耕地排查、管控、治理、利用全流程工作，系统化提升耕地土壤环境质量。全面开展县域农用地土壤污染状况详查复核工作，精准摸清各乡镇耕地土壤污染底数、污染类型、污染范围及风险等级，建立受污染耕地动态台账，实行清单化管理、常态化更新、闭环式治理。严格落实农用地分类管理制度，科学划分优先保护类、安全利用类、严格管控类耕地区域，针对性制定差异化管控措施，对优质耕地落实常态化保护举措，严防新增土壤污染问题。针对轻度、中度受污染耕地，因地制宜推行精准安全利用措施，通过优化种植结构、开展土壤改良、增施有机肥、推行绿色种植、水肥调控等生态治理手段，有效降低耕地污染风险，保障耕地正常耕作利用。对重度污染耕地严格实施管控，严禁种植食用农作物，有序开展种植结构调整、退耕还草、生态修复等治理工程。同步强化农业面源污染源头管控，严格规范化肥、农药、农膜等农业投入品使用，推进畜禽粪污、秸秆、废弃农膜等农业废弃物资源化回收处置，从源头遏制耕地土壤污染增量，持续提升县域耕地土壤环境承载力，保障高原生态农牧业高质量发展。</w:t>
      </w:r>
    </w:p>
    <w:p w14:paraId="6989DEA3">
      <w:pPr>
        <w:pStyle w:val="4"/>
        <w:pageBreakBefore w:val="0"/>
        <w:widowControl w:val="0"/>
        <w:numPr>
          <w:ilvl w:val="0"/>
          <w:numId w:val="16"/>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80" w:name="_Toc11018"/>
      <w:r>
        <w:rPr>
          <w:rFonts w:hint="eastAsia" w:ascii="Times New Roman" w:hAnsi="Times New Roman" w:eastAsia="仿宋_GB2312" w:cs="Times New Roman"/>
          <w:b/>
          <w:bCs w:val="0"/>
          <w:color w:val="000000" w:themeColor="text1"/>
          <w:highlight w:val="none"/>
          <w14:textFill>
            <w14:solidFill>
              <w14:schemeClr w14:val="tx1"/>
            </w14:solidFill>
          </w14:textFill>
        </w:rPr>
        <w:t>严控建设用地风险，保障人居用地安全</w:t>
      </w:r>
      <w:bookmarkEnd w:id="80"/>
    </w:p>
    <w:p w14:paraId="6DC8762F">
      <w:pPr>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持续深化净土保卫战成果，聚焦县域城镇建设用地、产业用地、工矿遗留用地等重点区域，全面推进重点建设用地土壤污染风险管控与修复治理，筑牢城乡人居环境安全用地屏障。全覆盖开展县域重点建设用地土壤污染隐患排查，重点针对老旧工矿场地、工业园区地块、垃圾填埋场、城乡闲置建设用地、遗留污染地块开展常态化监测排查，精准排查土壤污染、地下水污染隐患，全面建立建设用地污染地块名录与风险管控台账，实现底数清、情况明、管控严。严格落实建设用地准入管理机制，健全地块调查、风险评估、治理修复、竣工验收、准入审批全链条管控体系，对拟开发利用的建设用地严格开展土壤环境调查评估，坚决杜绝污染地块违规开发、带病利用。针对存在污染风险的建设用地，分类实施风险管控、治理修复工程，通过原位管控、异位修复、生态改良等科学治理方式，有效化解地块污染风险，保障建设用地开发利用安全。规范县域危险废物、医疗废物、建筑垃圾全过程收运、储存、处置管理，健全规范化处置体系，严防固废乱堆乱放、违规处置造成土壤二次污染。同步推进大气、水体、土壤协同治理，常态化管控施工扬尘、餐饮油烟、机动车尾气等污染源，全方位守住城乡建设用地环境安全底线。</w:t>
      </w:r>
    </w:p>
    <w:p w14:paraId="016603E6">
      <w:pPr>
        <w:pStyle w:val="4"/>
        <w:keepNext w:val="0"/>
        <w:keepLines/>
        <w:pageBreakBefore w:val="0"/>
        <w:widowControl w:val="0"/>
        <w:numPr>
          <w:ilvl w:val="0"/>
          <w:numId w:val="16"/>
        </w:numPr>
        <w:shd w:val="clear"/>
        <w:kinsoku/>
        <w:wordWrap/>
        <w:overflowPunct/>
        <w:topLinePunct w:val="0"/>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81" w:name="_Toc5484"/>
      <w:r>
        <w:rPr>
          <w:rFonts w:hint="eastAsia" w:ascii="Times New Roman" w:hAnsi="Times New Roman" w:eastAsia="仿宋_GB2312" w:cs="Times New Roman"/>
          <w:b/>
          <w:bCs w:val="0"/>
          <w:color w:val="000000" w:themeColor="text1"/>
          <w:highlight w:val="none"/>
          <w14:textFill>
            <w14:solidFill>
              <w14:schemeClr w14:val="tx1"/>
            </w14:solidFill>
          </w14:textFill>
        </w:rPr>
        <w:t>健全风险应急体系，强化灾险处置能力</w:t>
      </w:r>
      <w:bookmarkEnd w:id="81"/>
    </w:p>
    <w:p w14:paraId="42F216B9">
      <w:pPr>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聚焦阿坝县高原复杂地形、气候特征及生态环境风险特点，全面构建全覆盖、专业化、常态化的风险防控与应急处置体系，有效防范化解各类生态灾害、环境突发事件。精准锁定县域饮用水水源地、工业园区、生活垃圾填埋场、工矿遗留场地、矿山点位等重点环境风险源，建立常态化隐患排查、动态监测、风险评估工作机制，定期开展全方位、无死角隐患排查，建立问题台账，实行销号管理，从源头防范突发环境风险。系统完善生态环境污染、地质灾害、森林草原防火、洪涝灾害、极端天气等各类突发事件专项应急预案，细化分级响应机制、处置流程、责任分工，提升预案针对性和实操性。持续补齐应急保障短板，标准化建设应急物资储备库，配齐防火、防汛、地质治理、环境应急、抢险救援各类物资设备，组建专业化应急救援队伍、村级应急小分队，常态化开展应急培训、实战演练，全面提升队伍抢险处置能力。深化川甘青跨省、跨县域生态环境联防联控机制建设，健全信息共享、隐患联排、应急联动、联合处置工作体系，打破地域壁垒，协同处置跨界环境风险、自然灾害隐患，全方位提升县域突发风险快速响应、科学处置、高效管控能力。</w:t>
      </w:r>
    </w:p>
    <w:p w14:paraId="66A916BC">
      <w:pPr>
        <w:pStyle w:val="4"/>
        <w:pageBreakBefore w:val="0"/>
        <w:widowControl w:val="0"/>
        <w:numPr>
          <w:ilvl w:val="0"/>
          <w:numId w:val="16"/>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82" w:name="_Toc9075"/>
      <w:r>
        <w:rPr>
          <w:rFonts w:hint="eastAsia" w:ascii="Times New Roman" w:hAnsi="Times New Roman" w:eastAsia="仿宋_GB2312" w:cs="Times New Roman"/>
          <w:b/>
          <w:bCs w:val="0"/>
          <w:color w:val="000000" w:themeColor="text1"/>
          <w:highlight w:val="none"/>
          <w14:textFill>
            <w14:solidFill>
              <w14:schemeClr w14:val="tx1"/>
            </w14:solidFill>
          </w14:textFill>
        </w:rPr>
        <w:t>赋能智慧监测执法，提升基层治理效能</w:t>
      </w:r>
      <w:bookmarkEnd w:id="82"/>
    </w:p>
    <w:p w14:paraId="50189F48">
      <w:pPr>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聚焦生态环境治理体系和治理能力现代化建设目标，立足阿坝县地广人稀、监管范围广、基层力量薄弱的实际，持续完善全域生态监测与执法监管体系，全面提升智能化、精细化、规范化治理水平。构建全覆盖生态环境监测网络，整合水环境、大气环境、土壤环境、湿地生态、生物多样性监测点位，优化监测布局，配齐专业监测设备、无人机巡查、遥感监测等智能化设备，搭建数字化监测平台，实现生态环境数据实时采集、动态分析、智能预警，大幅提升全域生态监测自动化、智能化水平。健全规范化生态环境综合执法体系，严格落实“双随机、一公开”监管制度，常态化开展部门联合执法、跨区域交叉执法、专项执法整治，重点严查非法排污、违规采砂、侵占河道、破坏湿地草原、违规占地等生态违法行为。持续完善乡镇生态环境网格化监管体系，细化网格划分、压实网格责任，补齐基层环保工作人员、执法设备、监测装备短板，打通基层生态监管“最后一公里”。严格落实生态环境损害赔偿、责任追究制度，对各类生态破坏、环境违法行为严肃追责问责，以严格监管、智慧赋能推动县域生态环境治理提质增效。</w:t>
      </w:r>
    </w:p>
    <w:p w14:paraId="42CC7888">
      <w:pPr>
        <w:pStyle w:val="4"/>
        <w:pageBreakBefore w:val="0"/>
        <w:widowControl w:val="0"/>
        <w:numPr>
          <w:ilvl w:val="0"/>
          <w:numId w:val="16"/>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83" w:name="_Toc6853"/>
      <w:r>
        <w:rPr>
          <w:rFonts w:hint="eastAsia" w:ascii="Times New Roman" w:hAnsi="Times New Roman" w:eastAsia="仿宋_GB2312" w:cs="Times New Roman"/>
          <w:b/>
          <w:bCs w:val="0"/>
          <w:color w:val="000000" w:themeColor="text1"/>
          <w:highlight w:val="none"/>
          <w14:textFill>
            <w14:solidFill>
              <w14:schemeClr w14:val="tx1"/>
            </w14:solidFill>
          </w14:textFill>
        </w:rPr>
        <w:t>统筹城乡综合防控，筑牢全域安全屏障</w:t>
      </w:r>
      <w:bookmarkEnd w:id="83"/>
    </w:p>
    <w:p w14:paraId="2DC58C6C">
      <w:pPr>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坚持统筹发展和安全，整合生态安全、生产安全、民生安全各类工作资源，构建全方位、立体化、常态化的城乡安全防控体系，全力守护城乡群众生命财产安全与县域生态安全。统筹推进安全生产、社会治安、森林草原防火、防汛抗旱、地质灾害防治等重点安全工作，细化各领域安全管控举措，健全全域安全防控网络，实现风险全域覆盖、隐患全程可控。持续完善城乡安全基础设施建设，标准化改造城乡应急避难场所，优化场地功能布局、配套应急设施，满足群众应急避险需求；提档升级县域应急物资储备库，按需增补各类应急物资，保障各类灾害险情处置需求。聚焦森林草原防火核心工作，持续完善防火通道、隔离带、监测预警系统、卡点值守设施建设，构建人防、物防、技防三位一体的防火体系。常态化开展各领域安全隐患大排查、大整治行动，聚焦重点区域、重点行业、关键节点开展专项整治，坚决化解各类安全风险隐患。同步常态化开展安全知识宣传、警示教育、科普宣讲，提升群众安全防范意识和自救互救能力，全方位筑牢生态安全、生产安全、生活安全多重防线，营造安全稳定、宜居安稳的城乡发展环境。</w:t>
      </w:r>
    </w:p>
    <w:p w14:paraId="7378B2A7">
      <w:pPr>
        <w:pStyle w:val="4"/>
        <w:pageBreakBefore w:val="0"/>
        <w:widowControl w:val="0"/>
        <w:numPr>
          <w:ilvl w:val="0"/>
          <w:numId w:val="16"/>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84" w:name="_Toc30153"/>
      <w:r>
        <w:rPr>
          <w:rFonts w:hint="eastAsia" w:ascii="Times New Roman" w:hAnsi="Times New Roman" w:eastAsia="仿宋_GB2312" w:cs="Times New Roman"/>
          <w:b/>
          <w:bCs w:val="0"/>
          <w:color w:val="000000" w:themeColor="text1"/>
          <w:highlight w:val="none"/>
          <w14:textFill>
            <w14:solidFill>
              <w14:schemeClr w14:val="tx1"/>
            </w14:solidFill>
          </w14:textFill>
        </w:rPr>
        <w:t>深化地灾隐患治理，夯实高原安全根基</w:t>
      </w:r>
      <w:bookmarkEnd w:id="84"/>
    </w:p>
    <w:p w14:paraId="2805EA1C">
      <w:pPr>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针对阿坝县高原山地地貌突出、地形地质复杂、汛期降雨集中、地质灾害易发多发的地域特点，坚持预防为主、防治结合、综合治理，常态化推进地质灾害隐患排查、整治、管控、修复工作，全力防范化解地质灾害风险。全面开展县域地质灾害隐患全域摸排，聚焦山区村落、道路沿线、河道周边、边坡陡崖、施工区域等重点地段，精准排查滑坡、泥石流、崩塌、地面塌陷等地质灾害隐患点，更新隐患台账，分级分类划定风险管控区域，落实“一点一策”管控措施。健全地质灾害常态化监测预警体系，在重点隐患点位布设自动化监测设备、预警装置，配备专职监测人员，实行汛期全天候值守巡查、动态监测，第一时间发布预警信息，提前转移避险群众。精准推进地灾隐患工程治理，对风险等级较高的隐患点，有序实施边坡加固、挡墙支护、截排水疏通、危岩清理等专项治理工程；对风险较小的隐患点落实常态化巡查管控、生态固坡、植被修复等防护措施。完善地质灾害应急处置预案，常态化开展避险演练、群众宣教，健全隐患排查、监测预警、工程治理、应急避险、生态修复全链条工作体系，持续提升县域地质灾害综合防治能力，切实守护农牧区群众生命财产安全。</w:t>
      </w:r>
    </w:p>
    <w:p w14:paraId="537770BA">
      <w:pPr>
        <w:pStyle w:val="4"/>
        <w:pageBreakBefore w:val="0"/>
        <w:widowControl w:val="0"/>
        <w:numPr>
          <w:ilvl w:val="0"/>
          <w:numId w:val="16"/>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85" w:name="_Toc29249"/>
      <w:r>
        <w:rPr>
          <w:rFonts w:hint="eastAsia" w:ascii="Times New Roman" w:hAnsi="Times New Roman" w:eastAsia="仿宋_GB2312" w:cs="Times New Roman"/>
          <w:b/>
          <w:bCs w:val="0"/>
          <w:color w:val="000000" w:themeColor="text1"/>
          <w:highlight w:val="none"/>
          <w14:textFill>
            <w14:solidFill>
              <w14:schemeClr w14:val="tx1"/>
            </w14:solidFill>
          </w14:textFill>
        </w:rPr>
        <w:t>深耕噪声污染治理，静谧宜居城</w:t>
      </w:r>
      <w:r>
        <w:rPr>
          <w:rFonts w:hint="eastAsia" w:ascii="Times New Roman" w:hAnsi="Times New Roman" w:eastAsia="仿宋_GB2312" w:cs="Times New Roman"/>
          <w:b/>
          <w:bCs w:val="0"/>
          <w:color w:val="000000" w:themeColor="text1"/>
          <w:highlight w:val="none"/>
          <w:lang w:val="en-US" w:eastAsia="zh-CN"/>
          <w14:textFill>
            <w14:solidFill>
              <w14:schemeClr w14:val="tx1"/>
            </w14:solidFill>
          </w14:textFill>
        </w:rPr>
        <w:t>市</w:t>
      </w:r>
      <w:r>
        <w:rPr>
          <w:rFonts w:hint="eastAsia" w:ascii="Times New Roman" w:hAnsi="Times New Roman" w:eastAsia="仿宋_GB2312" w:cs="Times New Roman"/>
          <w:b/>
          <w:bCs w:val="0"/>
          <w:color w:val="000000" w:themeColor="text1"/>
          <w:highlight w:val="none"/>
          <w14:textFill>
            <w14:solidFill>
              <w14:schemeClr w14:val="tx1"/>
            </w14:solidFill>
          </w14:textFill>
        </w:rPr>
        <w:t>环境</w:t>
      </w:r>
      <w:bookmarkEnd w:id="85"/>
    </w:p>
    <w:p w14:paraId="2FBCE029">
      <w:pPr>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强化声环境规划与监控，优化调整县城中心镇等区域声环境功能区划分，加强噪声污染防治精准化管控。加强社会生活噪声管理，督促市场、餐饮等重点营业场所落实噪声污染防治主体责任，强化街道、广场等公共场所活动噪声监管。强化交通噪声污染防治，科学划定禁鸣区域、路段和时段，强化货运车辆噪声执法。加强工业噪声监管，推进工业噪声实施排污许可管理，加强噪声排放重点工业企业监管。深化建筑施工噪声污染防治，落实建筑施工噪声管控责任，持续开展夜间施工噪声专项执法整治。进一步优化噪声自动监测显示设施的建设与布局，实现对噪声状况的有效监控。加强声环境信息公开，定期发布声环境质量状况信息，接受社会公众监督。</w:t>
      </w:r>
    </w:p>
    <w:p w14:paraId="362185D2">
      <w:pPr>
        <w:pStyle w:val="3"/>
        <w:pageBreakBefore w:val="0"/>
        <w:widowControl w:val="0"/>
        <w:numPr>
          <w:ilvl w:val="0"/>
          <w:numId w:val="9"/>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pPr>
      <w:bookmarkStart w:id="86" w:name="_Toc8957"/>
      <w:r>
        <w:rPr>
          <w:rFonts w:hint="eastAsia" w:ascii="方正楷体_GB2312" w:hAnsi="方正楷体_GB2312" w:eastAsia="方正楷体_GB2312" w:cs="方正楷体_GB2312"/>
          <w:color w:val="000000" w:themeColor="text1"/>
          <w:szCs w:val="32"/>
          <w:highlight w:val="none"/>
          <w:lang w:val="en-US" w:eastAsia="zh-CN"/>
          <w14:textFill>
            <w14:solidFill>
              <w14:schemeClr w14:val="tx1"/>
            </w14:solidFill>
          </w14:textFill>
        </w:rPr>
        <w:t>彰显地域禀赋，擦亮县域特色</w:t>
      </w:r>
      <w:bookmarkEnd w:id="86"/>
    </w:p>
    <w:p w14:paraId="2FC2E118">
      <w:pPr>
        <w:pStyle w:val="4"/>
        <w:pageBreakBefore w:val="0"/>
        <w:widowControl w:val="0"/>
        <w:numPr>
          <w:ilvl w:val="0"/>
          <w:numId w:val="17"/>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87" w:name="_Toc29263"/>
      <w:r>
        <w:rPr>
          <w:rFonts w:hint="eastAsia" w:ascii="Times New Roman" w:hAnsi="Times New Roman" w:eastAsia="仿宋_GB2312" w:cs="Times New Roman"/>
          <w:b/>
          <w:bCs w:val="0"/>
          <w:color w:val="000000" w:themeColor="text1"/>
          <w:highlight w:val="none"/>
          <w14:textFill>
            <w14:solidFill>
              <w14:schemeClr w14:val="tx1"/>
            </w14:solidFill>
          </w14:textFill>
        </w:rPr>
        <w:t>深耕净土资源禀赋，塑造高原生态特色</w:t>
      </w:r>
      <w:bookmarkEnd w:id="87"/>
    </w:p>
    <w:p w14:paraId="48A2FFB6">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s="Times New Roman"/>
          <w:b w:val="0"/>
          <w:bCs/>
          <w:color w:val="000000" w:themeColor="text1"/>
          <w:highlight w:val="none"/>
          <w14:textFill>
            <w14:solidFill>
              <w14:schemeClr w14:val="tx1"/>
            </w14:solidFill>
          </w14:textFill>
        </w:rPr>
      </w:pPr>
      <w:r>
        <w:rPr>
          <w:rFonts w:ascii="Times New Roman" w:hAnsi="Times New Roman" w:eastAsia="仿宋_GB2312" w:cs="Times New Roman"/>
          <w:b w:val="0"/>
          <w:bCs/>
          <w:color w:val="000000" w:themeColor="text1"/>
          <w:highlight w:val="none"/>
          <w:lang w:val="en-US" w:eastAsia="zh-CN"/>
          <w14:textFill>
            <w14:solidFill>
              <w14:schemeClr w14:val="tx1"/>
            </w14:solidFill>
          </w14:textFill>
        </w:rPr>
        <w:t>阿坝县地处青藏高原东南缘、长江黄河上游核心生态屏障区，是生态功能完备、原生资源富集的高原净土。立足</w:t>
      </w:r>
      <w:r>
        <w:rPr>
          <w:rFonts w:hint="eastAsia" w:ascii="Times New Roman" w:hAnsi="Times New Roman" w:cs="Times New Roman"/>
          <w:b w:val="0"/>
          <w:bCs/>
          <w:color w:val="000000" w:themeColor="text1"/>
          <w:highlight w:val="none"/>
          <w:lang w:val="en-US" w:eastAsia="zh-CN"/>
          <w14:textFill>
            <w14:solidFill>
              <w14:schemeClr w14:val="tx1"/>
            </w14:solidFill>
          </w14:textFill>
        </w:rPr>
        <w:t>阿坝县</w:t>
      </w:r>
      <w:r>
        <w:rPr>
          <w:rFonts w:ascii="Times New Roman" w:hAnsi="Times New Roman" w:eastAsia="仿宋_GB2312" w:cs="Times New Roman"/>
          <w:b w:val="0"/>
          <w:bCs/>
          <w:color w:val="000000" w:themeColor="text1"/>
          <w:highlight w:val="none"/>
          <w:lang w:val="en-US" w:eastAsia="zh-CN"/>
          <w14:textFill>
            <w14:solidFill>
              <w14:schemeClr w14:val="tx1"/>
            </w14:solidFill>
          </w14:textFill>
        </w:rPr>
        <w:t>得天独厚的生态区位与资源优势，持续深耕放大</w:t>
      </w:r>
      <w:r>
        <w:rPr>
          <w:rFonts w:hint="eastAsia" w:ascii="Times New Roman" w:hAnsi="Times New Roman" w:cs="Times New Roman"/>
          <w:b w:val="0"/>
          <w:bCs/>
          <w:color w:val="000000" w:themeColor="text1"/>
          <w:highlight w:val="none"/>
          <w:lang w:val="en-US" w:eastAsia="zh-CN"/>
          <w14:textFill>
            <w14:solidFill>
              <w14:schemeClr w14:val="tx1"/>
            </w14:solidFill>
          </w14:textFill>
        </w:rPr>
        <w:t>“</w:t>
      </w:r>
      <w:r>
        <w:rPr>
          <w:rFonts w:ascii="Times New Roman" w:hAnsi="Times New Roman" w:eastAsia="仿宋_GB2312" w:cs="Times New Roman"/>
          <w:b w:val="0"/>
          <w:bCs/>
          <w:color w:val="000000" w:themeColor="text1"/>
          <w:highlight w:val="none"/>
          <w:lang w:val="en-US" w:eastAsia="zh-CN"/>
          <w14:textFill>
            <w14:solidFill>
              <w14:schemeClr w14:val="tx1"/>
            </w14:solidFill>
          </w14:textFill>
        </w:rPr>
        <w:t>阿坝的阿坝·最厚的净土</w:t>
      </w:r>
      <w:r>
        <w:rPr>
          <w:rFonts w:hint="eastAsia" w:ascii="Times New Roman" w:hAnsi="Times New Roman" w:cs="Times New Roman"/>
          <w:b w:val="0"/>
          <w:bCs/>
          <w:color w:val="000000" w:themeColor="text1"/>
          <w:highlight w:val="none"/>
          <w:lang w:val="en-US" w:eastAsia="zh-CN"/>
          <w14:textFill>
            <w14:solidFill>
              <w14:schemeClr w14:val="tx1"/>
            </w14:solidFill>
          </w14:textFill>
        </w:rPr>
        <w:t>”</w:t>
      </w:r>
      <w:r>
        <w:rPr>
          <w:rFonts w:ascii="Times New Roman" w:hAnsi="Times New Roman" w:eastAsia="仿宋_GB2312" w:cs="Times New Roman"/>
          <w:b w:val="0"/>
          <w:bCs/>
          <w:color w:val="000000" w:themeColor="text1"/>
          <w:highlight w:val="none"/>
          <w:lang w:val="en-US" w:eastAsia="zh-CN"/>
          <w14:textFill>
            <w14:solidFill>
              <w14:schemeClr w14:val="tx1"/>
            </w14:solidFill>
          </w14:textFill>
        </w:rPr>
        <w:t>核心文旅IP，坚持原生态保护优先、适度开发利用的原则，摒弃同质化、商业化过度开发模式，持续擦亮县域纯净生态金字招牌。紧扣若尔盖国家公园创建重大战略机遇，深度盘活莲宝叶则景区、漫泽塘湿地公园、神座原生态村落等核心优质生态资源，精准布局高原生态观光、湿地康养度假、户外徒步探险、高原星空体验等特色业态，构建差异化、高品质的高原生态产品体系。严格恪守生态保护红线，在完整保留高原自然肌理、山水草原原生风貌的基础上，优化景区配套设施、生态游览线路、科普宣教体系，持续提升生态游览体验感与品质感，全面凸显阿坝县独一无二的高原纯净生态辨识度，持续夯实县域生态核心竞争优势。</w:t>
      </w:r>
    </w:p>
    <w:p w14:paraId="51C76D84">
      <w:pPr>
        <w:pStyle w:val="4"/>
        <w:pageBreakBefore w:val="0"/>
        <w:widowControl w:val="0"/>
        <w:numPr>
          <w:ilvl w:val="0"/>
          <w:numId w:val="17"/>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88" w:name="_Toc9214"/>
      <w:r>
        <w:rPr>
          <w:rFonts w:hint="eastAsia" w:ascii="Times New Roman" w:hAnsi="Times New Roman" w:eastAsia="仿宋_GB2312" w:cs="Times New Roman"/>
          <w:b/>
          <w:bCs w:val="0"/>
          <w:color w:val="000000" w:themeColor="text1"/>
          <w:highlight w:val="none"/>
          <w14:textFill>
            <w14:solidFill>
              <w14:schemeClr w14:val="tx1"/>
            </w14:solidFill>
          </w14:textFill>
        </w:rPr>
        <w:t>深挖安多民俗文脉，铸就藏乡地域特色</w:t>
      </w:r>
      <w:bookmarkEnd w:id="88"/>
    </w:p>
    <w:p w14:paraId="072DF1E3">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s="Times New Roman"/>
          <w:b w:val="0"/>
          <w:bCs/>
          <w:color w:val="000000" w:themeColor="text1"/>
          <w:highlight w:val="none"/>
          <w14:textFill>
            <w14:solidFill>
              <w14:schemeClr w14:val="tx1"/>
            </w14:solidFill>
          </w14:textFill>
        </w:rPr>
      </w:pPr>
      <w:r>
        <w:rPr>
          <w:rFonts w:ascii="Times New Roman" w:hAnsi="Times New Roman" w:eastAsia="仿宋_GB2312" w:cs="Times New Roman"/>
          <w:b w:val="0"/>
          <w:bCs/>
          <w:color w:val="000000" w:themeColor="text1"/>
          <w:highlight w:val="none"/>
          <w:lang w:val="en-US" w:eastAsia="zh-CN"/>
          <w14:textFill>
            <w14:solidFill>
              <w14:schemeClr w14:val="tx1"/>
            </w14:solidFill>
          </w14:textFill>
        </w:rPr>
        <w:t>阿坝县作为川甘青交界安多藏族文化核心传承腹地，拥有厚重完整的安多民俗文化体系，各类文化资源富集，是区域安多民俗活态传承的核心载体。坚持保护传承与创新发展并举，深度挖掘本土民俗文化内核与地域特质，系统性梳理非遗资源、古建资源、民俗资源，构建全方位的民俗文化保护传承体系。重点加大县域夯土古村落、藏式传统民居、民俗碉房、古旧院落的保护性修缮力度，严格规范乡村建设风貌管控，杜绝大拆大建，完整留存藏乡街巷格局、村落肌理与原生人文风貌。聚焦唐卡绘制、藏香制作、藏棋竞技、安多民间歌舞等特色非遗技艺，常态化开展非遗传承教学、民俗展演、文化赛事、节庆活动，激活传统文化生命力。依托本土民俗资源，创新培育非遗主题民宿、民俗研学体验、藏式文创开发、藏乡特色美食体验等新兴业态，推动传统民俗文化与文旅产业、乡村发展深度融合。以特色安多民俗文化为核心纽带，打造辨识度极高、不可复制的藏乡县域标识，厚植美丽阿坝人文底蕴。</w:t>
      </w:r>
    </w:p>
    <w:p w14:paraId="57A34427">
      <w:pPr>
        <w:pStyle w:val="4"/>
        <w:pageBreakBefore w:val="0"/>
        <w:widowControl w:val="0"/>
        <w:numPr>
          <w:ilvl w:val="0"/>
          <w:numId w:val="17"/>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89" w:name="_Toc9069"/>
      <w:r>
        <w:rPr>
          <w:rFonts w:hint="eastAsia" w:ascii="Times New Roman" w:hAnsi="Times New Roman" w:eastAsia="仿宋_GB2312" w:cs="Times New Roman"/>
          <w:b/>
          <w:bCs w:val="0"/>
          <w:color w:val="000000" w:themeColor="text1"/>
          <w:highlight w:val="none"/>
          <w14:textFill>
            <w14:solidFill>
              <w14:schemeClr w14:val="tx1"/>
            </w14:solidFill>
          </w14:textFill>
        </w:rPr>
        <w:t>激活交界区位优势，构筑三省门户特色</w:t>
      </w:r>
      <w:bookmarkEnd w:id="89"/>
    </w:p>
    <w:p w14:paraId="41D9A15F">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s="Times New Roman"/>
          <w:b w:val="0"/>
          <w:bCs/>
          <w:color w:val="000000" w:themeColor="text1"/>
          <w:highlight w:val="none"/>
          <w14:textFill>
            <w14:solidFill>
              <w14:schemeClr w14:val="tx1"/>
            </w14:solidFill>
          </w14:textFill>
        </w:rPr>
      </w:pPr>
      <w:r>
        <w:rPr>
          <w:rFonts w:ascii="Times New Roman" w:hAnsi="Times New Roman" w:eastAsia="仿宋_GB2312" w:cs="Times New Roman"/>
          <w:b w:val="0"/>
          <w:bCs/>
          <w:color w:val="000000" w:themeColor="text1"/>
          <w:highlight w:val="none"/>
          <w:lang w:val="en-US" w:eastAsia="zh-CN"/>
          <w14:textFill>
            <w14:solidFill>
              <w14:schemeClr w14:val="tx1"/>
            </w14:solidFill>
          </w14:textFill>
        </w:rPr>
        <w:t>阿坝县位居川甘青三省交界核心枢纽，是连接三省的重要门户，区位优势突出、区域联动潜力巨大。立足</w:t>
      </w:r>
      <w:r>
        <w:rPr>
          <w:rFonts w:hint="eastAsia" w:ascii="Times New Roman" w:hAnsi="Times New Roman" w:cs="Times New Roman"/>
          <w:b w:val="0"/>
          <w:bCs/>
          <w:color w:val="000000" w:themeColor="text1"/>
          <w:highlight w:val="none"/>
          <w:lang w:val="en-US" w:eastAsia="zh-CN"/>
          <w14:textFill>
            <w14:solidFill>
              <w14:schemeClr w14:val="tx1"/>
            </w14:solidFill>
          </w14:textFill>
        </w:rPr>
        <w:t>阿坝县</w:t>
      </w:r>
      <w:r>
        <w:rPr>
          <w:rFonts w:ascii="Times New Roman" w:hAnsi="Times New Roman" w:eastAsia="仿宋_GB2312" w:cs="Times New Roman"/>
          <w:b w:val="0"/>
          <w:bCs/>
          <w:color w:val="000000" w:themeColor="text1"/>
          <w:highlight w:val="none"/>
          <w:lang w:val="en-US" w:eastAsia="zh-CN"/>
          <w14:textFill>
            <w14:solidFill>
              <w14:schemeClr w14:val="tx1"/>
            </w14:solidFill>
          </w14:textFill>
        </w:rPr>
        <w:t>门户区位定位，全力完善全域综合交通、现代商贸、智慧物流基础设施网络，打通省际、县际互联互通通道，持续完善城乡商贸市集、物流集散中心、文旅配套服务设施，全力打造集区域性商贸物流集散、文旅客流中转、跨区域文化交流于一体的三省交界核心枢纽中心。主动融入川甘青区域协同发展格局，积极深化与周边县域的全方位合作，构建生态共建、产业共融、文旅共享、发展共赢的区域联动机制。在生态领域开展联合管护、联防联治、协同修复，共同守护交界区域生态安全；在产业领域推进特色农牧、清洁能源、文旅产业互补协作，共建区域特色产业集群；在文旅领域共享线路资源、共塑区域品牌、共办文旅活动，打造跨省精品旅游环线。依托门户辐射带动优势，全力打造三省交界生态治理示范、产业协作标杆、文旅联动样板，全面彰显县域门户枢纽的核心价值与辐射引领作用。</w:t>
      </w:r>
    </w:p>
    <w:p w14:paraId="39975353">
      <w:pPr>
        <w:pStyle w:val="4"/>
        <w:pageBreakBefore w:val="0"/>
        <w:widowControl w:val="0"/>
        <w:numPr>
          <w:ilvl w:val="0"/>
          <w:numId w:val="17"/>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90" w:name="_Toc19801"/>
      <w:r>
        <w:rPr>
          <w:rFonts w:hint="eastAsia" w:ascii="Times New Roman" w:hAnsi="Times New Roman" w:eastAsia="仿宋_GB2312" w:cs="Times New Roman"/>
          <w:b/>
          <w:bCs w:val="0"/>
          <w:color w:val="000000" w:themeColor="text1"/>
          <w:highlight w:val="none"/>
          <w14:textFill>
            <w14:solidFill>
              <w14:schemeClr w14:val="tx1"/>
            </w14:solidFill>
          </w14:textFill>
        </w:rPr>
        <w:t>盘活生态资源价值，赋能生态旅游提质</w:t>
      </w:r>
      <w:bookmarkEnd w:id="90"/>
    </w:p>
    <w:p w14:paraId="53FA433C">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s="Times New Roman"/>
          <w:b w:val="0"/>
          <w:bCs/>
          <w:color w:val="000000" w:themeColor="text1"/>
          <w:highlight w:val="none"/>
          <w14:textFill>
            <w14:solidFill>
              <w14:schemeClr w14:val="tx1"/>
            </w14:solidFill>
          </w14:textFill>
        </w:rPr>
      </w:pPr>
      <w:r>
        <w:rPr>
          <w:rFonts w:ascii="Times New Roman" w:hAnsi="Times New Roman" w:eastAsia="仿宋_GB2312" w:cs="Times New Roman"/>
          <w:b w:val="0"/>
          <w:bCs/>
          <w:color w:val="000000" w:themeColor="text1"/>
          <w:highlight w:val="none"/>
          <w:lang w:val="en-US" w:eastAsia="zh-CN"/>
          <w14:textFill>
            <w14:solidFill>
              <w14:schemeClr w14:val="tx1"/>
            </w14:solidFill>
          </w14:textFill>
        </w:rPr>
        <w:t>立足</w:t>
      </w:r>
      <w:r>
        <w:rPr>
          <w:rFonts w:hint="eastAsia" w:ascii="Times New Roman" w:hAnsi="Times New Roman" w:cs="Times New Roman"/>
          <w:b w:val="0"/>
          <w:bCs/>
          <w:color w:val="000000" w:themeColor="text1"/>
          <w:highlight w:val="none"/>
          <w:lang w:val="en-US" w:eastAsia="zh-CN"/>
          <w14:textFill>
            <w14:solidFill>
              <w14:schemeClr w14:val="tx1"/>
            </w14:solidFill>
          </w14:textFill>
        </w:rPr>
        <w:t>阿坝县</w:t>
      </w:r>
      <w:r>
        <w:rPr>
          <w:rFonts w:ascii="Times New Roman" w:hAnsi="Times New Roman" w:eastAsia="仿宋_GB2312" w:cs="Times New Roman"/>
          <w:b w:val="0"/>
          <w:bCs/>
          <w:color w:val="000000" w:themeColor="text1"/>
          <w:highlight w:val="none"/>
          <w:lang w:val="en-US" w:eastAsia="zh-CN"/>
          <w14:textFill>
            <w14:solidFill>
              <w14:schemeClr w14:val="tx1"/>
            </w14:solidFill>
          </w14:textFill>
        </w:rPr>
        <w:t>长江黄河上游优质生态资源禀赋，聚焦生态价值转化核心目标，以生态旅游产业提质升级为重点，深入推进全域生态产品价值核算工作，全面落地EOD生态环境导向开发模式，实现生态保护、环境治理、产业发展深度融合、协同增效。依托县域丰富的森林、草原、湿地、水系等优质生态资源，积极探索多元化生态价值转化路径，稳步推进草原碳汇、湿地碳汇、林业碳汇资源摸底核算与交易储备，完善生态补偿、生态管护、资源利用机制，夯实生态价值转化基础。重点聚焦生态旅游主导产业，依托纯净高原生态风光、原生态草原湿地、小众峡谷秘境资源，持续优化生态旅游发展布局，开发湿地生态观光、草原康养度假、森林徒步研学、高原户外体验等多元生态旅游业态。坚持生态保护前置原则，严格规范生态旅游开发边界，杜绝破坏生态的粗放式开发，推行轻量化、原生态、沉浸式生态旅游开发模式。同步联动生态农牧业发展，推动绿色有机农畜产品、本土特色文创产品融入旅游产业链，构建</w:t>
      </w:r>
      <w:r>
        <w:rPr>
          <w:rFonts w:hint="eastAsia" w:ascii="Times New Roman" w:hAnsi="Times New Roman" w:cs="Times New Roman"/>
          <w:b w:val="0"/>
          <w:bCs/>
          <w:color w:val="000000" w:themeColor="text1"/>
          <w:highlight w:val="none"/>
          <w:lang w:val="en-US" w:eastAsia="zh-CN"/>
          <w14:textFill>
            <w14:solidFill>
              <w14:schemeClr w14:val="tx1"/>
            </w14:solidFill>
          </w14:textFill>
        </w:rPr>
        <w:t>“</w:t>
      </w:r>
      <w:r>
        <w:rPr>
          <w:rFonts w:ascii="Times New Roman" w:hAnsi="Times New Roman" w:eastAsia="仿宋_GB2312" w:cs="Times New Roman"/>
          <w:b w:val="0"/>
          <w:bCs/>
          <w:color w:val="000000" w:themeColor="text1"/>
          <w:highlight w:val="none"/>
          <w:lang w:val="en-US" w:eastAsia="zh-CN"/>
          <w14:textFill>
            <w14:solidFill>
              <w14:schemeClr w14:val="tx1"/>
            </w14:solidFill>
          </w14:textFill>
        </w:rPr>
        <w:t>生态保护+生态旅游+富民增收</w:t>
      </w:r>
      <w:r>
        <w:rPr>
          <w:rFonts w:hint="eastAsia" w:ascii="Times New Roman" w:hAnsi="Times New Roman" w:cs="Times New Roman"/>
          <w:b w:val="0"/>
          <w:bCs/>
          <w:color w:val="000000" w:themeColor="text1"/>
          <w:highlight w:val="none"/>
          <w:lang w:val="en-US" w:eastAsia="zh-CN"/>
          <w14:textFill>
            <w14:solidFill>
              <w14:schemeClr w14:val="tx1"/>
            </w14:solidFill>
          </w14:textFill>
        </w:rPr>
        <w:t>”</w:t>
      </w:r>
      <w:r>
        <w:rPr>
          <w:rFonts w:ascii="Times New Roman" w:hAnsi="Times New Roman" w:eastAsia="仿宋_GB2312" w:cs="Times New Roman"/>
          <w:b w:val="0"/>
          <w:bCs/>
          <w:color w:val="000000" w:themeColor="text1"/>
          <w:highlight w:val="none"/>
          <w:lang w:val="en-US" w:eastAsia="zh-CN"/>
          <w14:textFill>
            <w14:solidFill>
              <w14:schemeClr w14:val="tx1"/>
            </w14:solidFill>
          </w14:textFill>
        </w:rPr>
        <w:t>的良性循环体系，全力打造高原民族地区生态旅游价值转化标杆县域。</w:t>
      </w:r>
    </w:p>
    <w:p w14:paraId="61C8BF77">
      <w:pPr>
        <w:pStyle w:val="4"/>
        <w:pageBreakBefore w:val="0"/>
        <w:widowControl w:val="0"/>
        <w:numPr>
          <w:ilvl w:val="0"/>
          <w:numId w:val="17"/>
        </w:numPr>
        <w:shd w:val="clear"/>
        <w:kinsoku/>
        <w:wordWrap/>
        <w:overflowPunct/>
        <w:autoSpaceDE/>
        <w:autoSpaceDN/>
        <w:bidi w:val="0"/>
        <w:adjustRightInd/>
        <w:snapToGrid/>
        <w:spacing w:before="0" w:after="0" w:line="560" w:lineRule="atLeast"/>
        <w:ind w:firstLine="643" w:firstLineChars="200"/>
        <w:textAlignment w:val="auto"/>
        <w:rPr>
          <w:rFonts w:hint="eastAsia" w:ascii="Times New Roman" w:hAnsi="Times New Roman" w:eastAsia="仿宋_GB2312" w:cs="Times New Roman"/>
          <w:b/>
          <w:bCs w:val="0"/>
          <w:color w:val="000000" w:themeColor="text1"/>
          <w:highlight w:val="none"/>
          <w14:textFill>
            <w14:solidFill>
              <w14:schemeClr w14:val="tx1"/>
            </w14:solidFill>
          </w14:textFill>
        </w:rPr>
      </w:pPr>
      <w:bookmarkStart w:id="91" w:name="_Toc26080"/>
      <w:r>
        <w:rPr>
          <w:rFonts w:hint="eastAsia" w:ascii="Times New Roman" w:hAnsi="Times New Roman" w:eastAsia="仿宋_GB2312" w:cs="Times New Roman"/>
          <w:b/>
          <w:bCs w:val="0"/>
          <w:color w:val="000000" w:themeColor="text1"/>
          <w:highlight w:val="none"/>
          <w14:textFill>
            <w14:solidFill>
              <w14:schemeClr w14:val="tx1"/>
            </w14:solidFill>
          </w14:textFill>
        </w:rPr>
        <w:t>健全治理长效机制，夯实美丽建设根基</w:t>
      </w:r>
      <w:bookmarkEnd w:id="91"/>
    </w:p>
    <w:p w14:paraId="1C7924D5">
      <w:pPr>
        <w:pStyle w:val="7"/>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s="Times New Roman"/>
          <w:b w:val="0"/>
          <w:bCs/>
          <w:color w:val="000000" w:themeColor="text1"/>
          <w:highlight w:val="none"/>
          <w14:textFill>
            <w14:solidFill>
              <w14:schemeClr w14:val="tx1"/>
            </w14:solidFill>
          </w14:textFill>
        </w:rPr>
      </w:pPr>
      <w:r>
        <w:rPr>
          <w:rFonts w:ascii="Times New Roman" w:hAnsi="Times New Roman" w:eastAsia="仿宋_GB2312" w:cs="Times New Roman"/>
          <w:b w:val="0"/>
          <w:bCs/>
          <w:color w:val="000000" w:themeColor="text1"/>
          <w:highlight w:val="none"/>
          <w:lang w:val="en-US" w:eastAsia="zh-CN"/>
          <w14:textFill>
            <w14:solidFill>
              <w14:schemeClr w14:val="tx1"/>
            </w14:solidFill>
          </w14:textFill>
        </w:rPr>
        <w:t>为持续巩固美丽阿坝建设成果，推动生态治理、城乡建设、产业发展规范化、制度化、长效化，我县全面构建系统完备、权责清晰、监管严格、运行高效的美丽建设治理体系，全方位提升县域生态文明建设与城乡综合治理水平。健全生态环境与美丽建设信息公开机制，常态化公开空气质量、水体水质、土壤环境、项目建设、资金使用、治理成效等重点信息，畅通群众监督、社会监督渠道，保障公众知情权、参与权、监督权，营造全民共建共治共享的良好氛围。完善绩效考核与责任追究机制，将美丽河湖建设、人居环境整治、生态保护修复、污染防治、绿色发展等重点工作纳入各乡镇、各部门年度绩效考核核心内容，细化考核指标、压实主体责任，实行常态化督查、季度调度、年终考评</w:t>
      </w:r>
      <w:r>
        <w:rPr>
          <w:rFonts w:hint="eastAsia" w:ascii="Times New Roman" w:hAnsi="Times New Roman" w:cs="Times New Roman"/>
          <w:b w:val="0"/>
          <w:bCs/>
          <w:color w:val="000000" w:themeColor="text1"/>
          <w:highlight w:val="none"/>
          <w:lang w:val="en-US" w:eastAsia="zh-CN"/>
          <w14:textFill>
            <w14:solidFill>
              <w14:schemeClr w14:val="tx1"/>
            </w14:solidFill>
          </w14:textFill>
        </w:rPr>
        <w:t>。</w:t>
      </w:r>
      <w:r>
        <w:rPr>
          <w:rFonts w:ascii="Times New Roman" w:hAnsi="Times New Roman" w:eastAsia="仿宋_GB2312" w:cs="Times New Roman"/>
          <w:b w:val="0"/>
          <w:bCs/>
          <w:color w:val="000000" w:themeColor="text1"/>
          <w:highlight w:val="none"/>
          <w:lang w:val="en-US" w:eastAsia="zh-CN"/>
          <w14:textFill>
            <w14:solidFill>
              <w14:schemeClr w14:val="tx1"/>
            </w14:solidFill>
          </w14:textFill>
        </w:rPr>
        <w:t>规范项目资金使用管理机制，严格统筹生态治理、乡村建设、文旅发展、人居整治等各类专项项目资金，建立项目申报、审核、实施、验收、审计全流程闭环管理制度，严控资金使用风险，确保各类专项资金专款专用、规范使用、落地见效，最大限度发挥资金生态效益、社会效益与民生效益，为美丽阿坝常态化、长效化建设提供坚实制度保障。</w:t>
      </w:r>
    </w:p>
    <w:p w14:paraId="436C0E96">
      <w:pPr>
        <w:pStyle w:val="2"/>
        <w:keepNext w:val="0"/>
        <w:keepLines w:val="0"/>
        <w:pageBreakBefore w:val="0"/>
        <w:widowControl w:val="0"/>
        <w:numPr>
          <w:ilvl w:val="0"/>
          <w:numId w:val="1"/>
        </w:numPr>
        <w:shd w:val="clear"/>
        <w:kinsoku/>
        <w:wordWrap/>
        <w:overflowPunct/>
        <w:topLinePunct/>
        <w:autoSpaceDE/>
        <w:autoSpaceDN/>
        <w:bidi w:val="0"/>
        <w:adjustRightInd/>
        <w:snapToGrid/>
        <w:spacing w:before="0" w:after="0" w:line="560" w:lineRule="atLeast"/>
        <w:ind w:firstLine="643" w:firstLineChars="200"/>
        <w:jc w:val="left"/>
        <w:textAlignment w:val="auto"/>
        <w:rPr>
          <w:rFonts w:hint="eastAsia" w:ascii="宋体" w:hAnsi="宋体" w:eastAsia="黑体" w:cs="Times New Roman"/>
          <w:bCs/>
          <w:color w:val="000000" w:themeColor="text1"/>
          <w:sz w:val="32"/>
          <w:szCs w:val="48"/>
          <w:highlight w:val="none"/>
          <w14:textFill>
            <w14:solidFill>
              <w14:schemeClr w14:val="tx1"/>
            </w14:solidFill>
          </w14:textFill>
        </w:rPr>
      </w:pPr>
      <w:bookmarkStart w:id="92" w:name="_Toc27802"/>
      <w:r>
        <w:rPr>
          <w:rFonts w:hint="eastAsia" w:ascii="宋体" w:hAnsi="宋体" w:eastAsia="黑体" w:cs="Times New Roman"/>
          <w:bCs/>
          <w:color w:val="000000" w:themeColor="text1"/>
          <w:sz w:val="32"/>
          <w:szCs w:val="48"/>
          <w:highlight w:val="none"/>
          <w14:textFill>
            <w14:solidFill>
              <w14:schemeClr w14:val="tx1"/>
            </w14:solidFill>
          </w14:textFill>
        </w:rPr>
        <w:t>保障措施</w:t>
      </w:r>
      <w:bookmarkEnd w:id="92"/>
    </w:p>
    <w:p w14:paraId="2962B278">
      <w:pPr>
        <w:pStyle w:val="3"/>
        <w:pageBreakBefore w:val="0"/>
        <w:widowControl w:val="0"/>
        <w:numPr>
          <w:ilvl w:val="0"/>
          <w:numId w:val="18"/>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auto"/>
          <w:szCs w:val="32"/>
          <w:highlight w:val="none"/>
        </w:rPr>
      </w:pPr>
      <w:bookmarkStart w:id="93" w:name="_Toc28141"/>
      <w:r>
        <w:rPr>
          <w:rFonts w:hint="eastAsia" w:ascii="方正楷体_GB2312" w:hAnsi="方正楷体_GB2312" w:eastAsia="方正楷体_GB2312" w:cs="方正楷体_GB2312"/>
          <w:color w:val="auto"/>
          <w:szCs w:val="32"/>
          <w:highlight w:val="none"/>
        </w:rPr>
        <w:t>强化组织领导，压实工作推进责任</w:t>
      </w:r>
      <w:bookmarkEnd w:id="93"/>
    </w:p>
    <w:p w14:paraId="4C4F7C97">
      <w:pPr>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坚持党对美丽阿坝建设工作的全面领导，县委、县政府坚决扛起生态文明建设和美丽阿坝建设主体政治责任，将美丽阿坝建设作为推动全县高质量发展、筑牢黄河上游生态屏障的总抓手和核心载体，纳入全县重点工作常态化研究部署、统筹推进。健全“党委统一领导、政府统筹落实、部门协同联动、乡镇具体实施”的工作推进体系，细化各部门、各乡镇职责清单，明确任务分工、时间节点和工作标准。完善常态化调度、专项督查、考核评价、奖惩问责工作机制，将美丽阿坝建设成效纳入年度绩效考核重点内容，层层压实工作责任，彻底打通工作落实堵点难点，构建各司其职、齐抓共管、全域联动的高效工作格局。</w:t>
      </w:r>
    </w:p>
    <w:p w14:paraId="7AFAF0F4">
      <w:pPr>
        <w:pStyle w:val="3"/>
        <w:pageBreakBefore w:val="0"/>
        <w:widowControl w:val="0"/>
        <w:numPr>
          <w:ilvl w:val="0"/>
          <w:numId w:val="18"/>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auto"/>
          <w:szCs w:val="32"/>
          <w:highlight w:val="none"/>
        </w:rPr>
      </w:pPr>
      <w:bookmarkStart w:id="94" w:name="_Toc22042"/>
      <w:r>
        <w:rPr>
          <w:rFonts w:hint="eastAsia" w:ascii="方正楷体_GB2312" w:hAnsi="方正楷体_GB2312" w:eastAsia="方正楷体_GB2312" w:cs="方正楷体_GB2312"/>
          <w:color w:val="auto"/>
          <w:szCs w:val="32"/>
          <w:highlight w:val="none"/>
        </w:rPr>
        <w:t>深化政策衔接，健全制度保障体系</w:t>
      </w:r>
      <w:bookmarkEnd w:id="94"/>
    </w:p>
    <w:p w14:paraId="12F531EA">
      <w:pPr>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立足阿坝县生态禀赋、区位优势和产业特色，高质量编制落实美丽阿坝建设实施方案，严格对标美丽四川、美丽阿坝建设总体部署，精准衔接县域国民经济和社会发展规划、国土空间总体规划、生态保护修复、乡村振兴、文旅发展等各类专项规划，确保各项建设任务、指标体系、重点项目无缝对接、一体推进。围绕生态保护修复、人居环境整治、绿色产业发展、城乡风貌提升、文旅融合发展等重点领域，因地制宜出台配套政策措施，完善本土化、可落地、可操作的政策支撑体系。主动加强与省州主管部门对接汇报，积极争取上级重大政策、试点示范、制度创新等支持，推动上级各项部署要求在县域落地生根、见行见效。</w:t>
      </w:r>
    </w:p>
    <w:p w14:paraId="7BBAEC89">
      <w:pPr>
        <w:pStyle w:val="3"/>
        <w:pageBreakBefore w:val="0"/>
        <w:widowControl w:val="0"/>
        <w:numPr>
          <w:ilvl w:val="0"/>
          <w:numId w:val="18"/>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auto"/>
          <w:szCs w:val="32"/>
          <w:highlight w:val="none"/>
        </w:rPr>
      </w:pPr>
      <w:bookmarkStart w:id="95" w:name="_Toc4882"/>
      <w:r>
        <w:rPr>
          <w:rFonts w:hint="eastAsia" w:ascii="方正楷体_GB2312" w:hAnsi="方正楷体_GB2312" w:eastAsia="方正楷体_GB2312" w:cs="方正楷体_GB2312"/>
          <w:color w:val="auto"/>
          <w:szCs w:val="32"/>
          <w:highlight w:val="none"/>
        </w:rPr>
        <w:t>加大资金投入，拓宽多元融资渠道</w:t>
      </w:r>
      <w:bookmarkEnd w:id="95"/>
    </w:p>
    <w:p w14:paraId="0BF461D9">
      <w:pPr>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坚持把美丽阿坝建设作为财政投入的重点保障领域，持续优化财政支出结构，确保财政资金投入与全县生态保护、城乡建设、产业发展、民生改善等建设任务相匹配、同推进。统筹整合生态环保、乡村振兴、文旅发展、清洁能源、生态修复等各类专项资金、政府投资基金和地方政府专项债券，集中力量保障重点工程、重大项目落地实施。创新投融资模式，坚持“政府引导、市场运作、社会参与”原则，完善社会资本参与机制，通过产业合作、资源入股等多种方式，积极引导、鼓励和撬动社会资本深度参与生态治理、基础设施提升、绿色产业培育、美丽城乡建设等领域，构建财政投入为主、社会资本补充、多元协同的资金保障格局。</w:t>
      </w:r>
    </w:p>
    <w:p w14:paraId="11121BD0">
      <w:pPr>
        <w:pStyle w:val="3"/>
        <w:keepNext w:val="0"/>
        <w:keepLines/>
        <w:pageBreakBefore w:val="0"/>
        <w:widowControl w:val="0"/>
        <w:numPr>
          <w:ilvl w:val="0"/>
          <w:numId w:val="18"/>
        </w:numPr>
        <w:shd w:val="clear"/>
        <w:kinsoku/>
        <w:wordWrap/>
        <w:overflowPunct/>
        <w:topLinePunct w:val="0"/>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auto"/>
          <w:szCs w:val="32"/>
          <w:highlight w:val="none"/>
        </w:rPr>
      </w:pPr>
      <w:bookmarkStart w:id="96" w:name="_Toc3549"/>
      <w:r>
        <w:rPr>
          <w:rFonts w:hint="eastAsia" w:ascii="方正楷体_GB2312" w:hAnsi="方正楷体_GB2312" w:eastAsia="方正楷体_GB2312" w:cs="方正楷体_GB2312"/>
          <w:color w:val="auto"/>
          <w:szCs w:val="32"/>
          <w:highlight w:val="none"/>
        </w:rPr>
        <w:t>聚焦项目赋能，夯实建设硬件支撑</w:t>
      </w:r>
      <w:bookmarkEnd w:id="96"/>
    </w:p>
    <w:p w14:paraId="1E16D351">
      <w:pPr>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牢固树立“项目为王”理念，将重大项目作为美丽阿坝建设落地见效的核心载体，紧扣生态屏障建设、绿色产业发展、人居环境提质、全域文旅升级四大重点方向，推动美丽建设与生态旅游、特色农牧、中藏医药、清洁能源、山水林田湖草沙一体化治理、乡村振兴等领域深度融合、一体谋划。聚焦生态保护修复、城乡基础设施、绿色产业培育、公共服务提升等重点领域，系统谋划储备一批标志性、引领性、支撑性强的美丽建设重点工程和示范项目。积极争取纳入美丽四川、美丽阿坝重大项目库和重点扶持项目清单，健全项目谋划、申报、推进、管护全链条工作机制，强化土地、能耗、资金等要素保障，实行项目清单化管理、常态化调度、闭环式推进，以高质量项目支撑美丽阿坝建设高质量发展。</w:t>
      </w:r>
    </w:p>
    <w:p w14:paraId="4C0811FA">
      <w:pPr>
        <w:pStyle w:val="3"/>
        <w:pageBreakBefore w:val="0"/>
        <w:widowControl w:val="0"/>
        <w:numPr>
          <w:ilvl w:val="0"/>
          <w:numId w:val="18"/>
        </w:numPr>
        <w:shd w:val="clear"/>
        <w:kinsoku/>
        <w:wordWrap/>
        <w:overflowPunct/>
        <w:autoSpaceDE/>
        <w:autoSpaceDN/>
        <w:bidi w:val="0"/>
        <w:adjustRightInd/>
        <w:snapToGrid/>
        <w:spacing w:before="0" w:after="0" w:line="560" w:lineRule="atLeast"/>
        <w:ind w:left="-221" w:firstLine="643" w:firstLineChars="200"/>
        <w:textAlignment w:val="auto"/>
        <w:rPr>
          <w:rFonts w:hint="eastAsia" w:ascii="方正楷体_GB2312" w:hAnsi="方正楷体_GB2312" w:eastAsia="方正楷体_GB2312" w:cs="方正楷体_GB2312"/>
          <w:color w:val="auto"/>
          <w:szCs w:val="32"/>
          <w:highlight w:val="none"/>
        </w:rPr>
      </w:pPr>
      <w:bookmarkStart w:id="97" w:name="_Toc4562"/>
      <w:r>
        <w:rPr>
          <w:rFonts w:hint="eastAsia" w:ascii="方正楷体_GB2312" w:hAnsi="方正楷体_GB2312" w:eastAsia="方正楷体_GB2312" w:cs="方正楷体_GB2312"/>
          <w:color w:val="auto"/>
          <w:szCs w:val="32"/>
          <w:highlight w:val="none"/>
        </w:rPr>
        <w:t>浓厚宣传氛围，构建全民共建格局</w:t>
      </w:r>
      <w:bookmarkEnd w:id="97"/>
    </w:p>
    <w:p w14:paraId="00F5BC9F">
      <w:pPr>
        <w:pageBreakBefore w:val="0"/>
        <w:widowControl w:val="0"/>
        <w:shd w:val="clear"/>
        <w:kinsoku/>
        <w:wordWrap/>
        <w:overflowPunct/>
        <w:autoSpaceDE/>
        <w:autoSpaceDN/>
        <w:bidi w:val="0"/>
        <w:adjustRightInd/>
        <w:snapToGrid/>
        <w:spacing w:line="560" w:lineRule="atLeas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持续加大美丽阿坝建设宣传力度，依托新媒体平台、基层阵地、乡村宣讲、民俗活动等多元载体，全方位、多角度宣传美丽阿坝建设重大意义、目标任务、政策举措和工作成效。深入挖掘总结县域生态保护、产业发展、人居环境整治、民族团结共建等领域的典型案例、特色做法和成功经验，积极开展对外宣传推介，讲好阿坝生态保护、绿色发展、民族团结的“高原故事”。健全正向激励机制，常态化开展先进集体、先进个人评选表彰，充分调动干部群众、市场主体、社会组织的主动性和创造性。广泛普及生态文明理念，引导群众自觉参与生态保护、环境治理、家园共建，持续营造政府引领、部门联动、社会协同、全民参与、共建共享的浓厚社会氛围，让各族群众成为美丽阿坝建设的参与者、推动者和直接受益者。</w:t>
      </w:r>
    </w:p>
    <w:p w14:paraId="6B59C240">
      <w:pPr>
        <w:pStyle w:val="2"/>
        <w:keepNext w:val="0"/>
        <w:keepLines w:val="0"/>
        <w:pageBreakBefore w:val="0"/>
        <w:widowControl w:val="0"/>
        <w:numPr>
          <w:ilvl w:val="0"/>
          <w:numId w:val="1"/>
        </w:numPr>
        <w:shd w:val="clear"/>
        <w:kinsoku/>
        <w:wordWrap/>
        <w:overflowPunct/>
        <w:topLinePunct/>
        <w:autoSpaceDE/>
        <w:autoSpaceDN/>
        <w:bidi w:val="0"/>
        <w:adjustRightInd/>
        <w:snapToGrid/>
        <w:spacing w:before="0" w:after="0" w:line="560" w:lineRule="atLeast"/>
        <w:ind w:firstLine="643" w:firstLineChars="200"/>
        <w:jc w:val="left"/>
        <w:textAlignment w:val="auto"/>
        <w:rPr>
          <w:rFonts w:hint="eastAsia" w:ascii="宋体" w:hAnsi="宋体" w:eastAsia="黑体" w:cs="Times New Roman"/>
          <w:bCs/>
          <w:color w:val="000000" w:themeColor="text1"/>
          <w:sz w:val="32"/>
          <w:szCs w:val="48"/>
          <w:highlight w:val="none"/>
          <w14:textFill>
            <w14:solidFill>
              <w14:schemeClr w14:val="tx1"/>
            </w14:solidFill>
          </w14:textFill>
        </w:rPr>
      </w:pPr>
      <w:bookmarkStart w:id="98" w:name="_Toc19621"/>
      <w:r>
        <w:rPr>
          <w:rFonts w:hint="eastAsia" w:ascii="宋体" w:hAnsi="宋体" w:eastAsia="黑体" w:cs="Times New Roman"/>
          <w:bCs/>
          <w:color w:val="000000" w:themeColor="text1"/>
          <w:sz w:val="32"/>
          <w:szCs w:val="48"/>
          <w:highlight w:val="none"/>
          <w14:textFill>
            <w14:solidFill>
              <w14:schemeClr w14:val="tx1"/>
            </w14:solidFill>
          </w14:textFill>
        </w:rPr>
        <w:t>重点工程</w:t>
      </w:r>
      <w:bookmarkEnd w:id="98"/>
    </w:p>
    <w:p w14:paraId="6D7DEF5C">
      <w:pPr>
        <w:pageBreakBefore w:val="0"/>
        <w:widowControl w:val="0"/>
        <w:shd w:val="clear"/>
        <w:kinsoku/>
        <w:wordWrap/>
        <w:overflowPunct/>
        <w:autoSpaceDE/>
        <w:autoSpaceDN/>
        <w:bidi w:val="0"/>
        <w:adjustRightInd/>
        <w:snapToGrid/>
        <w:spacing w:line="560" w:lineRule="atLeast"/>
        <w:ind w:firstLine="643" w:firstLineChars="200"/>
        <w:textAlignment w:val="auto"/>
        <w:rPr>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sz w:val="32"/>
          <w:highlight w:val="none"/>
          <w14:textFill>
            <w14:solidFill>
              <w14:schemeClr w14:val="tx1"/>
            </w14:solidFill>
          </w14:textFill>
        </w:rPr>
        <w:t>美丽</w:t>
      </w:r>
      <w:r>
        <w:rPr>
          <w:rFonts w:hint="eastAsia" w:ascii="仿宋_GB2312" w:hAnsi="仿宋_GB2312" w:eastAsia="仿宋_GB2312" w:cs="仿宋_GB2312"/>
          <w:b/>
          <w:bCs/>
          <w:color w:val="000000" w:themeColor="text1"/>
          <w:sz w:val="32"/>
          <w:highlight w:val="none"/>
          <w:lang w:val="en-US" w:eastAsia="zh-CN"/>
          <w14:textFill>
            <w14:solidFill>
              <w14:schemeClr w14:val="tx1"/>
            </w14:solidFill>
          </w14:textFill>
        </w:rPr>
        <w:t>山川</w:t>
      </w:r>
      <w:r>
        <w:rPr>
          <w:rFonts w:hint="eastAsia" w:ascii="仿宋_GB2312" w:hAnsi="仿宋_GB2312" w:eastAsia="仿宋_GB2312" w:cs="仿宋_GB2312"/>
          <w:b/>
          <w:bCs/>
          <w:color w:val="000000" w:themeColor="text1"/>
          <w:sz w:val="32"/>
          <w:highlight w:val="none"/>
          <w14:textFill>
            <w14:solidFill>
              <w14:schemeClr w14:val="tx1"/>
            </w14:solidFill>
          </w14:textFill>
        </w:rPr>
        <w:t>重点工程。</w:t>
      </w:r>
      <w:r>
        <w:rPr>
          <w:rFonts w:hint="eastAsia" w:ascii="仿宋_GB2312" w:hAnsi="仿宋_GB2312" w:eastAsia="仿宋_GB2312" w:cs="仿宋_GB2312"/>
          <w:color w:val="000000" w:themeColor="text1"/>
          <w:sz w:val="32"/>
          <w:highlight w:val="none"/>
          <w14:textFill>
            <w14:solidFill>
              <w14:schemeClr w14:val="tx1"/>
            </w14:solidFill>
          </w14:textFill>
        </w:rPr>
        <w:t>在全县范围内开展防洪堤防、侵蚀沟、小流域水土流失综合治理，推进河道整治、护岸修建等水保工程；实施人工造林、封山育林、退化林修复、人工种草、天然草原改良、围栏封育等林草修复举措，开展大面积退化草原治理、草原鼠害综合防治与高寒草地板结化草地治理。推进多处湿地公园、自然保护区、国家公园湿地生态修复、植被恢复工作，完善湿地拦水坝、生态护岸、引水工程等设施。建设野生动植物栖息地，搭建湿地、大气、水文、气象、生物多样性等生态监测系统，配套生态巡护、防灭火基础设施与林草湿综合管护站点。开展野生动植物本底调查，升级国家公园、自然保护区管护管理能力，落实森林草原防灭火通道、防火卡点等防火工程。同步推进集体公益林、湿地生态效益补偿，开发生态护林员岗位，并建设生态科普宣教展厅、室外景观等宣教设施，全方位守护区域林草湿地生态与生物多样性。</w:t>
      </w:r>
      <w:r>
        <w:rPr>
          <w:rFonts w:ascii="Times New Roman" w:hAnsi="Times New Roman" w:eastAsia="仿宋_GB2312" w:cs="Times New Roman"/>
          <w:color w:val="000000" w:themeColor="text1"/>
          <w:sz w:val="32"/>
          <w:highlight w:val="none"/>
          <w14:textFill>
            <w14:solidFill>
              <w14:schemeClr w14:val="tx1"/>
            </w14:solidFill>
          </w14:textFill>
        </w:rPr>
        <w:t>至2030年，预计实施美丽</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山川</w:t>
      </w:r>
      <w:r>
        <w:rPr>
          <w:rFonts w:ascii="Times New Roman" w:hAnsi="Times New Roman" w:eastAsia="仿宋_GB2312" w:cs="Times New Roman"/>
          <w:color w:val="000000" w:themeColor="text1"/>
          <w:sz w:val="32"/>
          <w:highlight w:val="none"/>
          <w14:textFill>
            <w14:solidFill>
              <w14:schemeClr w14:val="tx1"/>
            </w14:solidFill>
          </w14:textFill>
        </w:rPr>
        <w:t>重点工程</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22</w:t>
      </w:r>
      <w:r>
        <w:rPr>
          <w:rFonts w:ascii="Times New Roman" w:hAnsi="Times New Roman" w:eastAsia="仿宋_GB2312" w:cs="Times New Roman"/>
          <w:color w:val="000000" w:themeColor="text1"/>
          <w:sz w:val="32"/>
          <w:highlight w:val="none"/>
          <w14:textFill>
            <w14:solidFill>
              <w14:schemeClr w14:val="tx1"/>
            </w14:solidFill>
          </w14:textFill>
        </w:rPr>
        <w:t>项，总投资</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108783.95</w:t>
      </w:r>
      <w:r>
        <w:rPr>
          <w:rFonts w:ascii="Times New Roman" w:hAnsi="Times New Roman" w:eastAsia="仿宋_GB2312" w:cs="Times New Roman"/>
          <w:color w:val="000000" w:themeColor="text1"/>
          <w:sz w:val="32"/>
          <w:highlight w:val="none"/>
          <w14:textFill>
            <w14:solidFill>
              <w14:schemeClr w14:val="tx1"/>
            </w14:solidFill>
          </w14:textFill>
        </w:rPr>
        <w:t>万元。</w:t>
      </w:r>
    </w:p>
    <w:p w14:paraId="13547BA9">
      <w:pPr>
        <w:pageBreakBefore w:val="0"/>
        <w:widowControl w:val="0"/>
        <w:shd w:val="clear"/>
        <w:kinsoku/>
        <w:wordWrap/>
        <w:overflowPunct/>
        <w:autoSpaceDE/>
        <w:autoSpaceDN/>
        <w:bidi w:val="0"/>
        <w:adjustRightInd/>
        <w:snapToGrid/>
        <w:spacing w:line="560" w:lineRule="atLeast"/>
        <w:ind w:firstLine="643" w:firstLineChars="200"/>
        <w:textAlignment w:val="auto"/>
        <w:rPr>
          <w:rFonts w:ascii="Times New Roman" w:hAnsi="Times New Roman" w:eastAsia="仿宋_GB2312" w:cs="Times New Roman"/>
          <w:color w:val="0000FF"/>
          <w:sz w:val="32"/>
          <w:highlight w:val="none"/>
        </w:rPr>
      </w:pPr>
      <w:r>
        <w:rPr>
          <w:rFonts w:hint="eastAsia" w:ascii="仿宋_GB2312" w:hAnsi="仿宋_GB2312" w:eastAsia="仿宋_GB2312" w:cs="仿宋_GB2312"/>
          <w:b/>
          <w:bCs/>
          <w:color w:val="000000" w:themeColor="text1"/>
          <w:sz w:val="32"/>
          <w:highlight w:val="none"/>
          <w14:textFill>
            <w14:solidFill>
              <w14:schemeClr w14:val="tx1"/>
            </w14:solidFill>
          </w14:textFill>
        </w:rPr>
        <w:t>美丽</w:t>
      </w:r>
      <w:r>
        <w:rPr>
          <w:rFonts w:hint="eastAsia" w:ascii="仿宋_GB2312" w:hAnsi="仿宋_GB2312" w:eastAsia="仿宋_GB2312" w:cs="仿宋_GB2312"/>
          <w:b/>
          <w:bCs/>
          <w:color w:val="000000" w:themeColor="text1"/>
          <w:sz w:val="32"/>
          <w:highlight w:val="none"/>
          <w:lang w:val="en-US" w:eastAsia="zh-CN"/>
          <w14:textFill>
            <w14:solidFill>
              <w14:schemeClr w14:val="tx1"/>
            </w14:solidFill>
          </w14:textFill>
        </w:rPr>
        <w:t>河湖</w:t>
      </w:r>
      <w:r>
        <w:rPr>
          <w:rFonts w:hint="eastAsia" w:ascii="仿宋_GB2312" w:hAnsi="仿宋_GB2312" w:eastAsia="仿宋_GB2312" w:cs="仿宋_GB2312"/>
          <w:b/>
          <w:bCs/>
          <w:color w:val="000000" w:themeColor="text1"/>
          <w:sz w:val="32"/>
          <w:highlight w:val="none"/>
          <w14:textFill>
            <w14:solidFill>
              <w14:schemeClr w14:val="tx1"/>
            </w14:solidFill>
          </w14:textFill>
        </w:rPr>
        <w:t>重点工程。</w:t>
      </w:r>
      <w:r>
        <w:rPr>
          <w:rFonts w:hint="eastAsia" w:ascii="仿宋_GB2312" w:hAnsi="仿宋_GB2312" w:eastAsia="仿宋_GB2312" w:cs="仿宋_GB2312"/>
          <w:b w:val="0"/>
          <w:bCs w:val="0"/>
          <w:color w:val="000000" w:themeColor="text1"/>
          <w:sz w:val="32"/>
          <w:highlight w:val="none"/>
          <w:lang w:val="en-US" w:eastAsia="zh-CN"/>
          <w14:textFill>
            <w14:solidFill>
              <w14:schemeClr w14:val="tx1"/>
            </w14:solidFill>
          </w14:textFill>
        </w:rPr>
        <w:t>全域推进多条河道、流域水生态综合治理，大规模新建、分段实施生态护岸、防洪护岸工程，提升河道行洪与生态防护能力。推进各村镇污水管网新建、改造工程，配套建设污水处理厂，完善乡村污水收集处理体系。开展地下水生态环境状况调查评估，排查环境风险、明确污染防治方向；对集中式饮用水水源地实施规范化建设，布设隔离防护网、监控、标识标牌等设施，筑牢饮水安全防线。同步搭建防汛抗旱信息化管理系统，以数字化手段提升河湖、水利综合管控水平。</w:t>
      </w:r>
      <w:r>
        <w:rPr>
          <w:rFonts w:ascii="Times New Roman" w:hAnsi="Times New Roman" w:eastAsia="仿宋_GB2312" w:cs="Times New Roman"/>
          <w:color w:val="000000" w:themeColor="text1"/>
          <w:sz w:val="32"/>
          <w:highlight w:val="none"/>
          <w14:textFill>
            <w14:solidFill>
              <w14:schemeClr w14:val="tx1"/>
            </w14:solidFill>
          </w14:textFill>
        </w:rPr>
        <w:t>至2030年，预计实施美丽</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河湖</w:t>
      </w:r>
      <w:r>
        <w:rPr>
          <w:rFonts w:ascii="Times New Roman" w:hAnsi="Times New Roman" w:eastAsia="仿宋_GB2312" w:cs="Times New Roman"/>
          <w:color w:val="000000" w:themeColor="text1"/>
          <w:sz w:val="32"/>
          <w:highlight w:val="none"/>
          <w14:textFill>
            <w14:solidFill>
              <w14:schemeClr w14:val="tx1"/>
            </w14:solidFill>
          </w14:textFill>
        </w:rPr>
        <w:t>重点工程</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9</w:t>
      </w:r>
      <w:r>
        <w:rPr>
          <w:rFonts w:ascii="Times New Roman" w:hAnsi="Times New Roman" w:eastAsia="仿宋_GB2312" w:cs="Times New Roman"/>
          <w:color w:val="000000" w:themeColor="text1"/>
          <w:sz w:val="32"/>
          <w:highlight w:val="none"/>
          <w14:textFill>
            <w14:solidFill>
              <w14:schemeClr w14:val="tx1"/>
            </w14:solidFill>
          </w14:textFill>
        </w:rPr>
        <w:t>项，总投资</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32318</w:t>
      </w:r>
      <w:r>
        <w:rPr>
          <w:rFonts w:ascii="Times New Roman" w:hAnsi="Times New Roman" w:eastAsia="仿宋_GB2312" w:cs="Times New Roman"/>
          <w:color w:val="000000" w:themeColor="text1"/>
          <w:sz w:val="32"/>
          <w:highlight w:val="none"/>
          <w14:textFill>
            <w14:solidFill>
              <w14:schemeClr w14:val="tx1"/>
            </w14:solidFill>
          </w14:textFill>
        </w:rPr>
        <w:t>万元。</w:t>
      </w:r>
    </w:p>
    <w:p w14:paraId="54E235BC">
      <w:pPr>
        <w:pStyle w:val="7"/>
        <w:pageBreakBefore w:val="0"/>
        <w:widowControl w:val="0"/>
        <w:shd w:val="clear"/>
        <w:kinsoku/>
        <w:wordWrap/>
        <w:overflowPunct/>
        <w:autoSpaceDE/>
        <w:autoSpaceDN/>
        <w:bidi w:val="0"/>
        <w:adjustRightInd/>
        <w:snapToGrid/>
        <w:spacing w:line="560" w:lineRule="atLeast"/>
        <w:ind w:firstLine="643" w:firstLineChars="200"/>
        <w:textAlignment w:val="auto"/>
        <w:rPr>
          <w:rFonts w:hint="eastAsia" w:ascii="仿宋_GB2312" w:hAnsi="仿宋_GB2312" w:eastAsia="仿宋_GB2312" w:cs="仿宋_GB2312"/>
          <w:color w:val="0000FF"/>
          <w:highlight w:val="none"/>
        </w:rPr>
      </w:pPr>
      <w:r>
        <w:rPr>
          <w:rFonts w:hint="eastAsia" w:ascii="仿宋_GB2312" w:hAnsi="仿宋_GB2312" w:eastAsia="仿宋_GB2312" w:cs="仿宋_GB2312"/>
          <w:b/>
          <w:bCs/>
          <w:color w:val="000000" w:themeColor="text1"/>
          <w:highlight w:val="none"/>
          <w14:textFill>
            <w14:solidFill>
              <w14:schemeClr w14:val="tx1"/>
            </w14:solidFill>
          </w14:textFill>
        </w:rPr>
        <w:t>美丽</w:t>
      </w:r>
      <w:r>
        <w:rPr>
          <w:rFonts w:hint="eastAsia" w:ascii="仿宋_GB2312" w:hAnsi="仿宋_GB2312" w:cs="仿宋_GB2312"/>
          <w:b/>
          <w:bCs/>
          <w:color w:val="000000" w:themeColor="text1"/>
          <w:highlight w:val="none"/>
          <w:lang w:val="en-US" w:eastAsia="zh-CN"/>
          <w14:textFill>
            <w14:solidFill>
              <w14:schemeClr w14:val="tx1"/>
            </w14:solidFill>
          </w14:textFill>
        </w:rPr>
        <w:t>城市重点工程</w:t>
      </w:r>
      <w:r>
        <w:rPr>
          <w:rFonts w:hint="eastAsia" w:ascii="仿宋_GB2312" w:hAnsi="仿宋_GB2312" w:eastAsia="仿宋_GB2312" w:cs="仿宋_GB2312"/>
          <w:b/>
          <w:bCs/>
          <w:color w:val="000000" w:themeColor="text1"/>
          <w:highlight w:val="none"/>
          <w14:textFill>
            <w14:solidFill>
              <w14:schemeClr w14:val="tx1"/>
            </w14:solidFill>
          </w14:textFill>
        </w:rPr>
        <w:t>。</w:t>
      </w:r>
      <w:r>
        <w:rPr>
          <w:rFonts w:hint="eastAsia" w:ascii="仿宋_GB2312" w:hAnsi="仿宋_GB2312" w:eastAsia="仿宋_GB2312" w:cs="仿宋_GB2312"/>
          <w:b w:val="0"/>
          <w:bCs w:val="0"/>
          <w:color w:val="000000" w:themeColor="text1"/>
          <w:highlight w:val="none"/>
          <w14:textFill>
            <w14:solidFill>
              <w14:schemeClr w14:val="tx1"/>
            </w14:solidFill>
          </w14:textFill>
        </w:rPr>
        <w:t>统筹推进城镇环境基础设施升级，新建垃圾分拣中心、垃圾焚烧及配套设施，改造乡镇垃圾中转站、填埋场，完善生活垃圾收转运、厨余垃圾资源化利用体系。实施市政污水管网，扩建、升级城区污水处理厂，补齐城市排水治污短板。建设大型输水工程、完善城乡供水体系，提升全域供水保障能力。改造提升县城垃圾收转运环卫设施，搭建智慧化环卫管理系统。打造城市口袋公园，改造完善道路、给排水、照明</w:t>
      </w:r>
      <w:r>
        <w:rPr>
          <w:rFonts w:hint="eastAsia" w:ascii="仿宋_GB2312" w:hAnsi="仿宋_GB2312" w:cs="仿宋_GB2312"/>
          <w:b w:val="0"/>
          <w:bCs w:val="0"/>
          <w:color w:val="000000" w:themeColor="text1"/>
          <w:highlight w:val="none"/>
          <w:lang w:val="en-US" w:eastAsia="zh-CN"/>
          <w14:textFill>
            <w14:solidFill>
              <w14:schemeClr w14:val="tx1"/>
            </w14:solidFill>
          </w14:textFill>
        </w:rPr>
        <w:t>系统</w:t>
      </w:r>
      <w:r>
        <w:rPr>
          <w:rFonts w:hint="eastAsia" w:ascii="仿宋_GB2312" w:hAnsi="仿宋_GB2312" w:eastAsia="仿宋_GB2312" w:cs="仿宋_GB2312"/>
          <w:b w:val="0"/>
          <w:bCs w:val="0"/>
          <w:color w:val="000000" w:themeColor="text1"/>
          <w:highlight w:val="none"/>
          <w14:textFill>
            <w14:solidFill>
              <w14:schemeClr w14:val="tx1"/>
            </w14:solidFill>
          </w14:textFill>
        </w:rPr>
        <w:t>等</w:t>
      </w:r>
      <w:r>
        <w:rPr>
          <w:rFonts w:hint="eastAsia" w:ascii="仿宋_GB2312" w:hAnsi="仿宋_GB2312" w:cs="仿宋_GB2312"/>
          <w:b w:val="0"/>
          <w:bCs w:val="0"/>
          <w:color w:val="000000" w:themeColor="text1"/>
          <w:highlight w:val="none"/>
          <w:lang w:val="en-US" w:eastAsia="zh-CN"/>
          <w14:textFill>
            <w14:solidFill>
              <w14:schemeClr w14:val="tx1"/>
            </w14:solidFill>
          </w14:textFill>
        </w:rPr>
        <w:t>基础</w:t>
      </w:r>
      <w:r>
        <w:rPr>
          <w:rFonts w:hint="eastAsia" w:ascii="仿宋_GB2312" w:hAnsi="仿宋_GB2312" w:eastAsia="仿宋_GB2312" w:cs="仿宋_GB2312"/>
          <w:b w:val="0"/>
          <w:bCs w:val="0"/>
          <w:color w:val="000000" w:themeColor="text1"/>
          <w:highlight w:val="none"/>
          <w14:textFill>
            <w14:solidFill>
              <w14:schemeClr w14:val="tx1"/>
            </w14:solidFill>
          </w14:textFill>
        </w:rPr>
        <w:t>配套设施，优化城市人居环境，补齐高原城市公共服务配套。</w:t>
      </w:r>
      <w:r>
        <w:rPr>
          <w:rFonts w:ascii="Times New Roman" w:hAnsi="Times New Roman" w:eastAsia="仿宋_GB2312"/>
          <w:color w:val="000000" w:themeColor="text1"/>
          <w:highlight w:val="none"/>
          <w14:textFill>
            <w14:solidFill>
              <w14:schemeClr w14:val="tx1"/>
            </w14:solidFill>
          </w14:textFill>
        </w:rPr>
        <w:t>至2030年，预计实施美丽</w:t>
      </w:r>
      <w:r>
        <w:rPr>
          <w:rFonts w:hint="eastAsia" w:ascii="Times New Roman" w:hAnsi="Times New Roman"/>
          <w:color w:val="000000" w:themeColor="text1"/>
          <w:highlight w:val="none"/>
          <w:lang w:val="en-US" w:eastAsia="zh-CN"/>
          <w14:textFill>
            <w14:solidFill>
              <w14:schemeClr w14:val="tx1"/>
            </w14:solidFill>
          </w14:textFill>
        </w:rPr>
        <w:t>城市</w:t>
      </w:r>
      <w:r>
        <w:rPr>
          <w:rFonts w:ascii="Times New Roman" w:hAnsi="Times New Roman" w:eastAsia="仿宋_GB2312"/>
          <w:color w:val="000000" w:themeColor="text1"/>
          <w:highlight w:val="none"/>
          <w14:textFill>
            <w14:solidFill>
              <w14:schemeClr w14:val="tx1"/>
            </w14:solidFill>
          </w14:textFill>
        </w:rPr>
        <w:t>重点工程</w:t>
      </w:r>
      <w:r>
        <w:rPr>
          <w:rFonts w:hint="eastAsia" w:ascii="Times New Roman" w:hAnsi="Times New Roman"/>
          <w:color w:val="000000" w:themeColor="text1"/>
          <w:highlight w:val="none"/>
          <w:lang w:val="en-US" w:eastAsia="zh-CN"/>
          <w14:textFill>
            <w14:solidFill>
              <w14:schemeClr w14:val="tx1"/>
            </w14:solidFill>
          </w14:textFill>
        </w:rPr>
        <w:t>7</w:t>
      </w:r>
      <w:r>
        <w:rPr>
          <w:rFonts w:ascii="Times New Roman" w:hAnsi="Times New Roman" w:eastAsia="仿宋_GB2312"/>
          <w:color w:val="000000" w:themeColor="text1"/>
          <w:highlight w:val="none"/>
          <w14:textFill>
            <w14:solidFill>
              <w14:schemeClr w14:val="tx1"/>
            </w14:solidFill>
          </w14:textFill>
        </w:rPr>
        <w:t>项，总投资</w:t>
      </w:r>
      <w:r>
        <w:rPr>
          <w:rFonts w:hint="eastAsia" w:ascii="Times New Roman" w:hAnsi="Times New Roman"/>
          <w:color w:val="000000" w:themeColor="text1"/>
          <w:highlight w:val="none"/>
          <w:lang w:val="en-US" w:eastAsia="zh-CN"/>
          <w14:textFill>
            <w14:solidFill>
              <w14:schemeClr w14:val="tx1"/>
            </w14:solidFill>
          </w14:textFill>
        </w:rPr>
        <w:t>5645</w:t>
      </w:r>
      <w:r>
        <w:rPr>
          <w:rFonts w:hint="eastAsia" w:ascii="Times New Roman" w:hAnsi="Times New Roman" w:eastAsia="仿宋_GB2312"/>
          <w:color w:val="000000" w:themeColor="text1"/>
          <w:highlight w:val="none"/>
          <w14:textFill>
            <w14:solidFill>
              <w14:schemeClr w14:val="tx1"/>
            </w14:solidFill>
          </w14:textFill>
        </w:rPr>
        <w:t>0万</w:t>
      </w:r>
      <w:r>
        <w:rPr>
          <w:rFonts w:ascii="Times New Roman" w:hAnsi="Times New Roman" w:eastAsia="仿宋_GB2312"/>
          <w:color w:val="000000" w:themeColor="text1"/>
          <w:highlight w:val="none"/>
          <w14:textFill>
            <w14:solidFill>
              <w14:schemeClr w14:val="tx1"/>
            </w14:solidFill>
          </w14:textFill>
        </w:rPr>
        <w:t>元。</w:t>
      </w:r>
    </w:p>
    <w:p w14:paraId="594C0964">
      <w:pPr>
        <w:pStyle w:val="7"/>
        <w:pageBreakBefore w:val="0"/>
        <w:widowControl w:val="0"/>
        <w:shd w:val="clear"/>
        <w:kinsoku/>
        <w:wordWrap/>
        <w:overflowPunct/>
        <w:autoSpaceDE/>
        <w:autoSpaceDN/>
        <w:bidi w:val="0"/>
        <w:adjustRightInd/>
        <w:snapToGrid/>
        <w:spacing w:line="560" w:lineRule="atLeast"/>
        <w:ind w:firstLine="643" w:firstLineChars="200"/>
        <w:textAlignment w:val="auto"/>
        <w:rPr>
          <w:rFonts w:hint="eastAsia" w:ascii="仿宋_GB2312" w:hAnsi="仿宋_GB2312" w:eastAsia="仿宋_GB2312" w:cs="仿宋_GB2312"/>
          <w:color w:val="0000FF"/>
          <w:highlight w:val="none"/>
        </w:rPr>
      </w:pPr>
      <w:r>
        <w:rPr>
          <w:rFonts w:hint="eastAsia" w:ascii="仿宋_GB2312" w:hAnsi="仿宋_GB2312" w:eastAsia="仿宋_GB2312" w:cs="仿宋_GB2312"/>
          <w:b/>
          <w:bCs/>
          <w:color w:val="000000" w:themeColor="text1"/>
          <w:highlight w:val="none"/>
          <w14:textFill>
            <w14:solidFill>
              <w14:schemeClr w14:val="tx1"/>
            </w14:solidFill>
          </w14:textFill>
        </w:rPr>
        <w:t>美丽乡村</w:t>
      </w:r>
      <w:r>
        <w:rPr>
          <w:rFonts w:hint="eastAsia" w:ascii="仿宋_GB2312" w:hAnsi="仿宋_GB2312" w:cs="仿宋_GB2312"/>
          <w:b/>
          <w:bCs/>
          <w:color w:val="000000" w:themeColor="text1"/>
          <w:highlight w:val="none"/>
          <w:lang w:val="en-US" w:eastAsia="zh-CN"/>
          <w14:textFill>
            <w14:solidFill>
              <w14:schemeClr w14:val="tx1"/>
            </w14:solidFill>
          </w14:textFill>
        </w:rPr>
        <w:t>重点工程</w:t>
      </w:r>
      <w:r>
        <w:rPr>
          <w:rFonts w:hint="eastAsia" w:ascii="仿宋_GB2312" w:hAnsi="仿宋_GB2312" w:eastAsia="仿宋_GB2312" w:cs="仿宋_GB2312"/>
          <w:b/>
          <w:bCs/>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建设标准化畜禽养殖场、扩繁场、越冬暖棚等现代农业养殖设施，配套粪污资源化利用设备，发展特色生态养殖产业。推进乡镇垃圾中转站扩建、村镇人居环境整治，配备环卫车辆、改造垃圾处理及暂存设施，建设农村公共厕所。实施农村供水提质工程，新建集中供水工程、水厂、泵站，铺设输配水管网，更换供水设施并搭建农村供水信息化平台。分批开展宜居宜业和美乡村全域建设，对历史文化名村建筑开展修缮、抗震加固，保护传统村落风貌，全面改善乡村生产生活条件。</w:t>
      </w:r>
      <w:r>
        <w:rPr>
          <w:rFonts w:ascii="Times New Roman" w:hAnsi="Times New Roman" w:eastAsia="仿宋_GB2312"/>
          <w:color w:val="000000" w:themeColor="text1"/>
          <w:highlight w:val="none"/>
          <w14:textFill>
            <w14:solidFill>
              <w14:schemeClr w14:val="tx1"/>
            </w14:solidFill>
          </w14:textFill>
        </w:rPr>
        <w:t>至2030年，预计实施美丽</w:t>
      </w:r>
      <w:r>
        <w:rPr>
          <w:rFonts w:hint="eastAsia" w:ascii="Times New Roman" w:hAnsi="Times New Roman"/>
          <w:color w:val="000000" w:themeColor="text1"/>
          <w:highlight w:val="none"/>
          <w:lang w:val="en-US" w:eastAsia="zh-CN"/>
          <w14:textFill>
            <w14:solidFill>
              <w14:schemeClr w14:val="tx1"/>
            </w14:solidFill>
          </w14:textFill>
        </w:rPr>
        <w:t>乡村</w:t>
      </w:r>
      <w:r>
        <w:rPr>
          <w:rFonts w:ascii="Times New Roman" w:hAnsi="Times New Roman" w:eastAsia="仿宋_GB2312"/>
          <w:color w:val="000000" w:themeColor="text1"/>
          <w:highlight w:val="none"/>
          <w14:textFill>
            <w14:solidFill>
              <w14:schemeClr w14:val="tx1"/>
            </w14:solidFill>
          </w14:textFill>
        </w:rPr>
        <w:t>重点工程</w:t>
      </w:r>
      <w:r>
        <w:rPr>
          <w:rFonts w:hint="eastAsia" w:ascii="Times New Roman" w:hAnsi="Times New Roman" w:eastAsia="仿宋_GB2312"/>
          <w:color w:val="000000" w:themeColor="text1"/>
          <w:highlight w:val="none"/>
          <w:lang w:val="en-US" w:eastAsia="zh-CN"/>
          <w14:textFill>
            <w14:solidFill>
              <w14:schemeClr w14:val="tx1"/>
            </w14:solidFill>
          </w14:textFill>
        </w:rPr>
        <w:t>9</w:t>
      </w:r>
      <w:r>
        <w:rPr>
          <w:rFonts w:ascii="Times New Roman" w:hAnsi="Times New Roman" w:eastAsia="仿宋_GB2312"/>
          <w:color w:val="000000" w:themeColor="text1"/>
          <w:highlight w:val="none"/>
          <w14:textFill>
            <w14:solidFill>
              <w14:schemeClr w14:val="tx1"/>
            </w14:solidFill>
          </w14:textFill>
        </w:rPr>
        <w:t>项，总投资</w:t>
      </w:r>
      <w:r>
        <w:rPr>
          <w:rFonts w:hint="eastAsia" w:ascii="Times New Roman" w:hAnsi="Times New Roman"/>
          <w:color w:val="000000" w:themeColor="text1"/>
          <w:highlight w:val="none"/>
          <w:lang w:val="en-US" w:eastAsia="zh-CN"/>
          <w14:textFill>
            <w14:solidFill>
              <w14:schemeClr w14:val="tx1"/>
            </w14:solidFill>
          </w14:textFill>
        </w:rPr>
        <w:t>30020</w:t>
      </w:r>
      <w:r>
        <w:rPr>
          <w:rFonts w:hint="eastAsia" w:ascii="Times New Roman" w:hAnsi="Times New Roman" w:eastAsia="仿宋_GB2312"/>
          <w:color w:val="000000" w:themeColor="text1"/>
          <w:highlight w:val="none"/>
          <w14:textFill>
            <w14:solidFill>
              <w14:schemeClr w14:val="tx1"/>
            </w14:solidFill>
          </w14:textFill>
        </w:rPr>
        <w:t>万</w:t>
      </w:r>
      <w:r>
        <w:rPr>
          <w:rFonts w:ascii="Times New Roman" w:hAnsi="Times New Roman" w:eastAsia="仿宋_GB2312"/>
          <w:color w:val="000000" w:themeColor="text1"/>
          <w:highlight w:val="none"/>
          <w14:textFill>
            <w14:solidFill>
              <w14:schemeClr w14:val="tx1"/>
            </w14:solidFill>
          </w14:textFill>
        </w:rPr>
        <w:t>元。</w:t>
      </w:r>
    </w:p>
    <w:p w14:paraId="2B18B0C7">
      <w:pPr>
        <w:pageBreakBefore w:val="0"/>
        <w:widowControl w:val="0"/>
        <w:shd w:val="clear"/>
        <w:kinsoku/>
        <w:wordWrap/>
        <w:overflowPunct/>
        <w:autoSpaceDE/>
        <w:autoSpaceDN/>
        <w:bidi w:val="0"/>
        <w:adjustRightInd/>
        <w:snapToGrid/>
        <w:spacing w:line="560" w:lineRule="atLeast"/>
        <w:ind w:firstLine="643" w:firstLineChars="200"/>
        <w:textAlignment w:val="auto"/>
        <w:rPr>
          <w:rFonts w:hint="eastAsia"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hAnsi="仿宋_GB2312" w:eastAsia="仿宋_GB2312" w:cs="仿宋_GB2312"/>
          <w:b/>
          <w:bCs/>
          <w:color w:val="000000" w:themeColor="text1"/>
          <w:sz w:val="32"/>
          <w:highlight w:val="none"/>
          <w:lang w:val="en-US" w:eastAsia="zh-CN"/>
          <w14:textFill>
            <w14:solidFill>
              <w14:schemeClr w14:val="tx1"/>
            </w14:solidFill>
          </w14:textFill>
        </w:rPr>
        <w:t>绿色产业</w:t>
      </w:r>
      <w:r>
        <w:rPr>
          <w:rFonts w:hint="eastAsia" w:ascii="仿宋_GB2312" w:hAnsi="仿宋_GB2312" w:eastAsia="仿宋_GB2312" w:cs="仿宋_GB2312"/>
          <w:b/>
          <w:bCs/>
          <w:color w:val="000000" w:themeColor="text1"/>
          <w:sz w:val="32"/>
          <w:highlight w:val="none"/>
          <w14:textFill>
            <w14:solidFill>
              <w14:schemeClr w14:val="tx1"/>
            </w14:solidFill>
          </w14:textFill>
        </w:rPr>
        <w:t>重点工程。</w:t>
      </w:r>
      <w:r>
        <w:rPr>
          <w:rFonts w:hint="eastAsia" w:ascii="仿宋_GB2312" w:hAnsi="仿宋_GB2312" w:eastAsia="仿宋_GB2312" w:cs="仿宋_GB2312"/>
          <w:color w:val="000000" w:themeColor="text1"/>
          <w:sz w:val="32"/>
          <w:highlight w:val="none"/>
          <w14:textFill>
            <w14:solidFill>
              <w14:schemeClr w14:val="tx1"/>
            </w14:solidFill>
          </w14:textFill>
        </w:rPr>
        <w:t>扶持乡村家庭牧场等特色种养产业项目，壮大乡村基础产业。依托湿地、景区资源打造牧旅融合项目，推动农旅、牧旅融合发展。对县城文旅街区进行风貌改造，打造多条特色餐饮街区，完善店招、环卫、智慧服务设施，布设</w:t>
      </w:r>
      <w:r>
        <w:rPr>
          <w:rFonts w:hint="default" w:ascii="Times New Roman" w:hAnsi="Times New Roman" w:eastAsia="仿宋_GB2312" w:cs="Times New Roman"/>
          <w:color w:val="000000" w:themeColor="text1"/>
          <w:sz w:val="32"/>
          <w:highlight w:val="none"/>
          <w14:textFill>
            <w14:solidFill>
              <w14:schemeClr w14:val="tx1"/>
            </w14:solidFill>
          </w14:textFill>
        </w:rPr>
        <w:t>VR</w:t>
      </w:r>
      <w:r>
        <w:rPr>
          <w:rFonts w:hint="eastAsia" w:ascii="仿宋_GB2312" w:hAnsi="仿宋_GB2312" w:eastAsia="仿宋_GB2312" w:cs="仿宋_GB2312"/>
          <w:color w:val="000000" w:themeColor="text1"/>
          <w:sz w:val="32"/>
          <w:highlight w:val="none"/>
          <w14:textFill>
            <w14:solidFill>
              <w14:schemeClr w14:val="tx1"/>
            </w14:solidFill>
          </w14:textFill>
        </w:rPr>
        <w:t>文化体验点。升级改造旅游集散中心，完善咨询展示、停车、交通、消防、绿化等配套功能，健全全域旅游服务体系，以生态资源带动绿色文旅产业发展。</w:t>
      </w:r>
      <w:r>
        <w:rPr>
          <w:rFonts w:ascii="Times New Roman" w:hAnsi="Times New Roman" w:eastAsia="仿宋_GB2312" w:cs="Times New Roman"/>
          <w:color w:val="000000" w:themeColor="text1"/>
          <w:sz w:val="32"/>
          <w:highlight w:val="none"/>
          <w14:textFill>
            <w14:solidFill>
              <w14:schemeClr w14:val="tx1"/>
            </w14:solidFill>
          </w14:textFill>
        </w:rPr>
        <w:t>至2030年，预计实施</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绿色</w:t>
      </w:r>
      <w:r>
        <w:rPr>
          <w:rFonts w:hint="eastAsia" w:ascii="Times New Roman" w:hAnsi="Times New Roman" w:eastAsia="仿宋_GB2312" w:cs="Times New Roman"/>
          <w:color w:val="000000" w:themeColor="text1"/>
          <w:sz w:val="32"/>
          <w:highlight w:val="none"/>
          <w14:textFill>
            <w14:solidFill>
              <w14:schemeClr w14:val="tx1"/>
            </w14:solidFill>
          </w14:textFill>
        </w:rPr>
        <w:t>产业</w:t>
      </w:r>
      <w:r>
        <w:rPr>
          <w:rFonts w:ascii="Times New Roman" w:hAnsi="Times New Roman" w:eastAsia="仿宋_GB2312" w:cs="Times New Roman"/>
          <w:color w:val="000000" w:themeColor="text1"/>
          <w:sz w:val="32"/>
          <w:highlight w:val="none"/>
          <w14:textFill>
            <w14:solidFill>
              <w14:schemeClr w14:val="tx1"/>
            </w14:solidFill>
          </w14:textFill>
        </w:rPr>
        <w:t>重点工程</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4</w:t>
      </w:r>
      <w:r>
        <w:rPr>
          <w:rFonts w:ascii="Times New Roman" w:hAnsi="Times New Roman" w:eastAsia="仿宋_GB2312" w:cs="Times New Roman"/>
          <w:color w:val="000000" w:themeColor="text1"/>
          <w:sz w:val="32"/>
          <w:highlight w:val="none"/>
          <w14:textFill>
            <w14:solidFill>
              <w14:schemeClr w14:val="tx1"/>
            </w14:solidFill>
          </w14:textFill>
        </w:rPr>
        <w:t>项，总投资</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22536</w:t>
      </w:r>
      <w:r>
        <w:rPr>
          <w:rFonts w:hint="eastAsia" w:ascii="Times New Roman" w:hAnsi="Times New Roman" w:eastAsia="仿宋_GB2312" w:cs="Times New Roman"/>
          <w:color w:val="000000" w:themeColor="text1"/>
          <w:sz w:val="32"/>
          <w:highlight w:val="none"/>
          <w14:textFill>
            <w14:solidFill>
              <w14:schemeClr w14:val="tx1"/>
            </w14:solidFill>
          </w14:textFill>
        </w:rPr>
        <w:t>万</w:t>
      </w:r>
      <w:r>
        <w:rPr>
          <w:rFonts w:ascii="Times New Roman" w:hAnsi="Times New Roman" w:eastAsia="仿宋_GB2312" w:cs="Times New Roman"/>
          <w:color w:val="000000" w:themeColor="text1"/>
          <w:sz w:val="32"/>
          <w:highlight w:val="none"/>
          <w14:textFill>
            <w14:solidFill>
              <w14:schemeClr w14:val="tx1"/>
            </w14:solidFill>
          </w14:textFill>
        </w:rPr>
        <w:t>元。</w:t>
      </w:r>
    </w:p>
    <w:p w14:paraId="6D42867A">
      <w:pPr>
        <w:pageBreakBefore w:val="0"/>
        <w:widowControl w:val="0"/>
        <w:shd w:val="clear"/>
        <w:kinsoku/>
        <w:wordWrap/>
        <w:overflowPunct/>
        <w:autoSpaceDE/>
        <w:autoSpaceDN/>
        <w:bidi w:val="0"/>
        <w:adjustRightInd/>
        <w:snapToGrid/>
        <w:spacing w:line="560" w:lineRule="atLeast"/>
        <w:ind w:firstLine="643" w:firstLineChars="200"/>
        <w:textAlignment w:val="auto"/>
        <w:rPr>
          <w:rFonts w:ascii="Times New Roman" w:hAnsi="Times New Roman" w:eastAsia="仿宋_GB2312" w:cs="Times New Roman"/>
          <w:color w:val="000000" w:themeColor="text1"/>
          <w:sz w:val="32"/>
          <w:highlight w:val="none"/>
          <w14:textFill>
            <w14:solidFill>
              <w14:schemeClr w14:val="tx1"/>
            </w14:solidFill>
          </w14:textFill>
        </w:rPr>
      </w:pPr>
      <w:r>
        <w:rPr>
          <w:rFonts w:hint="eastAsia" w:ascii="仿宋_GB2312" w:hAnsi="仿宋_GB2312" w:eastAsia="仿宋_GB2312" w:cs="仿宋_GB2312"/>
          <w:b/>
          <w:bCs/>
          <w:color w:val="000000" w:themeColor="text1"/>
          <w:sz w:val="32"/>
          <w:highlight w:val="none"/>
          <w:lang w:val="en-US" w:eastAsia="zh-CN"/>
          <w14:textFill>
            <w14:solidFill>
              <w14:schemeClr w14:val="tx1"/>
            </w14:solidFill>
          </w14:textFill>
        </w:rPr>
        <w:t>美好生活重点工程</w:t>
      </w:r>
      <w:r>
        <w:rPr>
          <w:rFonts w:hint="eastAsia" w:ascii="仿宋_GB2312" w:hAnsi="仿宋_GB2312" w:eastAsia="仿宋_GB2312" w:cs="仿宋_GB2312"/>
          <w:b/>
          <w:bCs/>
          <w:color w:val="000000" w:themeColor="text1"/>
          <w:sz w:val="32"/>
          <w:highlight w:val="none"/>
          <w14:textFill>
            <w14:solidFill>
              <w14:schemeClr w14:val="tx1"/>
            </w14:solidFill>
          </w14:textFill>
        </w:rPr>
        <w:t>。</w:t>
      </w:r>
      <w:r>
        <w:rPr>
          <w:rFonts w:hint="eastAsia" w:ascii="仿宋_GB2312" w:hAnsi="仿宋_GB2312" w:eastAsia="仿宋_GB2312" w:cs="仿宋_GB2312"/>
          <w:color w:val="000000" w:themeColor="text1"/>
          <w:sz w:val="32"/>
          <w:highlight w:val="none"/>
          <w14:textFill>
            <w14:solidFill>
              <w14:schemeClr w14:val="tx1"/>
            </w14:solidFill>
          </w14:textFill>
        </w:rPr>
        <w:t>集中开展城中村、老旧街区、老旧小区综合改造，完善路网、给排水、供电、照明、绿化、充电等基础设施，整治市容环境。推进县城公共区域集中供氧建设，优化高原生活配套。新建、改扩建中小学、幼儿园校舍、运动场地、配套宿舍及食堂，增补学位、完善教育硬件。搭建县乡村一体化医共体平台，购置医疗设备、改造业务用房，建设远程诊疗、区域检验、影像、心电等系统，实现三级医疗协同服务，升级医疗机构信息化水平。对社会福利服务中心进行维修改造并添置配套设施，持续完善教育、医疗、养老等民生服务，全面提升群众生活品质。</w:t>
      </w:r>
      <w:r>
        <w:rPr>
          <w:rFonts w:ascii="Times New Roman" w:hAnsi="Times New Roman" w:eastAsia="仿宋_GB2312" w:cs="Times New Roman"/>
          <w:color w:val="000000" w:themeColor="text1"/>
          <w:sz w:val="32"/>
          <w:highlight w:val="none"/>
          <w14:textFill>
            <w14:solidFill>
              <w14:schemeClr w14:val="tx1"/>
            </w14:solidFill>
          </w14:textFill>
        </w:rPr>
        <w:t>至2030年，预计实施</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美好生活</w:t>
      </w:r>
      <w:r>
        <w:rPr>
          <w:rFonts w:ascii="Times New Roman" w:hAnsi="Times New Roman" w:eastAsia="仿宋_GB2312" w:cs="Times New Roman"/>
          <w:color w:val="000000" w:themeColor="text1"/>
          <w:sz w:val="32"/>
          <w:highlight w:val="none"/>
          <w14:textFill>
            <w14:solidFill>
              <w14:schemeClr w14:val="tx1"/>
            </w14:solidFill>
          </w14:textFill>
        </w:rPr>
        <w:t>重点工程</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9</w:t>
      </w:r>
      <w:r>
        <w:rPr>
          <w:rFonts w:ascii="Times New Roman" w:hAnsi="Times New Roman" w:eastAsia="仿宋_GB2312" w:cs="Times New Roman"/>
          <w:color w:val="000000" w:themeColor="text1"/>
          <w:sz w:val="32"/>
          <w:highlight w:val="none"/>
          <w14:textFill>
            <w14:solidFill>
              <w14:schemeClr w14:val="tx1"/>
            </w14:solidFill>
          </w14:textFill>
        </w:rPr>
        <w:t>项，总投资</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63415</w:t>
      </w:r>
      <w:r>
        <w:rPr>
          <w:rFonts w:hint="eastAsia" w:ascii="Times New Roman" w:hAnsi="Times New Roman" w:eastAsia="仿宋_GB2312" w:cs="Times New Roman"/>
          <w:color w:val="000000" w:themeColor="text1"/>
          <w:sz w:val="32"/>
          <w:highlight w:val="none"/>
          <w14:textFill>
            <w14:solidFill>
              <w14:schemeClr w14:val="tx1"/>
            </w14:solidFill>
          </w14:textFill>
        </w:rPr>
        <w:t>万</w:t>
      </w:r>
      <w:r>
        <w:rPr>
          <w:rFonts w:ascii="Times New Roman" w:hAnsi="Times New Roman" w:eastAsia="仿宋_GB2312" w:cs="Times New Roman"/>
          <w:color w:val="000000" w:themeColor="text1"/>
          <w:sz w:val="32"/>
          <w:highlight w:val="none"/>
          <w14:textFill>
            <w14:solidFill>
              <w14:schemeClr w14:val="tx1"/>
            </w14:solidFill>
          </w14:textFill>
        </w:rPr>
        <w:t>元。</w:t>
      </w:r>
    </w:p>
    <w:p w14:paraId="7427554F">
      <w:pPr>
        <w:pageBreakBefore w:val="0"/>
        <w:widowControl w:val="0"/>
        <w:shd w:val="clear"/>
        <w:kinsoku/>
        <w:wordWrap/>
        <w:overflowPunct/>
        <w:autoSpaceDE/>
        <w:autoSpaceDN/>
        <w:bidi w:val="0"/>
        <w:adjustRightInd/>
        <w:snapToGrid/>
        <w:spacing w:line="560" w:lineRule="atLeast"/>
        <w:ind w:firstLine="643" w:firstLineChars="200"/>
        <w:textAlignment w:val="auto"/>
        <w:rPr>
          <w:rFonts w:hint="default" w:ascii="Times New Roman" w:hAnsi="Times New Roman" w:eastAsia="仿宋_GB2312" w:cs="Times New Roman"/>
          <w:color w:val="0000FF"/>
          <w:sz w:val="32"/>
          <w:highlight w:val="none"/>
          <w:lang w:val="en-US" w:eastAsia="zh-CN"/>
        </w:rPr>
      </w:pPr>
      <w:r>
        <w:rPr>
          <w:rFonts w:hint="eastAsia" w:ascii="Times New Roman" w:hAnsi="Times New Roman" w:eastAsia="仿宋_GB2312" w:cs="Times New Roman"/>
          <w:b/>
          <w:bCs/>
          <w:color w:val="000000" w:themeColor="text1"/>
          <w:sz w:val="32"/>
          <w:highlight w:val="none"/>
          <w:lang w:val="en-US" w:eastAsia="zh-CN"/>
          <w14:textFill>
            <w14:solidFill>
              <w14:schemeClr w14:val="tx1"/>
            </w14:solidFill>
          </w14:textFill>
        </w:rPr>
        <w:t>宜人安全环境重点工程。</w:t>
      </w:r>
      <w:r>
        <w:rPr>
          <w:rFonts w:hint="eastAsia" w:ascii="仿宋_GB2312" w:hAnsi="仿宋_GB2312" w:eastAsia="仿宋_GB2312" w:cs="仿宋_GB2312"/>
          <w:color w:val="000000" w:themeColor="text1"/>
          <w:sz w:val="32"/>
          <w:highlight w:val="none"/>
          <w14:textFill>
            <w14:solidFill>
              <w14:schemeClr w14:val="tx1"/>
            </w14:solidFill>
          </w14:textFill>
        </w:rPr>
        <w:t>布设遥感卫星、无人机、视频监控及水文、气象、生物多样性等生态感知设备，搭建全域生态监测体系。持续新建、改造森林草原防灭火通道，在各乡镇布设林火监测系统，全面强化森林草原火灾防控能力。建设标准化环境监测实验室并配齐专业设备，提升区域环境检测能力。布设自动监测站点、更新雨量监测设备，开展小流域灾害预警、山洪灾害群防体系建设，强化水旱灾害综合防御能力，全方位筑牢县域生态安全、环境安全、防灾安全屏障。</w:t>
      </w:r>
      <w:r>
        <w:rPr>
          <w:rFonts w:ascii="Times New Roman" w:hAnsi="Times New Roman" w:eastAsia="仿宋_GB2312" w:cs="Times New Roman"/>
          <w:color w:val="000000" w:themeColor="text1"/>
          <w:sz w:val="32"/>
          <w:highlight w:val="none"/>
          <w14:textFill>
            <w14:solidFill>
              <w14:schemeClr w14:val="tx1"/>
            </w14:solidFill>
          </w14:textFill>
        </w:rPr>
        <w:t>至2030年，预计实施</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宜人安全环境</w:t>
      </w:r>
      <w:r>
        <w:rPr>
          <w:rFonts w:ascii="Times New Roman" w:hAnsi="Times New Roman" w:eastAsia="仿宋_GB2312" w:cs="Times New Roman"/>
          <w:color w:val="000000" w:themeColor="text1"/>
          <w:sz w:val="32"/>
          <w:highlight w:val="none"/>
          <w14:textFill>
            <w14:solidFill>
              <w14:schemeClr w14:val="tx1"/>
            </w14:solidFill>
          </w14:textFill>
        </w:rPr>
        <w:t>重点工程</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6</w:t>
      </w:r>
      <w:r>
        <w:rPr>
          <w:rFonts w:ascii="Times New Roman" w:hAnsi="Times New Roman" w:eastAsia="仿宋_GB2312" w:cs="Times New Roman"/>
          <w:color w:val="000000" w:themeColor="text1"/>
          <w:sz w:val="32"/>
          <w:highlight w:val="none"/>
          <w14:textFill>
            <w14:solidFill>
              <w14:schemeClr w14:val="tx1"/>
            </w14:solidFill>
          </w14:textFill>
        </w:rPr>
        <w:t>项，总投资</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14908</w:t>
      </w:r>
      <w:r>
        <w:rPr>
          <w:rFonts w:hint="eastAsia" w:ascii="Times New Roman" w:hAnsi="Times New Roman" w:eastAsia="仿宋_GB2312" w:cs="Times New Roman"/>
          <w:color w:val="000000" w:themeColor="text1"/>
          <w:sz w:val="32"/>
          <w:highlight w:val="none"/>
          <w14:textFill>
            <w14:solidFill>
              <w14:schemeClr w14:val="tx1"/>
            </w14:solidFill>
          </w14:textFill>
        </w:rPr>
        <w:t>万</w:t>
      </w:r>
      <w:r>
        <w:rPr>
          <w:rFonts w:ascii="Times New Roman" w:hAnsi="Times New Roman" w:eastAsia="仿宋_GB2312" w:cs="Times New Roman"/>
          <w:color w:val="000000" w:themeColor="text1"/>
          <w:sz w:val="32"/>
          <w:highlight w:val="none"/>
          <w14:textFill>
            <w14:solidFill>
              <w14:schemeClr w14:val="tx1"/>
            </w14:solidFill>
          </w14:textFill>
        </w:rPr>
        <w:t>元。</w:t>
      </w:r>
    </w:p>
    <w:p w14:paraId="11572D8A">
      <w:pPr>
        <w:pageBreakBefore w:val="0"/>
        <w:widowControl w:val="0"/>
        <w:shd w:val="clear"/>
        <w:kinsoku/>
        <w:wordWrap/>
        <w:overflowPunct/>
        <w:autoSpaceDE/>
        <w:autoSpaceDN/>
        <w:bidi w:val="0"/>
        <w:adjustRightInd/>
        <w:snapToGrid/>
        <w:spacing w:line="560" w:lineRule="atLeast"/>
        <w:ind w:firstLine="640" w:firstLineChars="200"/>
        <w:textAlignment w:val="auto"/>
        <w:rPr>
          <w:rFonts w:ascii="Times New Roman" w:hAnsi="Times New Roman" w:eastAsia="仿宋_GB2312" w:cs="Times New Roman"/>
          <w:color w:val="0000FF"/>
          <w:sz w:val="32"/>
          <w:highlight w:val="none"/>
        </w:rPr>
      </w:pPr>
      <w:r>
        <w:rPr>
          <w:rFonts w:ascii="Times New Roman" w:hAnsi="Times New Roman" w:eastAsia="仿宋_GB2312" w:cs="Times New Roman"/>
          <w:color w:val="000000" w:themeColor="text1"/>
          <w:sz w:val="32"/>
          <w:highlight w:val="none"/>
          <w14:textFill>
            <w14:solidFill>
              <w14:schemeClr w14:val="tx1"/>
            </w14:solidFill>
          </w14:textFill>
        </w:rPr>
        <w:t>综上所述，</w:t>
      </w:r>
      <w:r>
        <w:rPr>
          <w:rFonts w:hint="eastAsia" w:ascii="仿宋_GB2312" w:hAnsi="仿宋_GB2312" w:eastAsia="仿宋_GB2312" w:cs="仿宋_GB2312"/>
          <w:color w:val="000000" w:themeColor="text1"/>
          <w:sz w:val="32"/>
          <w:highlight w:val="none"/>
          <w14:textFill>
            <w14:solidFill>
              <w14:schemeClr w14:val="tx1"/>
            </w14:solidFill>
          </w14:textFill>
        </w:rPr>
        <w:t>美丽</w:t>
      </w:r>
      <w:r>
        <w:rPr>
          <w:rFonts w:hint="eastAsia" w:ascii="仿宋_GB2312" w:hAnsi="仿宋_GB2312" w:eastAsia="仿宋_GB2312" w:cs="仿宋_GB2312"/>
          <w:color w:val="000000" w:themeColor="text1"/>
          <w:sz w:val="32"/>
          <w:highlight w:val="none"/>
          <w:lang w:eastAsia="zh-CN"/>
          <w14:textFill>
            <w14:solidFill>
              <w14:schemeClr w14:val="tx1"/>
            </w14:solidFill>
          </w14:textFill>
        </w:rPr>
        <w:t>阿坝</w:t>
      </w:r>
      <w:r>
        <w:rPr>
          <w:rFonts w:hint="eastAsia" w:ascii="仿宋_GB2312" w:hAnsi="仿宋_GB2312" w:eastAsia="仿宋_GB2312" w:cs="仿宋_GB2312"/>
          <w:color w:val="000000" w:themeColor="text1"/>
          <w:sz w:val="32"/>
          <w:highlight w:val="none"/>
          <w14:textFill>
            <w14:solidFill>
              <w14:schemeClr w14:val="tx1"/>
            </w14:solidFill>
          </w14:textFill>
        </w:rPr>
        <w:t>建设计划推进美丽</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山川</w:t>
      </w:r>
      <w:r>
        <w:rPr>
          <w:rFonts w:hint="eastAsia" w:ascii="仿宋_GB2312" w:hAnsi="仿宋_GB2312" w:eastAsia="仿宋_GB2312" w:cs="仿宋_GB2312"/>
          <w:color w:val="000000" w:themeColor="text1"/>
          <w:sz w:val="32"/>
          <w:highlight w:val="none"/>
          <w14:textFill>
            <w14:solidFill>
              <w14:schemeClr w14:val="tx1"/>
            </w14:solidFill>
          </w14:textFill>
        </w:rPr>
        <w:t>、美丽</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河湖</w:t>
      </w:r>
      <w:r>
        <w:rPr>
          <w:rFonts w:hint="eastAsia" w:ascii="仿宋_GB2312" w:hAnsi="仿宋_GB2312" w:eastAsia="仿宋_GB2312" w:cs="仿宋_GB2312"/>
          <w:color w:val="000000" w:themeColor="text1"/>
          <w:sz w:val="32"/>
          <w:highlight w:val="none"/>
          <w14:textFill>
            <w14:solidFill>
              <w14:schemeClr w14:val="tx1"/>
            </w14:solidFill>
          </w14:textFill>
        </w:rPr>
        <w:t>、美丽</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城市</w:t>
      </w:r>
      <w:r>
        <w:rPr>
          <w:rFonts w:hint="eastAsia" w:ascii="仿宋_GB2312" w:hAnsi="仿宋_GB2312" w:eastAsia="仿宋_GB2312" w:cs="仿宋_GB2312"/>
          <w:color w:val="000000" w:themeColor="text1"/>
          <w:sz w:val="32"/>
          <w:highlight w:val="none"/>
          <w14:textFill>
            <w14:solidFill>
              <w14:schemeClr w14:val="tx1"/>
            </w14:solidFill>
          </w14:textFill>
        </w:rPr>
        <w:t>、美丽</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乡村</w:t>
      </w:r>
      <w:r>
        <w:rPr>
          <w:rFonts w:hint="eastAsia" w:ascii="仿宋_GB2312" w:hAnsi="仿宋_GB2312" w:eastAsia="仿宋_GB2312" w:cs="仿宋_GB2312"/>
          <w:color w:val="000000" w:themeColor="text1"/>
          <w:sz w:val="32"/>
          <w:highlight w:val="none"/>
          <w14:textFill>
            <w14:solidFill>
              <w14:schemeClr w14:val="tx1"/>
            </w14:solidFill>
          </w14:textFill>
        </w:rPr>
        <w:t>、</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绿色产业</w:t>
      </w:r>
      <w:r>
        <w:rPr>
          <w:rFonts w:hint="eastAsia" w:ascii="仿宋_GB2312" w:hAnsi="仿宋_GB2312" w:eastAsia="仿宋_GB2312" w:cs="仿宋_GB2312"/>
          <w:color w:val="000000" w:themeColor="text1"/>
          <w:sz w:val="32"/>
          <w:highlight w:val="none"/>
          <w14:textFill>
            <w14:solidFill>
              <w14:schemeClr w14:val="tx1"/>
            </w14:solidFill>
          </w14:textFill>
        </w:rPr>
        <w:t>、</w:t>
      </w:r>
      <w:r>
        <w:rPr>
          <w:rFonts w:hint="eastAsia" w:ascii="仿宋_GB2312" w:hAnsi="仿宋_GB2312" w:eastAsia="仿宋_GB2312" w:cs="仿宋_GB2312"/>
          <w:color w:val="000000" w:themeColor="text1"/>
          <w:sz w:val="32"/>
          <w:highlight w:val="none"/>
          <w:lang w:val="en-US" w:eastAsia="zh-CN"/>
          <w14:textFill>
            <w14:solidFill>
              <w14:schemeClr w14:val="tx1"/>
            </w14:solidFill>
          </w14:textFill>
        </w:rPr>
        <w:t>美好生活、宜人安全环境七</w:t>
      </w:r>
      <w:r>
        <w:rPr>
          <w:rFonts w:hint="eastAsia" w:ascii="仿宋_GB2312" w:hAnsi="仿宋_GB2312" w:eastAsia="仿宋_GB2312" w:cs="仿宋_GB2312"/>
          <w:color w:val="000000" w:themeColor="text1"/>
          <w:sz w:val="32"/>
          <w:highlight w:val="none"/>
          <w14:textFill>
            <w14:solidFill>
              <w14:schemeClr w14:val="tx1"/>
            </w14:solidFill>
          </w14:textFill>
        </w:rPr>
        <w:t>大重点工程，包含</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66</w:t>
      </w:r>
      <w:r>
        <w:rPr>
          <w:rFonts w:hint="eastAsia" w:ascii="Times New Roman" w:hAnsi="Times New Roman" w:eastAsia="仿宋_GB2312" w:cs="Times New Roman"/>
          <w:color w:val="000000" w:themeColor="text1"/>
          <w:sz w:val="32"/>
          <w:highlight w:val="none"/>
          <w14:textFill>
            <w14:solidFill>
              <w14:schemeClr w14:val="tx1"/>
            </w14:solidFill>
          </w14:textFill>
        </w:rPr>
        <w:t>个具体项目，总投资</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instrText xml:space="preserve"> = sum(B3:H3) \* MERGEFORMAT </w:instrTex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fldChar w:fldCharType="separate"/>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328430.95</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highlight w:val="none"/>
          <w14:textFill>
            <w14:solidFill>
              <w14:schemeClr w14:val="tx1"/>
            </w14:solidFill>
          </w14:textFill>
        </w:rPr>
        <w:t>万元，其中美丽</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山川重</w:t>
      </w:r>
      <w:r>
        <w:rPr>
          <w:rFonts w:hint="eastAsia" w:ascii="Times New Roman" w:hAnsi="Times New Roman" w:eastAsia="仿宋_GB2312" w:cs="Times New Roman"/>
          <w:color w:val="000000" w:themeColor="text1"/>
          <w:sz w:val="32"/>
          <w:highlight w:val="none"/>
          <w14:textFill>
            <w14:solidFill>
              <w14:schemeClr w14:val="tx1"/>
            </w14:solidFill>
          </w14:textFill>
        </w:rPr>
        <w:t>点工程</w:t>
      </w:r>
      <w:r>
        <w:rPr>
          <w:rFonts w:ascii="Times New Roman" w:hAnsi="Times New Roman" w:eastAsia="仿宋_GB2312" w:cs="Times New Roman"/>
          <w:color w:val="000000" w:themeColor="text1"/>
          <w:sz w:val="32"/>
          <w:highlight w:val="none"/>
          <w14:textFill>
            <w14:solidFill>
              <w14:schemeClr w14:val="tx1"/>
            </w14:solidFill>
          </w14:textFill>
        </w:rPr>
        <w:t>共投资</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108783.95</w:t>
      </w:r>
      <w:r>
        <w:rPr>
          <w:rFonts w:ascii="Times New Roman" w:hAnsi="Times New Roman" w:eastAsia="仿宋_GB2312" w:cs="Times New Roman"/>
          <w:color w:val="000000" w:themeColor="text1"/>
          <w:sz w:val="32"/>
          <w:highlight w:val="none"/>
          <w14:textFill>
            <w14:solidFill>
              <w14:schemeClr w14:val="tx1"/>
            </w14:solidFill>
          </w14:textFill>
        </w:rPr>
        <w:t>万元，占</w:t>
      </w:r>
      <w:r>
        <w:rPr>
          <w:rFonts w:hint="eastAsia" w:ascii="Times New Roman" w:hAnsi="Times New Roman" w:eastAsia="仿宋_GB2312" w:cs="Times New Roman"/>
          <w:color w:val="000000" w:themeColor="text1"/>
          <w:sz w:val="32"/>
          <w:highlight w:val="none"/>
          <w14:textFill>
            <w14:solidFill>
              <w14:schemeClr w14:val="tx1"/>
            </w14:solidFill>
          </w14:textFill>
        </w:rPr>
        <w:t>比</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33.12</w:t>
      </w:r>
      <w:r>
        <w:rPr>
          <w:rFonts w:ascii="Times New Roman" w:hAnsi="Times New Roman" w:eastAsia="仿宋_GB2312" w:cs="Times New Roman"/>
          <w:color w:val="000000" w:themeColor="text1"/>
          <w:sz w:val="32"/>
          <w:highlight w:val="none"/>
          <w14:textFill>
            <w14:solidFill>
              <w14:schemeClr w14:val="tx1"/>
            </w14:solidFill>
          </w14:textFill>
        </w:rPr>
        <w:t>%</w:t>
      </w:r>
      <w:r>
        <w:rPr>
          <w:rFonts w:hint="eastAsia" w:ascii="Times New Roman" w:hAnsi="Times New Roman" w:eastAsia="仿宋_GB2312" w:cs="Times New Roman"/>
          <w:color w:val="000000" w:themeColor="text1"/>
          <w:sz w:val="32"/>
          <w:highlight w:val="none"/>
          <w14:textFill>
            <w14:solidFill>
              <w14:schemeClr w14:val="tx1"/>
            </w14:solidFill>
          </w14:textFill>
        </w:rPr>
        <w:t>；美丽</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河湖</w:t>
      </w:r>
      <w:r>
        <w:rPr>
          <w:rFonts w:hint="eastAsia" w:ascii="Times New Roman" w:hAnsi="Times New Roman" w:eastAsia="仿宋_GB2312" w:cs="Times New Roman"/>
          <w:color w:val="000000" w:themeColor="text1"/>
          <w:sz w:val="32"/>
          <w:highlight w:val="none"/>
          <w14:textFill>
            <w14:solidFill>
              <w14:schemeClr w14:val="tx1"/>
            </w14:solidFill>
          </w14:textFill>
        </w:rPr>
        <w:t>重点工程</w:t>
      </w:r>
      <w:r>
        <w:rPr>
          <w:rFonts w:ascii="Times New Roman" w:hAnsi="Times New Roman" w:eastAsia="仿宋_GB2312" w:cs="Times New Roman"/>
          <w:color w:val="000000" w:themeColor="text1"/>
          <w:sz w:val="32"/>
          <w:highlight w:val="none"/>
          <w14:textFill>
            <w14:solidFill>
              <w14:schemeClr w14:val="tx1"/>
            </w14:solidFill>
          </w14:textFill>
        </w:rPr>
        <w:t>共投资</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32318</w:t>
      </w:r>
      <w:r>
        <w:rPr>
          <w:rFonts w:ascii="Times New Roman" w:hAnsi="Times New Roman" w:eastAsia="仿宋_GB2312" w:cs="Times New Roman"/>
          <w:color w:val="000000" w:themeColor="text1"/>
          <w:sz w:val="32"/>
          <w:highlight w:val="none"/>
          <w14:textFill>
            <w14:solidFill>
              <w14:schemeClr w14:val="tx1"/>
            </w14:solidFill>
          </w14:textFill>
        </w:rPr>
        <w:t>万元，占</w:t>
      </w:r>
      <w:r>
        <w:rPr>
          <w:rFonts w:hint="eastAsia" w:ascii="Times New Roman" w:hAnsi="Times New Roman" w:eastAsia="仿宋_GB2312" w:cs="Times New Roman"/>
          <w:color w:val="000000" w:themeColor="text1"/>
          <w:sz w:val="32"/>
          <w:highlight w:val="none"/>
          <w14:textFill>
            <w14:solidFill>
              <w14:schemeClr w14:val="tx1"/>
            </w14:solidFill>
          </w14:textFill>
        </w:rPr>
        <w:t>比</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9.84</w:t>
      </w:r>
      <w:r>
        <w:rPr>
          <w:rFonts w:ascii="Times New Roman" w:hAnsi="Times New Roman" w:eastAsia="仿宋_GB2312" w:cs="Times New Roman"/>
          <w:color w:val="000000" w:themeColor="text1"/>
          <w:sz w:val="32"/>
          <w:highlight w:val="none"/>
          <w14:textFill>
            <w14:solidFill>
              <w14:schemeClr w14:val="tx1"/>
            </w14:solidFill>
          </w14:textFill>
        </w:rPr>
        <w:t>%</w:t>
      </w:r>
      <w:r>
        <w:rPr>
          <w:rFonts w:hint="eastAsia" w:ascii="Times New Roman" w:hAnsi="Times New Roman" w:eastAsia="仿宋_GB2312" w:cs="Times New Roman"/>
          <w:color w:val="000000" w:themeColor="text1"/>
          <w:sz w:val="32"/>
          <w:highlight w:val="none"/>
          <w14:textFill>
            <w14:solidFill>
              <w14:schemeClr w14:val="tx1"/>
            </w14:solidFill>
          </w14:textFill>
        </w:rPr>
        <w:t>；美丽</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城市</w:t>
      </w:r>
      <w:r>
        <w:rPr>
          <w:rFonts w:hint="eastAsia" w:ascii="Times New Roman" w:hAnsi="Times New Roman" w:eastAsia="仿宋_GB2312" w:cs="Times New Roman"/>
          <w:color w:val="000000" w:themeColor="text1"/>
          <w:sz w:val="32"/>
          <w:highlight w:val="none"/>
          <w14:textFill>
            <w14:solidFill>
              <w14:schemeClr w14:val="tx1"/>
            </w14:solidFill>
          </w14:textFill>
        </w:rPr>
        <w:t>重点工程</w:t>
      </w:r>
      <w:r>
        <w:rPr>
          <w:rFonts w:ascii="Times New Roman" w:hAnsi="Times New Roman" w:eastAsia="仿宋_GB2312" w:cs="Times New Roman"/>
          <w:color w:val="000000" w:themeColor="text1"/>
          <w:sz w:val="32"/>
          <w:highlight w:val="none"/>
          <w14:textFill>
            <w14:solidFill>
              <w14:schemeClr w14:val="tx1"/>
            </w14:solidFill>
          </w14:textFill>
        </w:rPr>
        <w:t>共投资</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56450</w:t>
      </w:r>
      <w:r>
        <w:rPr>
          <w:rFonts w:ascii="Times New Roman" w:hAnsi="Times New Roman" w:eastAsia="仿宋_GB2312" w:cs="Times New Roman"/>
          <w:color w:val="000000" w:themeColor="text1"/>
          <w:sz w:val="32"/>
          <w:highlight w:val="none"/>
          <w14:textFill>
            <w14:solidFill>
              <w14:schemeClr w14:val="tx1"/>
            </w14:solidFill>
          </w14:textFill>
        </w:rPr>
        <w:t>万元，占</w:t>
      </w:r>
      <w:r>
        <w:rPr>
          <w:rFonts w:hint="eastAsia" w:ascii="Times New Roman" w:hAnsi="Times New Roman" w:eastAsia="仿宋_GB2312" w:cs="Times New Roman"/>
          <w:color w:val="000000" w:themeColor="text1"/>
          <w:sz w:val="32"/>
          <w:highlight w:val="none"/>
          <w14:textFill>
            <w14:solidFill>
              <w14:schemeClr w14:val="tx1"/>
            </w14:solidFill>
          </w14:textFill>
        </w:rPr>
        <w:t>比</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17.19</w:t>
      </w:r>
      <w:r>
        <w:rPr>
          <w:rFonts w:ascii="Times New Roman" w:hAnsi="Times New Roman" w:eastAsia="仿宋_GB2312" w:cs="Times New Roman"/>
          <w:color w:val="000000" w:themeColor="text1"/>
          <w:sz w:val="32"/>
          <w:highlight w:val="none"/>
          <w14:textFill>
            <w14:solidFill>
              <w14:schemeClr w14:val="tx1"/>
            </w14:solidFill>
          </w14:textFill>
        </w:rPr>
        <w:t>%</w:t>
      </w:r>
      <w:r>
        <w:rPr>
          <w:rFonts w:hint="eastAsia" w:ascii="Times New Roman" w:hAnsi="Times New Roman" w:eastAsia="仿宋_GB2312" w:cs="Times New Roman"/>
          <w:color w:val="000000" w:themeColor="text1"/>
          <w:sz w:val="32"/>
          <w:highlight w:val="none"/>
          <w14:textFill>
            <w14:solidFill>
              <w14:schemeClr w14:val="tx1"/>
            </w14:solidFill>
          </w14:textFill>
        </w:rPr>
        <w:t>；美丽</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乡村</w:t>
      </w:r>
      <w:r>
        <w:rPr>
          <w:rFonts w:hint="eastAsia" w:ascii="Times New Roman" w:hAnsi="Times New Roman" w:eastAsia="仿宋_GB2312" w:cs="Times New Roman"/>
          <w:color w:val="000000" w:themeColor="text1"/>
          <w:sz w:val="32"/>
          <w:highlight w:val="none"/>
          <w14:textFill>
            <w14:solidFill>
              <w14:schemeClr w14:val="tx1"/>
            </w14:solidFill>
          </w14:textFill>
        </w:rPr>
        <w:t>重点工程</w:t>
      </w:r>
      <w:r>
        <w:rPr>
          <w:rFonts w:ascii="Times New Roman" w:hAnsi="Times New Roman" w:eastAsia="仿宋_GB2312" w:cs="Times New Roman"/>
          <w:color w:val="000000" w:themeColor="text1"/>
          <w:sz w:val="32"/>
          <w:highlight w:val="none"/>
          <w14:textFill>
            <w14:solidFill>
              <w14:schemeClr w14:val="tx1"/>
            </w14:solidFill>
          </w14:textFill>
        </w:rPr>
        <w:t>共投资</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30020</w:t>
      </w:r>
      <w:r>
        <w:rPr>
          <w:rFonts w:ascii="Times New Roman" w:hAnsi="Times New Roman" w:eastAsia="仿宋_GB2312" w:cs="Times New Roman"/>
          <w:color w:val="000000" w:themeColor="text1"/>
          <w:sz w:val="32"/>
          <w:highlight w:val="none"/>
          <w14:textFill>
            <w14:solidFill>
              <w14:schemeClr w14:val="tx1"/>
            </w14:solidFill>
          </w14:textFill>
        </w:rPr>
        <w:t>万元，占</w:t>
      </w:r>
      <w:r>
        <w:rPr>
          <w:rFonts w:hint="eastAsia" w:ascii="Times New Roman" w:hAnsi="Times New Roman" w:eastAsia="仿宋_GB2312" w:cs="Times New Roman"/>
          <w:color w:val="000000" w:themeColor="text1"/>
          <w:sz w:val="32"/>
          <w:highlight w:val="none"/>
          <w14:textFill>
            <w14:solidFill>
              <w14:schemeClr w14:val="tx1"/>
            </w14:solidFill>
          </w14:textFill>
        </w:rPr>
        <w:t>比</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9.14</w:t>
      </w:r>
      <w:r>
        <w:rPr>
          <w:rFonts w:ascii="Times New Roman" w:hAnsi="Times New Roman" w:eastAsia="仿宋_GB2312" w:cs="Times New Roman"/>
          <w:color w:val="000000" w:themeColor="text1"/>
          <w:sz w:val="32"/>
          <w:highlight w:val="none"/>
          <w14:textFill>
            <w14:solidFill>
              <w14:schemeClr w14:val="tx1"/>
            </w14:solidFill>
          </w14:textFill>
        </w:rPr>
        <w:t>%</w:t>
      </w:r>
      <w:r>
        <w:rPr>
          <w:rFonts w:hint="eastAsia" w:ascii="Times New Roman" w:hAnsi="Times New Roman" w:eastAsia="仿宋_GB2312" w:cs="Times New Roman"/>
          <w:color w:val="000000" w:themeColor="text1"/>
          <w:sz w:val="32"/>
          <w:highlight w:val="none"/>
          <w14:textFill>
            <w14:solidFill>
              <w14:schemeClr w14:val="tx1"/>
            </w14:solidFill>
          </w14:textFill>
        </w:rPr>
        <w:t>；</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绿色产业</w:t>
      </w:r>
      <w:r>
        <w:rPr>
          <w:rFonts w:hint="eastAsia" w:ascii="Times New Roman" w:hAnsi="Times New Roman" w:eastAsia="仿宋_GB2312" w:cs="Times New Roman"/>
          <w:color w:val="000000" w:themeColor="text1"/>
          <w:sz w:val="32"/>
          <w:highlight w:val="none"/>
          <w14:textFill>
            <w14:solidFill>
              <w14:schemeClr w14:val="tx1"/>
            </w14:solidFill>
          </w14:textFill>
        </w:rPr>
        <w:t>重点工程</w:t>
      </w:r>
      <w:r>
        <w:rPr>
          <w:rFonts w:ascii="Times New Roman" w:hAnsi="Times New Roman" w:eastAsia="仿宋_GB2312" w:cs="Times New Roman"/>
          <w:color w:val="000000" w:themeColor="text1"/>
          <w:sz w:val="32"/>
          <w:highlight w:val="none"/>
          <w14:textFill>
            <w14:solidFill>
              <w14:schemeClr w14:val="tx1"/>
            </w14:solidFill>
          </w14:textFill>
        </w:rPr>
        <w:t>共投资</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22536</w:t>
      </w:r>
      <w:r>
        <w:rPr>
          <w:rFonts w:ascii="Times New Roman" w:hAnsi="Times New Roman" w:eastAsia="仿宋_GB2312" w:cs="Times New Roman"/>
          <w:color w:val="000000" w:themeColor="text1"/>
          <w:sz w:val="32"/>
          <w:highlight w:val="none"/>
          <w14:textFill>
            <w14:solidFill>
              <w14:schemeClr w14:val="tx1"/>
            </w14:solidFill>
          </w14:textFill>
        </w:rPr>
        <w:t>万元，占</w:t>
      </w:r>
      <w:r>
        <w:rPr>
          <w:rFonts w:hint="eastAsia" w:ascii="Times New Roman" w:hAnsi="Times New Roman" w:eastAsia="仿宋_GB2312" w:cs="Times New Roman"/>
          <w:color w:val="000000" w:themeColor="text1"/>
          <w:sz w:val="32"/>
          <w:highlight w:val="none"/>
          <w14:textFill>
            <w14:solidFill>
              <w14:schemeClr w14:val="tx1"/>
            </w14:solidFill>
          </w14:textFill>
        </w:rPr>
        <w:t>比</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6.86</w:t>
      </w:r>
      <w:r>
        <w:rPr>
          <w:rFonts w:ascii="Times New Roman" w:hAnsi="Times New Roman" w:eastAsia="仿宋_GB2312" w:cs="Times New Roman"/>
          <w:color w:val="000000" w:themeColor="text1"/>
          <w:sz w:val="32"/>
          <w:highlight w:val="none"/>
          <w14:textFill>
            <w14:solidFill>
              <w14:schemeClr w14:val="tx1"/>
            </w14:solidFill>
          </w14:textFill>
        </w:rPr>
        <w:t>%</w:t>
      </w:r>
      <w:r>
        <w:rPr>
          <w:rFonts w:hint="eastAsia" w:ascii="Times New Roman" w:hAnsi="Times New Roman" w:eastAsia="仿宋_GB2312" w:cs="Times New Roman"/>
          <w:color w:val="000000" w:themeColor="text1"/>
          <w:sz w:val="32"/>
          <w:highlight w:val="none"/>
          <w14:textFill>
            <w14:solidFill>
              <w14:schemeClr w14:val="tx1"/>
            </w14:solidFill>
          </w14:textFill>
        </w:rPr>
        <w:t>；</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美好生活</w:t>
      </w:r>
      <w:r>
        <w:rPr>
          <w:rFonts w:hint="eastAsia" w:ascii="Times New Roman" w:hAnsi="Times New Roman" w:eastAsia="仿宋_GB2312" w:cs="Times New Roman"/>
          <w:color w:val="000000" w:themeColor="text1"/>
          <w:sz w:val="32"/>
          <w:highlight w:val="none"/>
          <w14:textFill>
            <w14:solidFill>
              <w14:schemeClr w14:val="tx1"/>
            </w14:solidFill>
          </w14:textFill>
        </w:rPr>
        <w:t>重点工程</w:t>
      </w:r>
      <w:r>
        <w:rPr>
          <w:rFonts w:ascii="Times New Roman" w:hAnsi="Times New Roman" w:eastAsia="仿宋_GB2312" w:cs="Times New Roman"/>
          <w:color w:val="000000" w:themeColor="text1"/>
          <w:sz w:val="32"/>
          <w:highlight w:val="none"/>
          <w14:textFill>
            <w14:solidFill>
              <w14:schemeClr w14:val="tx1"/>
            </w14:solidFill>
          </w14:textFill>
        </w:rPr>
        <w:t>共投资</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69415</w:t>
      </w:r>
      <w:r>
        <w:rPr>
          <w:rFonts w:ascii="Times New Roman" w:hAnsi="Times New Roman" w:eastAsia="仿宋_GB2312" w:cs="Times New Roman"/>
          <w:color w:val="000000" w:themeColor="text1"/>
          <w:sz w:val="32"/>
          <w:highlight w:val="none"/>
          <w14:textFill>
            <w14:solidFill>
              <w14:schemeClr w14:val="tx1"/>
            </w14:solidFill>
          </w14:textFill>
        </w:rPr>
        <w:t>万元，占</w:t>
      </w:r>
      <w:r>
        <w:rPr>
          <w:rFonts w:hint="eastAsia" w:ascii="Times New Roman" w:hAnsi="Times New Roman" w:eastAsia="仿宋_GB2312" w:cs="Times New Roman"/>
          <w:color w:val="000000" w:themeColor="text1"/>
          <w:sz w:val="32"/>
          <w:highlight w:val="none"/>
          <w14:textFill>
            <w14:solidFill>
              <w14:schemeClr w14:val="tx1"/>
            </w14:solidFill>
          </w14:textFill>
        </w:rPr>
        <w:t>比</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19.31</w:t>
      </w:r>
      <w:r>
        <w:rPr>
          <w:rFonts w:ascii="Times New Roman" w:hAnsi="Times New Roman" w:eastAsia="仿宋_GB2312" w:cs="Times New Roman"/>
          <w:color w:val="000000" w:themeColor="text1"/>
          <w:sz w:val="32"/>
          <w:highlight w:val="none"/>
          <w14:textFill>
            <w14:solidFill>
              <w14:schemeClr w14:val="tx1"/>
            </w14:solidFill>
          </w14:textFill>
        </w:rPr>
        <w:t>%</w:t>
      </w:r>
      <w:r>
        <w:rPr>
          <w:rFonts w:hint="eastAsia" w:ascii="Times New Roman" w:hAnsi="Times New Roman" w:eastAsia="仿宋_GB2312" w:cs="Times New Roman"/>
          <w:color w:val="000000" w:themeColor="text1"/>
          <w:sz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highlight w:val="none"/>
          <w:lang w:val="en-US" w:eastAsia="zh-CN"/>
          <w14:textFill>
            <w14:solidFill>
              <w14:schemeClr w14:val="tx1"/>
            </w14:solidFill>
          </w14:textFill>
        </w:rPr>
        <w:t>宜人安全环境重点工程总投资14908万元，占比4.54%</w:t>
      </w:r>
      <w:r>
        <w:rPr>
          <w:rFonts w:hint="eastAsia" w:ascii="Times New Roman" w:hAnsi="Times New Roman" w:eastAsia="仿宋_GB2312" w:cs="Times New Roman"/>
          <w:color w:val="000000" w:themeColor="text1"/>
          <w:sz w:val="32"/>
          <w:highlight w:val="none"/>
          <w14:textFill>
            <w14:solidFill>
              <w14:schemeClr w14:val="tx1"/>
            </w14:solidFill>
          </w14:textFill>
        </w:rPr>
        <w:t>。重点工程</w:t>
      </w:r>
      <w:r>
        <w:rPr>
          <w:rFonts w:ascii="Times New Roman" w:hAnsi="Times New Roman" w:eastAsia="仿宋_GB2312" w:cs="Times New Roman"/>
          <w:color w:val="000000" w:themeColor="text1"/>
          <w:sz w:val="32"/>
          <w:highlight w:val="none"/>
          <w14:textFill>
            <w14:solidFill>
              <w14:schemeClr w14:val="tx1"/>
            </w14:solidFill>
          </w14:textFill>
        </w:rPr>
        <w:t>资金的分配见</w:t>
      </w:r>
      <w:r>
        <w:rPr>
          <w:rFonts w:hint="eastAsia" w:ascii="Times New Roman" w:hAnsi="Times New Roman" w:eastAsia="仿宋_GB2312" w:cs="Times New Roman"/>
          <w:color w:val="000000" w:themeColor="text1"/>
          <w:sz w:val="32"/>
          <w:highlight w:val="none"/>
          <w14:textFill>
            <w14:solidFill>
              <w14:schemeClr w14:val="tx1"/>
            </w14:solidFill>
          </w14:textFill>
        </w:rPr>
        <w:t>下</w:t>
      </w:r>
      <w:r>
        <w:rPr>
          <w:rFonts w:ascii="Times New Roman" w:hAnsi="Times New Roman" w:eastAsia="仿宋_GB2312" w:cs="Times New Roman"/>
          <w:color w:val="000000" w:themeColor="text1"/>
          <w:sz w:val="32"/>
          <w:highlight w:val="none"/>
          <w14:textFill>
            <w14:solidFill>
              <w14:schemeClr w14:val="tx1"/>
            </w14:solidFill>
          </w14:textFill>
        </w:rPr>
        <w:t>表。</w:t>
      </w:r>
    </w:p>
    <w:p w14:paraId="587ABCB5">
      <w:pPr>
        <w:widowControl/>
        <w:shd w:val="clear"/>
        <w:ind w:firstLine="482" w:firstLineChars="200"/>
        <w:jc w:val="center"/>
        <w:rPr>
          <w:rFonts w:hint="eastAsia" w:ascii="黑体" w:hAnsi="黑体" w:eastAsia="黑体" w:cs="黑体"/>
          <w:b/>
          <w:bCs/>
          <w:color w:val="000000" w:themeColor="text1"/>
          <w:sz w:val="24"/>
          <w:highlight w:val="none"/>
          <w14:textFill>
            <w14:solidFill>
              <w14:schemeClr w14:val="tx1"/>
            </w14:solidFill>
          </w14:textFill>
        </w:rPr>
      </w:pPr>
      <w:r>
        <w:rPr>
          <w:rFonts w:hint="eastAsia" w:ascii="黑体" w:hAnsi="黑体" w:eastAsia="黑体" w:cs="黑体"/>
          <w:b/>
          <w:bCs/>
          <w:color w:val="000000" w:themeColor="text1"/>
          <w:sz w:val="24"/>
          <w:highlight w:val="none"/>
          <w14:textFill>
            <w14:solidFill>
              <w14:schemeClr w14:val="tx1"/>
            </w14:solidFill>
          </w14:textFill>
        </w:rPr>
        <w:t>美丽</w:t>
      </w:r>
      <w:r>
        <w:rPr>
          <w:rFonts w:hint="eastAsia" w:ascii="黑体" w:hAnsi="黑体" w:eastAsia="黑体" w:cs="黑体"/>
          <w:b/>
          <w:bCs/>
          <w:color w:val="000000" w:themeColor="text1"/>
          <w:sz w:val="24"/>
          <w:highlight w:val="none"/>
          <w:lang w:eastAsia="zh-CN"/>
          <w14:textFill>
            <w14:solidFill>
              <w14:schemeClr w14:val="tx1"/>
            </w14:solidFill>
          </w14:textFill>
        </w:rPr>
        <w:t>阿坝</w:t>
      </w:r>
      <w:r>
        <w:rPr>
          <w:rFonts w:hint="eastAsia" w:ascii="黑体" w:hAnsi="黑体" w:eastAsia="黑体" w:cs="黑体"/>
          <w:b/>
          <w:bCs/>
          <w:color w:val="000000" w:themeColor="text1"/>
          <w:sz w:val="24"/>
          <w:highlight w:val="none"/>
          <w14:textFill>
            <w14:solidFill>
              <w14:schemeClr w14:val="tx1"/>
            </w14:solidFill>
          </w14:textFill>
        </w:rPr>
        <w:t>重点工程投资一览表</w:t>
      </w:r>
    </w:p>
    <w:tbl>
      <w:tblPr>
        <w:tblStyle w:val="16"/>
        <w:tblW w:w="60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1213"/>
        <w:gridCol w:w="1213"/>
        <w:gridCol w:w="1213"/>
        <w:gridCol w:w="1214"/>
        <w:gridCol w:w="1214"/>
        <w:gridCol w:w="1214"/>
        <w:gridCol w:w="1468"/>
        <w:gridCol w:w="1170"/>
      </w:tblGrid>
      <w:tr w14:paraId="0B69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96" w:type="pct"/>
            <w:noWrap/>
            <w:vAlign w:val="center"/>
          </w:tcPr>
          <w:p w14:paraId="77A640B8">
            <w:pPr>
              <w:widowControl/>
              <w:shd w:val="clear"/>
              <w:spacing w:line="320" w:lineRule="exact"/>
              <w:jc w:val="center"/>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项目</w:t>
            </w:r>
          </w:p>
          <w:p w14:paraId="400DD24C">
            <w:pPr>
              <w:widowControl/>
              <w:shd w:val="clear"/>
              <w:spacing w:line="320" w:lineRule="exact"/>
              <w:jc w:val="center"/>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类别</w:t>
            </w:r>
          </w:p>
        </w:tc>
        <w:tc>
          <w:tcPr>
            <w:tcW w:w="550" w:type="pct"/>
            <w:noWrap/>
            <w:vAlign w:val="center"/>
          </w:tcPr>
          <w:p w14:paraId="6D498666">
            <w:pPr>
              <w:widowControl/>
              <w:shd w:val="clear"/>
              <w:spacing w:line="320" w:lineRule="exact"/>
              <w:jc w:val="center"/>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美丽</w:t>
            </w: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山川</w:t>
            </w:r>
            <w:r>
              <w:rPr>
                <w:rFonts w:hint="eastAsia" w:ascii="仿宋_GB2312" w:hAnsi="仿宋_GB2312" w:eastAsia="仿宋_GB2312" w:cs="仿宋_GB2312"/>
                <w:b/>
                <w:bCs/>
                <w:color w:val="000000" w:themeColor="text1"/>
                <w:sz w:val="24"/>
                <w:highlight w:val="none"/>
                <w14:textFill>
                  <w14:solidFill>
                    <w14:schemeClr w14:val="tx1"/>
                  </w14:solidFill>
                </w14:textFill>
              </w:rPr>
              <w:t>重点工程</w:t>
            </w:r>
          </w:p>
        </w:tc>
        <w:tc>
          <w:tcPr>
            <w:tcW w:w="550" w:type="pct"/>
            <w:noWrap/>
            <w:vAlign w:val="center"/>
          </w:tcPr>
          <w:p w14:paraId="38B5DA43">
            <w:pPr>
              <w:widowControl/>
              <w:shd w:val="clear"/>
              <w:spacing w:line="320" w:lineRule="exact"/>
              <w:jc w:val="center"/>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美丽</w:t>
            </w: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河湖</w:t>
            </w:r>
            <w:r>
              <w:rPr>
                <w:rFonts w:hint="eastAsia" w:ascii="仿宋_GB2312" w:hAnsi="仿宋_GB2312" w:eastAsia="仿宋_GB2312" w:cs="仿宋_GB2312"/>
                <w:b/>
                <w:bCs/>
                <w:color w:val="000000" w:themeColor="text1"/>
                <w:sz w:val="24"/>
                <w:highlight w:val="none"/>
                <w14:textFill>
                  <w14:solidFill>
                    <w14:schemeClr w14:val="tx1"/>
                  </w14:solidFill>
                </w14:textFill>
              </w:rPr>
              <w:t>重点工程</w:t>
            </w:r>
          </w:p>
        </w:tc>
        <w:tc>
          <w:tcPr>
            <w:tcW w:w="550" w:type="pct"/>
            <w:noWrap/>
            <w:vAlign w:val="center"/>
          </w:tcPr>
          <w:p w14:paraId="338302B3">
            <w:pPr>
              <w:widowControl/>
              <w:shd w:val="clear"/>
              <w:spacing w:line="320" w:lineRule="exact"/>
              <w:jc w:val="center"/>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美丽</w:t>
            </w: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城市</w:t>
            </w:r>
            <w:r>
              <w:rPr>
                <w:rFonts w:hint="eastAsia" w:ascii="仿宋_GB2312" w:hAnsi="仿宋_GB2312" w:eastAsia="仿宋_GB2312" w:cs="仿宋_GB2312"/>
                <w:b/>
                <w:bCs/>
                <w:color w:val="000000" w:themeColor="text1"/>
                <w:sz w:val="24"/>
                <w:highlight w:val="none"/>
                <w14:textFill>
                  <w14:solidFill>
                    <w14:schemeClr w14:val="tx1"/>
                  </w14:solidFill>
                </w14:textFill>
              </w:rPr>
              <w:t>重点工程</w:t>
            </w:r>
          </w:p>
        </w:tc>
        <w:tc>
          <w:tcPr>
            <w:tcW w:w="551" w:type="pct"/>
            <w:noWrap/>
            <w:vAlign w:val="center"/>
          </w:tcPr>
          <w:p w14:paraId="440B5602">
            <w:pPr>
              <w:widowControl/>
              <w:shd w:val="clear"/>
              <w:spacing w:line="320" w:lineRule="exact"/>
              <w:jc w:val="center"/>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美丽</w:t>
            </w: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乡村</w:t>
            </w:r>
            <w:r>
              <w:rPr>
                <w:rFonts w:hint="eastAsia" w:ascii="仿宋_GB2312" w:hAnsi="仿宋_GB2312" w:eastAsia="仿宋_GB2312" w:cs="仿宋_GB2312"/>
                <w:b/>
                <w:bCs/>
                <w:color w:val="000000" w:themeColor="text1"/>
                <w:sz w:val="24"/>
                <w:highlight w:val="none"/>
                <w14:textFill>
                  <w14:solidFill>
                    <w14:schemeClr w14:val="tx1"/>
                  </w14:solidFill>
                </w14:textFill>
              </w:rPr>
              <w:t>重点工程</w:t>
            </w:r>
          </w:p>
        </w:tc>
        <w:tc>
          <w:tcPr>
            <w:tcW w:w="551" w:type="pct"/>
            <w:noWrap/>
            <w:vAlign w:val="center"/>
          </w:tcPr>
          <w:p w14:paraId="01EF616C">
            <w:pPr>
              <w:widowControl/>
              <w:shd w:val="clear"/>
              <w:spacing w:line="320" w:lineRule="exact"/>
              <w:jc w:val="center"/>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绿色产业</w:t>
            </w:r>
            <w:r>
              <w:rPr>
                <w:rFonts w:hint="eastAsia" w:ascii="仿宋_GB2312" w:hAnsi="仿宋_GB2312" w:eastAsia="仿宋_GB2312" w:cs="仿宋_GB2312"/>
                <w:b/>
                <w:bCs/>
                <w:color w:val="000000" w:themeColor="text1"/>
                <w:sz w:val="24"/>
                <w:highlight w:val="none"/>
                <w14:textFill>
                  <w14:solidFill>
                    <w14:schemeClr w14:val="tx1"/>
                  </w14:solidFill>
                </w14:textFill>
              </w:rPr>
              <w:t>重点工程</w:t>
            </w:r>
          </w:p>
        </w:tc>
        <w:tc>
          <w:tcPr>
            <w:tcW w:w="551" w:type="pct"/>
            <w:noWrap/>
            <w:vAlign w:val="center"/>
          </w:tcPr>
          <w:p w14:paraId="577925C7">
            <w:pPr>
              <w:widowControl/>
              <w:shd w:val="clear"/>
              <w:spacing w:line="320" w:lineRule="exact"/>
              <w:jc w:val="center"/>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美好生活</w:t>
            </w:r>
            <w:r>
              <w:rPr>
                <w:rFonts w:hint="eastAsia" w:ascii="仿宋_GB2312" w:hAnsi="仿宋_GB2312" w:eastAsia="仿宋_GB2312" w:cs="仿宋_GB2312"/>
                <w:b/>
                <w:bCs/>
                <w:color w:val="000000" w:themeColor="text1"/>
                <w:sz w:val="24"/>
                <w:highlight w:val="none"/>
                <w14:textFill>
                  <w14:solidFill>
                    <w14:schemeClr w14:val="tx1"/>
                  </w14:solidFill>
                </w14:textFill>
              </w:rPr>
              <w:t>重点工程</w:t>
            </w:r>
          </w:p>
        </w:tc>
        <w:tc>
          <w:tcPr>
            <w:tcW w:w="666" w:type="pct"/>
            <w:noWrap/>
            <w:vAlign w:val="center"/>
          </w:tcPr>
          <w:p w14:paraId="6EEC5E34">
            <w:pPr>
              <w:widowControl/>
              <w:shd w:val="clear"/>
              <w:spacing w:line="320" w:lineRule="exact"/>
              <w:jc w:val="cente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宜人安全环境重点工程</w:t>
            </w:r>
          </w:p>
        </w:tc>
        <w:tc>
          <w:tcPr>
            <w:tcW w:w="531" w:type="pct"/>
            <w:noWrap/>
            <w:vAlign w:val="center"/>
          </w:tcPr>
          <w:p w14:paraId="5DAB3051">
            <w:pPr>
              <w:widowControl/>
              <w:shd w:val="clear"/>
              <w:spacing w:line="320" w:lineRule="exact"/>
              <w:jc w:val="center"/>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合计</w:t>
            </w:r>
          </w:p>
        </w:tc>
      </w:tr>
      <w:tr w14:paraId="7692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496" w:type="pct"/>
            <w:noWrap/>
            <w:vAlign w:val="center"/>
          </w:tcPr>
          <w:p w14:paraId="65EAE2E0">
            <w:pPr>
              <w:widowControl/>
              <w:shd w:val="clear"/>
              <w:spacing w:line="320" w:lineRule="exact"/>
              <w:jc w:val="center"/>
              <w:rPr>
                <w:rFonts w:ascii="Times New Roman" w:hAnsi="Times New Roman" w:eastAsia="仿宋_GB2312" w:cs="Times New Roman"/>
                <w:b/>
                <w:bCs/>
                <w:color w:val="000000" w:themeColor="text1"/>
                <w:sz w:val="24"/>
                <w:highlight w:val="none"/>
                <w14:textFill>
                  <w14:solidFill>
                    <w14:schemeClr w14:val="tx1"/>
                  </w14:solidFill>
                </w14:textFill>
              </w:rPr>
            </w:pPr>
            <w:r>
              <w:rPr>
                <w:rFonts w:ascii="Times New Roman" w:hAnsi="Times New Roman" w:eastAsia="仿宋_GB2312" w:cs="Times New Roman"/>
                <w:b/>
                <w:bCs/>
                <w:color w:val="000000" w:themeColor="text1"/>
                <w:sz w:val="24"/>
                <w:highlight w:val="none"/>
                <w14:textFill>
                  <w14:solidFill>
                    <w14:schemeClr w14:val="tx1"/>
                  </w14:solidFill>
                </w14:textFill>
              </w:rPr>
              <w:t>项目数量（个）</w:t>
            </w:r>
          </w:p>
        </w:tc>
        <w:tc>
          <w:tcPr>
            <w:tcW w:w="550" w:type="pct"/>
            <w:noWrap/>
            <w:vAlign w:val="center"/>
          </w:tcPr>
          <w:p w14:paraId="7F0E8D9A">
            <w:pPr>
              <w:widowControl/>
              <w:shd w:val="clear"/>
              <w:spacing w:line="320" w:lineRule="exact"/>
              <w:jc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22</w:t>
            </w:r>
          </w:p>
        </w:tc>
        <w:tc>
          <w:tcPr>
            <w:tcW w:w="550" w:type="pct"/>
            <w:noWrap/>
            <w:vAlign w:val="center"/>
          </w:tcPr>
          <w:p w14:paraId="6C5B522A">
            <w:pPr>
              <w:widowControl/>
              <w:shd w:val="clear"/>
              <w:spacing w:line="320" w:lineRule="exact"/>
              <w:jc w:val="center"/>
              <w:rPr>
                <w:rFonts w:hint="default" w:ascii="Times New Roman" w:hAnsi="Times New Roman" w:eastAsia="仿宋_GB2312" w:cs="Times New Roman"/>
                <w:color w:val="0000FF"/>
                <w:sz w:val="24"/>
                <w:highlight w:val="none"/>
                <w:lang w:val="en-US" w:eastAsia="zh-CN"/>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9</w:t>
            </w:r>
          </w:p>
        </w:tc>
        <w:tc>
          <w:tcPr>
            <w:tcW w:w="550" w:type="pct"/>
            <w:noWrap/>
            <w:vAlign w:val="center"/>
          </w:tcPr>
          <w:p w14:paraId="066C13F7">
            <w:pPr>
              <w:widowControl/>
              <w:shd w:val="clear"/>
              <w:spacing w:line="320" w:lineRule="exact"/>
              <w:jc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7</w:t>
            </w:r>
          </w:p>
        </w:tc>
        <w:tc>
          <w:tcPr>
            <w:tcW w:w="551" w:type="pct"/>
            <w:noWrap/>
            <w:vAlign w:val="center"/>
          </w:tcPr>
          <w:p w14:paraId="7B46A432">
            <w:pPr>
              <w:widowControl/>
              <w:shd w:val="clear"/>
              <w:spacing w:line="320" w:lineRule="exact"/>
              <w:jc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9</w:t>
            </w:r>
          </w:p>
        </w:tc>
        <w:tc>
          <w:tcPr>
            <w:tcW w:w="551" w:type="pct"/>
            <w:shd w:val="clear" w:color="auto" w:fill="auto"/>
            <w:noWrap/>
            <w:vAlign w:val="center"/>
          </w:tcPr>
          <w:p w14:paraId="60161E94">
            <w:pPr>
              <w:widowControl/>
              <w:shd w:val="clear"/>
              <w:spacing w:line="320" w:lineRule="exact"/>
              <w:jc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4</w:t>
            </w:r>
          </w:p>
        </w:tc>
        <w:tc>
          <w:tcPr>
            <w:tcW w:w="551" w:type="pct"/>
            <w:shd w:val="clear" w:color="auto" w:fill="auto"/>
            <w:noWrap/>
            <w:vAlign w:val="center"/>
          </w:tcPr>
          <w:p w14:paraId="4B9FFCE4">
            <w:pPr>
              <w:widowControl/>
              <w:shd w:val="clear"/>
              <w:spacing w:line="320" w:lineRule="exact"/>
              <w:jc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9</w:t>
            </w:r>
          </w:p>
        </w:tc>
        <w:tc>
          <w:tcPr>
            <w:tcW w:w="666" w:type="pct"/>
            <w:noWrap/>
            <w:vAlign w:val="center"/>
          </w:tcPr>
          <w:p w14:paraId="15B67F9D">
            <w:pPr>
              <w:widowControl/>
              <w:shd w:val="clear"/>
              <w:spacing w:line="320" w:lineRule="exact"/>
              <w:jc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6</w:t>
            </w:r>
          </w:p>
        </w:tc>
        <w:tc>
          <w:tcPr>
            <w:tcW w:w="531" w:type="pct"/>
            <w:noWrap/>
            <w:vAlign w:val="center"/>
          </w:tcPr>
          <w:p w14:paraId="53B58A99">
            <w:pPr>
              <w:widowControl/>
              <w:shd w:val="clear"/>
              <w:spacing w:line="320" w:lineRule="exact"/>
              <w:jc w:val="center"/>
              <w:rPr>
                <w:rFonts w:hint="default" w:ascii="Times New Roman" w:hAnsi="Times New Roman" w:eastAsia="仿宋_GB2312"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24"/>
                <w:highlight w:val="none"/>
                <w:lang w:val="en-US" w:eastAsia="zh-CN"/>
                <w14:textFill>
                  <w14:solidFill>
                    <w14:schemeClr w14:val="tx1"/>
                  </w14:solidFill>
                </w14:textFill>
              </w:rPr>
              <w:t>66</w:t>
            </w:r>
          </w:p>
        </w:tc>
      </w:tr>
      <w:tr w14:paraId="5B45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496" w:type="pct"/>
            <w:noWrap/>
            <w:vAlign w:val="center"/>
          </w:tcPr>
          <w:p w14:paraId="7D7EE0FD">
            <w:pPr>
              <w:widowControl/>
              <w:shd w:val="clear"/>
              <w:spacing w:line="320" w:lineRule="exact"/>
              <w:jc w:val="center"/>
              <w:rPr>
                <w:rFonts w:ascii="Times New Roman" w:hAnsi="Times New Roman" w:eastAsia="仿宋_GB2312" w:cs="Times New Roman"/>
                <w:b/>
                <w:bCs/>
                <w:color w:val="000000" w:themeColor="text1"/>
                <w:sz w:val="24"/>
                <w:highlight w:val="none"/>
                <w14:textFill>
                  <w14:solidFill>
                    <w14:schemeClr w14:val="tx1"/>
                  </w14:solidFill>
                </w14:textFill>
              </w:rPr>
            </w:pPr>
            <w:r>
              <w:rPr>
                <w:rFonts w:ascii="Times New Roman" w:hAnsi="Times New Roman" w:eastAsia="仿宋_GB2312" w:cs="Times New Roman"/>
                <w:b/>
                <w:bCs/>
                <w:color w:val="000000" w:themeColor="text1"/>
                <w:sz w:val="24"/>
                <w:highlight w:val="none"/>
                <w14:textFill>
                  <w14:solidFill>
                    <w14:schemeClr w14:val="tx1"/>
                  </w14:solidFill>
                </w14:textFill>
              </w:rPr>
              <w:t>投资额</w:t>
            </w:r>
          </w:p>
          <w:p w14:paraId="078A4685">
            <w:pPr>
              <w:widowControl/>
              <w:shd w:val="clear"/>
              <w:spacing w:line="320" w:lineRule="exact"/>
              <w:jc w:val="center"/>
              <w:rPr>
                <w:rFonts w:ascii="Times New Roman" w:hAnsi="Times New Roman" w:eastAsia="仿宋_GB2312" w:cs="Times New Roman"/>
                <w:b/>
                <w:bCs/>
                <w:color w:val="000000" w:themeColor="text1"/>
                <w:sz w:val="24"/>
                <w:highlight w:val="none"/>
                <w14:textFill>
                  <w14:solidFill>
                    <w14:schemeClr w14:val="tx1"/>
                  </w14:solidFill>
                </w14:textFill>
              </w:rPr>
            </w:pPr>
            <w:r>
              <w:rPr>
                <w:rFonts w:ascii="Times New Roman" w:hAnsi="Times New Roman" w:eastAsia="仿宋_GB2312" w:cs="Times New Roman"/>
                <w:b/>
                <w:bCs/>
                <w:color w:val="000000" w:themeColor="text1"/>
                <w:sz w:val="24"/>
                <w:highlight w:val="none"/>
                <w14:textFill>
                  <w14:solidFill>
                    <w14:schemeClr w14:val="tx1"/>
                  </w14:solidFill>
                </w14:textFill>
              </w:rPr>
              <w:t>（万元）</w:t>
            </w:r>
          </w:p>
        </w:tc>
        <w:tc>
          <w:tcPr>
            <w:tcW w:w="550" w:type="pct"/>
            <w:noWrap/>
            <w:vAlign w:val="center"/>
          </w:tcPr>
          <w:p w14:paraId="5EC0127D">
            <w:pPr>
              <w:keepNext w:val="0"/>
              <w:keepLines w:val="0"/>
              <w:widowControl/>
              <w:suppressLineNumbers w:val="0"/>
              <w:shd w:val="clear"/>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108783.95</w:t>
            </w:r>
          </w:p>
        </w:tc>
        <w:tc>
          <w:tcPr>
            <w:tcW w:w="550" w:type="pct"/>
            <w:noWrap/>
            <w:vAlign w:val="center"/>
          </w:tcPr>
          <w:p w14:paraId="09922BC4">
            <w:pPr>
              <w:keepNext w:val="0"/>
              <w:keepLines w:val="0"/>
              <w:widowControl/>
              <w:suppressLineNumbers w:val="0"/>
              <w:shd w:val="clear"/>
              <w:jc w:val="center"/>
              <w:textAlignment w:val="center"/>
              <w:rPr>
                <w:rFonts w:hint="default" w:ascii="Times New Roman" w:hAnsi="Times New Roman" w:eastAsia="仿宋_GB2312" w:cs="Times New Roman"/>
                <w:color w:val="0000FF"/>
                <w:sz w:val="24"/>
                <w:highlight w:val="none"/>
                <w:lang w:val="en-US" w:eastAsia="zh-CN"/>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32318</w:t>
            </w:r>
          </w:p>
        </w:tc>
        <w:tc>
          <w:tcPr>
            <w:tcW w:w="550" w:type="pct"/>
            <w:noWrap/>
            <w:vAlign w:val="center"/>
          </w:tcPr>
          <w:p w14:paraId="47A5B653">
            <w:pPr>
              <w:widowControl/>
              <w:shd w:val="clear"/>
              <w:spacing w:line="320" w:lineRule="exact"/>
              <w:jc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56450</w:t>
            </w:r>
          </w:p>
        </w:tc>
        <w:tc>
          <w:tcPr>
            <w:tcW w:w="551" w:type="pct"/>
            <w:noWrap/>
            <w:vAlign w:val="center"/>
          </w:tcPr>
          <w:p w14:paraId="3B5069DD">
            <w:pPr>
              <w:widowControl/>
              <w:shd w:val="clear"/>
              <w:spacing w:line="320" w:lineRule="exact"/>
              <w:jc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30020</w:t>
            </w:r>
          </w:p>
        </w:tc>
        <w:tc>
          <w:tcPr>
            <w:tcW w:w="551" w:type="pct"/>
            <w:shd w:val="clear" w:color="auto" w:fill="auto"/>
            <w:noWrap/>
            <w:vAlign w:val="center"/>
          </w:tcPr>
          <w:p w14:paraId="16FA29B7">
            <w:pPr>
              <w:widowControl/>
              <w:shd w:val="clear"/>
              <w:spacing w:line="320" w:lineRule="exact"/>
              <w:jc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22536</w:t>
            </w:r>
          </w:p>
        </w:tc>
        <w:tc>
          <w:tcPr>
            <w:tcW w:w="551" w:type="pct"/>
            <w:shd w:val="clear" w:color="auto" w:fill="auto"/>
            <w:noWrap/>
            <w:vAlign w:val="center"/>
          </w:tcPr>
          <w:p w14:paraId="161F1093">
            <w:pPr>
              <w:widowControl/>
              <w:shd w:val="clear"/>
              <w:spacing w:line="320" w:lineRule="exact"/>
              <w:jc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63415</w:t>
            </w:r>
          </w:p>
        </w:tc>
        <w:tc>
          <w:tcPr>
            <w:tcW w:w="666" w:type="pct"/>
            <w:noWrap/>
            <w:vAlign w:val="center"/>
          </w:tcPr>
          <w:p w14:paraId="2ED23363">
            <w:pPr>
              <w:widowControl/>
              <w:shd w:val="clear"/>
              <w:spacing w:line="320" w:lineRule="exact"/>
              <w:jc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14908</w:t>
            </w:r>
          </w:p>
        </w:tc>
        <w:tc>
          <w:tcPr>
            <w:tcW w:w="531" w:type="pct"/>
            <w:noWrap/>
            <w:vAlign w:val="center"/>
          </w:tcPr>
          <w:p w14:paraId="40CB88A1">
            <w:pPr>
              <w:widowControl/>
              <w:shd w:val="clear"/>
              <w:spacing w:line="320" w:lineRule="exact"/>
              <w:jc w:val="center"/>
              <w:rPr>
                <w:rFonts w:hint="default" w:ascii="Times New Roman" w:hAnsi="Times New Roman" w:eastAsia="仿宋_GB2312"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4"/>
                <w:highlight w:val="none"/>
                <w:lang w:val="en-US" w:eastAsia="zh-CN"/>
                <w14:textFill>
                  <w14:solidFill>
                    <w14:schemeClr w14:val="tx1"/>
                  </w14:solidFill>
                </w14:textFill>
              </w:rPr>
              <w:fldChar w:fldCharType="begin"/>
            </w:r>
            <w:r>
              <w:rPr>
                <w:rFonts w:hint="default" w:ascii="Times New Roman" w:hAnsi="Times New Roman" w:eastAsia="仿宋_GB2312" w:cs="Times New Roman"/>
                <w:b/>
                <w:bCs/>
                <w:color w:val="000000" w:themeColor="text1"/>
                <w:sz w:val="24"/>
                <w:highlight w:val="none"/>
                <w:lang w:val="en-US" w:eastAsia="zh-CN"/>
                <w14:textFill>
                  <w14:solidFill>
                    <w14:schemeClr w14:val="tx1"/>
                  </w14:solidFill>
                </w14:textFill>
              </w:rPr>
              <w:instrText xml:space="preserve"> = sum(B3:H3) \* MERGEFORMAT </w:instrText>
            </w:r>
            <w:r>
              <w:rPr>
                <w:rFonts w:hint="default" w:ascii="Times New Roman" w:hAnsi="Times New Roman" w:eastAsia="仿宋_GB2312" w:cs="Times New Roman"/>
                <w:b/>
                <w:bCs/>
                <w:color w:val="000000" w:themeColor="text1"/>
                <w:sz w:val="24"/>
                <w:highlight w:val="none"/>
                <w:lang w:val="en-US" w:eastAsia="zh-CN"/>
                <w14:textFill>
                  <w14:solidFill>
                    <w14:schemeClr w14:val="tx1"/>
                  </w14:solidFill>
                </w14:textFill>
              </w:rPr>
              <w:fldChar w:fldCharType="separate"/>
            </w:r>
            <w:r>
              <w:rPr>
                <w:rFonts w:hint="default" w:ascii="Times New Roman" w:hAnsi="Times New Roman" w:eastAsia="仿宋_GB2312" w:cs="Times New Roman"/>
                <w:b/>
                <w:bCs/>
                <w:color w:val="000000" w:themeColor="text1"/>
                <w:sz w:val="24"/>
                <w:highlight w:val="none"/>
                <w:lang w:val="en-US" w:eastAsia="zh-CN"/>
                <w14:textFill>
                  <w14:solidFill>
                    <w14:schemeClr w14:val="tx1"/>
                  </w14:solidFill>
                </w14:textFill>
              </w:rPr>
              <w:t>3</w:t>
            </w:r>
            <w:r>
              <w:rPr>
                <w:rFonts w:hint="eastAsia" w:ascii="Times New Roman" w:hAnsi="Times New Roman" w:eastAsia="仿宋_GB2312" w:cs="Times New Roman"/>
                <w:b/>
                <w:bCs/>
                <w:color w:val="000000" w:themeColor="text1"/>
                <w:sz w:val="24"/>
                <w:highlight w:val="none"/>
                <w:lang w:val="en-US" w:eastAsia="zh-CN"/>
                <w14:textFill>
                  <w14:solidFill>
                    <w14:schemeClr w14:val="tx1"/>
                  </w14:solidFill>
                </w14:textFill>
              </w:rPr>
              <w:t>28</w:t>
            </w:r>
            <w:r>
              <w:rPr>
                <w:rFonts w:hint="default" w:ascii="Times New Roman" w:hAnsi="Times New Roman" w:eastAsia="仿宋_GB2312" w:cs="Times New Roman"/>
                <w:b/>
                <w:bCs/>
                <w:color w:val="000000" w:themeColor="text1"/>
                <w:sz w:val="24"/>
                <w:highlight w:val="none"/>
                <w:lang w:val="en-US" w:eastAsia="zh-CN"/>
                <w14:textFill>
                  <w14:solidFill>
                    <w14:schemeClr w14:val="tx1"/>
                  </w14:solidFill>
                </w14:textFill>
              </w:rPr>
              <w:t>430.95</w:t>
            </w:r>
            <w:r>
              <w:rPr>
                <w:rFonts w:hint="default" w:ascii="Times New Roman" w:hAnsi="Times New Roman" w:eastAsia="仿宋_GB2312" w:cs="Times New Roman"/>
                <w:b/>
                <w:bCs/>
                <w:color w:val="000000" w:themeColor="text1"/>
                <w:sz w:val="24"/>
                <w:highlight w:val="none"/>
                <w:lang w:val="en-US" w:eastAsia="zh-CN"/>
                <w14:textFill>
                  <w14:solidFill>
                    <w14:schemeClr w14:val="tx1"/>
                  </w14:solidFill>
                </w14:textFill>
              </w:rPr>
              <w:fldChar w:fldCharType="end"/>
            </w:r>
          </w:p>
        </w:tc>
      </w:tr>
    </w:tbl>
    <w:p w14:paraId="11CB4BD1">
      <w:pPr>
        <w:shd w:val="clear"/>
        <w:rPr>
          <w:rFonts w:ascii="Times New Roman" w:hAnsi="Times New Roman" w:cs="Times New Roman"/>
          <w:color w:val="0000FF"/>
          <w:highlight w:val="none"/>
        </w:rPr>
      </w:pPr>
      <w:r>
        <w:rPr>
          <w:rFonts w:ascii="Times New Roman" w:hAnsi="Times New Roman" w:cs="Times New Roman"/>
          <w:color w:val="0000FF"/>
          <w:highlight w:val="none"/>
        </w:rPr>
        <w:br w:type="page"/>
      </w:r>
    </w:p>
    <w:p w14:paraId="3F2853E9">
      <w:pPr>
        <w:shd w:val="clear"/>
        <w:rPr>
          <w:color w:val="0000FF"/>
          <w:highlight w:val="none"/>
        </w:rPr>
        <w:sectPr>
          <w:footerReference r:id="rId7" w:type="default"/>
          <w:pgSz w:w="11906" w:h="16838"/>
          <w:pgMar w:top="2098" w:right="1474" w:bottom="1984" w:left="1587" w:header="851" w:footer="1417" w:gutter="0"/>
          <w:pgNumType w:fmt="decimal"/>
          <w:cols w:space="0" w:num="1"/>
          <w:docGrid w:type="lines" w:linePitch="312" w:charSpace="0"/>
        </w:sectPr>
      </w:pPr>
    </w:p>
    <w:p w14:paraId="6CB80F40">
      <w:pPr>
        <w:widowControl/>
        <w:shd w:val="clear"/>
        <w:ind w:firstLine="482" w:firstLineChars="200"/>
        <w:jc w:val="center"/>
        <w:rPr>
          <w:rFonts w:hint="default" w:ascii="黑体" w:hAnsi="黑体" w:eastAsia="黑体" w:cs="黑体"/>
          <w:b/>
          <w:bCs/>
          <w:color w:val="000000" w:themeColor="text1"/>
          <w:sz w:val="24"/>
          <w:highlight w:val="none"/>
          <w:lang w:val="en-US" w:eastAsia="zh-CN"/>
          <w14:textFill>
            <w14:solidFill>
              <w14:schemeClr w14:val="tx1"/>
            </w14:solidFill>
          </w14:textFill>
        </w:rPr>
      </w:pPr>
      <w:r>
        <w:rPr>
          <w:rFonts w:hint="eastAsia" w:ascii="黑体" w:hAnsi="黑体" w:eastAsia="黑体" w:cs="黑体"/>
          <w:b/>
          <w:bCs/>
          <w:color w:val="000000" w:themeColor="text1"/>
          <w:sz w:val="24"/>
          <w:highlight w:val="none"/>
          <w:lang w:val="en-US" w:eastAsia="zh-CN"/>
          <w14:textFill>
            <w14:solidFill>
              <w14:schemeClr w14:val="tx1"/>
            </w14:solidFill>
          </w14:textFill>
        </w:rPr>
        <w:t>美丽阿坝建设重点工程项目表</w:t>
      </w:r>
    </w:p>
    <w:tbl>
      <w:tblPr>
        <w:tblStyle w:val="16"/>
        <w:tblW w:w="53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806"/>
        <w:gridCol w:w="2264"/>
        <w:gridCol w:w="4250"/>
        <w:gridCol w:w="1365"/>
        <w:gridCol w:w="1211"/>
        <w:gridCol w:w="1480"/>
        <w:gridCol w:w="1827"/>
      </w:tblGrid>
      <w:tr w14:paraId="4BB1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5" w:type="pct"/>
            <w:vMerge w:val="restart"/>
            <w:vAlign w:val="center"/>
          </w:tcPr>
          <w:p w14:paraId="41F9AB61">
            <w:pPr>
              <w:widowControl/>
              <w:shd w:val="clear"/>
              <w:jc w:val="center"/>
              <w:textAlignment w:val="center"/>
              <w:rPr>
                <w:rFonts w:hint="eastAsia" w:ascii="黑体" w:hAnsi="黑体" w:eastAsia="黑体" w:cs="黑体"/>
                <w:b/>
                <w:bCs/>
                <w:color w:val="000000" w:themeColor="text1"/>
                <w:sz w:val="24"/>
                <w:highlight w:val="none"/>
                <w14:textFill>
                  <w14:solidFill>
                    <w14:schemeClr w14:val="tx1"/>
                  </w14:solidFill>
                </w14:textFill>
              </w:rPr>
            </w:pPr>
            <w:r>
              <w:rPr>
                <w:rStyle w:val="23"/>
                <w:rFonts w:hint="eastAsia" w:ascii="黑体" w:hAnsi="黑体" w:eastAsia="黑体" w:cs="黑体"/>
                <w:color w:val="000000" w:themeColor="text1"/>
                <w:highlight w:val="none"/>
                <w:lang w:bidi="ar"/>
                <w14:textFill>
                  <w14:solidFill>
                    <w14:schemeClr w14:val="tx1"/>
                  </w14:solidFill>
                </w14:textFill>
              </w:rPr>
              <w:t>类别</w:t>
            </w:r>
          </w:p>
        </w:tc>
        <w:tc>
          <w:tcPr>
            <w:tcW w:w="288" w:type="pct"/>
            <w:vMerge w:val="restart"/>
            <w:vAlign w:val="center"/>
          </w:tcPr>
          <w:p w14:paraId="23E4EA2E">
            <w:pPr>
              <w:widowControl/>
              <w:shd w:val="clear"/>
              <w:jc w:val="center"/>
              <w:textAlignment w:val="center"/>
              <w:rPr>
                <w:rFonts w:hint="eastAsia" w:ascii="黑体" w:hAnsi="黑体" w:eastAsia="黑体" w:cs="黑体"/>
                <w:b/>
                <w:bCs/>
                <w:color w:val="000000" w:themeColor="text1"/>
                <w:sz w:val="24"/>
                <w:highlight w:val="none"/>
                <w14:textFill>
                  <w14:solidFill>
                    <w14:schemeClr w14:val="tx1"/>
                  </w14:solidFill>
                </w14:textFill>
              </w:rPr>
            </w:pPr>
            <w:r>
              <w:rPr>
                <w:rStyle w:val="23"/>
                <w:rFonts w:hint="eastAsia" w:ascii="黑体" w:hAnsi="黑体" w:eastAsia="黑体" w:cs="黑体"/>
                <w:color w:val="000000" w:themeColor="text1"/>
                <w:highlight w:val="none"/>
                <w:lang w:bidi="ar"/>
                <w14:textFill>
                  <w14:solidFill>
                    <w14:schemeClr w14:val="tx1"/>
                  </w14:solidFill>
                </w14:textFill>
              </w:rPr>
              <w:t>序号</w:t>
            </w:r>
          </w:p>
        </w:tc>
        <w:tc>
          <w:tcPr>
            <w:tcW w:w="810" w:type="pct"/>
            <w:vMerge w:val="restart"/>
            <w:vAlign w:val="center"/>
          </w:tcPr>
          <w:p w14:paraId="4755B9BA">
            <w:pPr>
              <w:widowControl/>
              <w:shd w:val="clear"/>
              <w:jc w:val="center"/>
              <w:textAlignment w:val="center"/>
              <w:rPr>
                <w:rFonts w:hint="eastAsia" w:ascii="黑体" w:hAnsi="黑体" w:eastAsia="黑体" w:cs="黑体"/>
                <w:b/>
                <w:bCs/>
                <w:color w:val="000000" w:themeColor="text1"/>
                <w:sz w:val="24"/>
                <w:highlight w:val="none"/>
                <w14:textFill>
                  <w14:solidFill>
                    <w14:schemeClr w14:val="tx1"/>
                  </w14:solidFill>
                </w14:textFill>
              </w:rPr>
            </w:pPr>
            <w:r>
              <w:rPr>
                <w:rStyle w:val="23"/>
                <w:rFonts w:hint="eastAsia" w:ascii="黑体" w:hAnsi="黑体" w:eastAsia="黑体" w:cs="黑体"/>
                <w:color w:val="000000" w:themeColor="text1"/>
                <w:highlight w:val="none"/>
                <w:lang w:bidi="ar"/>
                <w14:textFill>
                  <w14:solidFill>
                    <w14:schemeClr w14:val="tx1"/>
                  </w14:solidFill>
                </w14:textFill>
              </w:rPr>
              <w:t>名称</w:t>
            </w:r>
          </w:p>
        </w:tc>
        <w:tc>
          <w:tcPr>
            <w:tcW w:w="1520" w:type="pct"/>
            <w:vMerge w:val="restart"/>
            <w:vAlign w:val="center"/>
          </w:tcPr>
          <w:p w14:paraId="55B7CDE0">
            <w:pPr>
              <w:widowControl/>
              <w:shd w:val="clear"/>
              <w:jc w:val="center"/>
              <w:textAlignment w:val="center"/>
              <w:rPr>
                <w:rFonts w:hint="eastAsia" w:ascii="黑体" w:hAnsi="黑体" w:eastAsia="黑体" w:cs="黑体"/>
                <w:b/>
                <w:bCs/>
                <w:color w:val="000000" w:themeColor="text1"/>
                <w:sz w:val="24"/>
                <w:highlight w:val="none"/>
                <w14:textFill>
                  <w14:solidFill>
                    <w14:schemeClr w14:val="tx1"/>
                  </w14:solidFill>
                </w14:textFill>
              </w:rPr>
            </w:pPr>
            <w:r>
              <w:rPr>
                <w:rStyle w:val="23"/>
                <w:rFonts w:hint="eastAsia" w:ascii="黑体" w:hAnsi="黑体" w:eastAsia="黑体" w:cs="黑体"/>
                <w:color w:val="000000" w:themeColor="text1"/>
                <w:highlight w:val="none"/>
                <w:lang w:bidi="ar"/>
                <w14:textFill>
                  <w14:solidFill>
                    <w14:schemeClr w14:val="tx1"/>
                  </w14:solidFill>
                </w14:textFill>
              </w:rPr>
              <w:t>建设内容</w:t>
            </w:r>
          </w:p>
        </w:tc>
        <w:tc>
          <w:tcPr>
            <w:tcW w:w="488" w:type="pct"/>
            <w:vMerge w:val="restart"/>
            <w:vAlign w:val="center"/>
          </w:tcPr>
          <w:p w14:paraId="19F14B65">
            <w:pPr>
              <w:widowControl/>
              <w:shd w:val="clear"/>
              <w:jc w:val="center"/>
              <w:textAlignment w:val="center"/>
              <w:rPr>
                <w:rFonts w:hint="eastAsia" w:ascii="黑体" w:hAnsi="黑体" w:eastAsia="黑体" w:cs="黑体"/>
                <w:b/>
                <w:bCs/>
                <w:color w:val="000000" w:themeColor="text1"/>
                <w:kern w:val="0"/>
                <w:sz w:val="24"/>
                <w:highlight w:val="none"/>
                <w:lang w:bidi="ar"/>
                <w14:textFill>
                  <w14:solidFill>
                    <w14:schemeClr w14:val="tx1"/>
                  </w14:solidFill>
                </w14:textFill>
              </w:rPr>
            </w:pPr>
            <w:r>
              <w:rPr>
                <w:rFonts w:hint="eastAsia" w:ascii="黑体" w:hAnsi="黑体" w:eastAsia="黑体" w:cs="黑体"/>
                <w:b/>
                <w:bCs/>
                <w:color w:val="000000" w:themeColor="text1"/>
                <w:kern w:val="0"/>
                <w:sz w:val="24"/>
                <w:highlight w:val="none"/>
                <w:lang w:bidi="ar"/>
                <w14:textFill>
                  <w14:solidFill>
                    <w14:schemeClr w14:val="tx1"/>
                  </w14:solidFill>
                </w14:textFill>
              </w:rPr>
              <w:t>建设</w:t>
            </w:r>
          </w:p>
          <w:p w14:paraId="0F4DE7D1">
            <w:pPr>
              <w:widowControl/>
              <w:shd w:val="clear"/>
              <w:jc w:val="center"/>
              <w:textAlignment w:val="center"/>
              <w:rPr>
                <w:rFonts w:hint="eastAsia" w:ascii="黑体" w:hAnsi="黑体" w:eastAsia="黑体" w:cs="黑体"/>
                <w:b/>
                <w:bCs/>
                <w:color w:val="000000" w:themeColor="text1"/>
                <w:sz w:val="24"/>
                <w:highlight w:val="none"/>
                <w14:textFill>
                  <w14:solidFill>
                    <w14:schemeClr w14:val="tx1"/>
                  </w14:solidFill>
                </w14:textFill>
              </w:rPr>
            </w:pPr>
            <w:r>
              <w:rPr>
                <w:rFonts w:hint="eastAsia" w:ascii="黑体" w:hAnsi="黑体" w:eastAsia="黑体" w:cs="黑体"/>
                <w:b/>
                <w:bCs/>
                <w:color w:val="000000" w:themeColor="text1"/>
                <w:kern w:val="0"/>
                <w:sz w:val="24"/>
                <w:highlight w:val="none"/>
                <w:lang w:bidi="ar"/>
                <w14:textFill>
                  <w14:solidFill>
                    <w14:schemeClr w14:val="tx1"/>
                  </w14:solidFill>
                </w14:textFill>
              </w:rPr>
              <w:t>地点</w:t>
            </w:r>
          </w:p>
        </w:tc>
        <w:tc>
          <w:tcPr>
            <w:tcW w:w="433" w:type="pct"/>
            <w:vMerge w:val="restart"/>
            <w:vAlign w:val="center"/>
          </w:tcPr>
          <w:p w14:paraId="6101B135">
            <w:pPr>
              <w:widowControl/>
              <w:shd w:val="clear"/>
              <w:jc w:val="center"/>
              <w:textAlignment w:val="center"/>
              <w:rPr>
                <w:rFonts w:hint="eastAsia" w:ascii="黑体" w:hAnsi="黑体" w:eastAsia="黑体" w:cs="黑体"/>
                <w:b/>
                <w:bCs/>
                <w:color w:val="000000" w:themeColor="text1"/>
                <w:sz w:val="24"/>
                <w:highlight w:val="none"/>
                <w14:textFill>
                  <w14:solidFill>
                    <w14:schemeClr w14:val="tx1"/>
                  </w14:solidFill>
                </w14:textFill>
              </w:rPr>
            </w:pPr>
            <w:r>
              <w:rPr>
                <w:rStyle w:val="23"/>
                <w:rFonts w:hint="eastAsia" w:ascii="黑体" w:hAnsi="黑体" w:eastAsia="黑体" w:cs="黑体"/>
                <w:color w:val="000000" w:themeColor="text1"/>
                <w:highlight w:val="none"/>
                <w:lang w:bidi="ar"/>
                <w14:textFill>
                  <w14:solidFill>
                    <w14:schemeClr w14:val="tx1"/>
                  </w14:solidFill>
                </w14:textFill>
              </w:rPr>
              <w:t>投资估算（万元）</w:t>
            </w:r>
          </w:p>
        </w:tc>
        <w:tc>
          <w:tcPr>
            <w:tcW w:w="529" w:type="pct"/>
            <w:vMerge w:val="restart"/>
            <w:vAlign w:val="center"/>
          </w:tcPr>
          <w:p w14:paraId="7C4FF348">
            <w:pPr>
              <w:widowControl/>
              <w:shd w:val="clear"/>
              <w:jc w:val="center"/>
              <w:textAlignment w:val="center"/>
              <w:rPr>
                <w:rFonts w:hint="eastAsia" w:ascii="黑体" w:hAnsi="黑体" w:eastAsia="黑体" w:cs="黑体"/>
                <w:b/>
                <w:bCs/>
                <w:color w:val="000000" w:themeColor="text1"/>
                <w:sz w:val="24"/>
                <w:highlight w:val="none"/>
                <w14:textFill>
                  <w14:solidFill>
                    <w14:schemeClr w14:val="tx1"/>
                  </w14:solidFill>
                </w14:textFill>
              </w:rPr>
            </w:pPr>
            <w:r>
              <w:rPr>
                <w:rStyle w:val="23"/>
                <w:rFonts w:hint="eastAsia" w:ascii="黑体" w:hAnsi="黑体" w:eastAsia="黑体" w:cs="黑体"/>
                <w:color w:val="000000" w:themeColor="text1"/>
                <w:highlight w:val="none"/>
                <w:lang w:bidi="ar"/>
                <w14:textFill>
                  <w14:solidFill>
                    <w14:schemeClr w14:val="tx1"/>
                  </w14:solidFill>
                </w14:textFill>
              </w:rPr>
              <w:t>时间</w:t>
            </w:r>
          </w:p>
        </w:tc>
        <w:tc>
          <w:tcPr>
            <w:tcW w:w="653" w:type="pct"/>
            <w:vMerge w:val="restart"/>
            <w:vAlign w:val="center"/>
          </w:tcPr>
          <w:p w14:paraId="6CBAF6E6">
            <w:pPr>
              <w:widowControl/>
              <w:shd w:val="clear"/>
              <w:jc w:val="center"/>
              <w:textAlignment w:val="center"/>
              <w:rPr>
                <w:rFonts w:hint="eastAsia" w:ascii="黑体" w:hAnsi="黑体" w:eastAsia="黑体" w:cs="黑体"/>
                <w:b/>
                <w:bCs/>
                <w:color w:val="000000" w:themeColor="text1"/>
                <w:sz w:val="24"/>
                <w:highlight w:val="none"/>
                <w14:textFill>
                  <w14:solidFill>
                    <w14:schemeClr w14:val="tx1"/>
                  </w14:solidFill>
                </w14:textFill>
              </w:rPr>
            </w:pPr>
            <w:r>
              <w:rPr>
                <w:rStyle w:val="23"/>
                <w:rFonts w:hint="eastAsia" w:ascii="黑体" w:hAnsi="黑体" w:eastAsia="黑体" w:cs="黑体"/>
                <w:color w:val="000000" w:themeColor="text1"/>
                <w:highlight w:val="none"/>
                <w:lang w:bidi="ar"/>
                <w14:textFill>
                  <w14:solidFill>
                    <w14:schemeClr w14:val="tx1"/>
                  </w14:solidFill>
                </w14:textFill>
              </w:rPr>
              <w:t>责任部门</w:t>
            </w:r>
          </w:p>
        </w:tc>
      </w:tr>
      <w:tr w14:paraId="6FE6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75" w:type="pct"/>
            <w:vMerge w:val="continue"/>
            <w:vAlign w:val="center"/>
          </w:tcPr>
          <w:p w14:paraId="2B6A1FE5">
            <w:pPr>
              <w:widowControl/>
              <w:shd w:val="clear"/>
              <w:jc w:val="center"/>
              <w:rPr>
                <w:rFonts w:ascii="Times New Roman" w:hAnsi="Times New Roman" w:eastAsia="宋体" w:cs="Times New Roman"/>
                <w:b/>
                <w:bCs/>
                <w:color w:val="0000FF"/>
                <w:sz w:val="24"/>
                <w:highlight w:val="none"/>
              </w:rPr>
            </w:pPr>
          </w:p>
        </w:tc>
        <w:tc>
          <w:tcPr>
            <w:tcW w:w="288" w:type="pct"/>
            <w:vMerge w:val="continue"/>
            <w:vAlign w:val="center"/>
          </w:tcPr>
          <w:p w14:paraId="02620AD8">
            <w:pPr>
              <w:widowControl/>
              <w:shd w:val="clear"/>
              <w:jc w:val="center"/>
              <w:rPr>
                <w:rFonts w:ascii="Times New Roman" w:hAnsi="Times New Roman" w:eastAsia="宋体" w:cs="Times New Roman"/>
                <w:b/>
                <w:bCs/>
                <w:color w:val="0000FF"/>
                <w:sz w:val="24"/>
                <w:highlight w:val="none"/>
              </w:rPr>
            </w:pPr>
          </w:p>
        </w:tc>
        <w:tc>
          <w:tcPr>
            <w:tcW w:w="810" w:type="pct"/>
            <w:vMerge w:val="continue"/>
            <w:vAlign w:val="center"/>
          </w:tcPr>
          <w:p w14:paraId="0CFAC726">
            <w:pPr>
              <w:widowControl/>
              <w:shd w:val="clear"/>
              <w:jc w:val="center"/>
              <w:rPr>
                <w:rFonts w:ascii="Times New Roman" w:hAnsi="Times New Roman" w:eastAsia="宋体" w:cs="Times New Roman"/>
                <w:b/>
                <w:bCs/>
                <w:color w:val="0000FF"/>
                <w:sz w:val="24"/>
                <w:highlight w:val="none"/>
              </w:rPr>
            </w:pPr>
          </w:p>
        </w:tc>
        <w:tc>
          <w:tcPr>
            <w:tcW w:w="1520" w:type="pct"/>
            <w:vMerge w:val="continue"/>
            <w:vAlign w:val="center"/>
          </w:tcPr>
          <w:p w14:paraId="19A89264">
            <w:pPr>
              <w:widowControl/>
              <w:shd w:val="clear"/>
              <w:jc w:val="center"/>
              <w:rPr>
                <w:rFonts w:ascii="Times New Roman" w:hAnsi="Times New Roman" w:eastAsia="宋体" w:cs="Times New Roman"/>
                <w:b/>
                <w:bCs/>
                <w:color w:val="0000FF"/>
                <w:sz w:val="24"/>
                <w:highlight w:val="none"/>
              </w:rPr>
            </w:pPr>
          </w:p>
        </w:tc>
        <w:tc>
          <w:tcPr>
            <w:tcW w:w="488" w:type="pct"/>
            <w:vMerge w:val="continue"/>
            <w:vAlign w:val="center"/>
          </w:tcPr>
          <w:p w14:paraId="0C256B16">
            <w:pPr>
              <w:widowControl/>
              <w:shd w:val="clear"/>
              <w:jc w:val="center"/>
              <w:rPr>
                <w:rFonts w:hint="eastAsia" w:ascii="仿宋_GB2312" w:hAnsi="仿宋_GB2312" w:eastAsia="仿宋_GB2312" w:cs="仿宋_GB2312"/>
                <w:b/>
                <w:bCs/>
                <w:color w:val="0000FF"/>
                <w:sz w:val="24"/>
                <w:highlight w:val="none"/>
              </w:rPr>
            </w:pPr>
          </w:p>
        </w:tc>
        <w:tc>
          <w:tcPr>
            <w:tcW w:w="433" w:type="pct"/>
            <w:vMerge w:val="continue"/>
            <w:vAlign w:val="center"/>
          </w:tcPr>
          <w:p w14:paraId="1766E72F">
            <w:pPr>
              <w:widowControl/>
              <w:shd w:val="clear"/>
              <w:jc w:val="center"/>
              <w:rPr>
                <w:rFonts w:ascii="Times New Roman" w:hAnsi="Times New Roman" w:eastAsia="宋体" w:cs="Times New Roman"/>
                <w:b/>
                <w:bCs/>
                <w:color w:val="0000FF"/>
                <w:sz w:val="24"/>
                <w:highlight w:val="none"/>
              </w:rPr>
            </w:pPr>
          </w:p>
        </w:tc>
        <w:tc>
          <w:tcPr>
            <w:tcW w:w="529" w:type="pct"/>
            <w:vMerge w:val="continue"/>
            <w:vAlign w:val="center"/>
          </w:tcPr>
          <w:p w14:paraId="0602246E">
            <w:pPr>
              <w:widowControl/>
              <w:shd w:val="clear"/>
              <w:jc w:val="center"/>
              <w:rPr>
                <w:rFonts w:ascii="Times New Roman" w:hAnsi="Times New Roman" w:eastAsia="宋体" w:cs="Times New Roman"/>
                <w:b/>
                <w:bCs/>
                <w:color w:val="0000FF"/>
                <w:sz w:val="24"/>
                <w:highlight w:val="none"/>
              </w:rPr>
            </w:pPr>
          </w:p>
        </w:tc>
        <w:tc>
          <w:tcPr>
            <w:tcW w:w="653" w:type="pct"/>
            <w:vMerge w:val="continue"/>
            <w:vAlign w:val="center"/>
          </w:tcPr>
          <w:p w14:paraId="398DB306">
            <w:pPr>
              <w:widowControl/>
              <w:shd w:val="clear"/>
              <w:jc w:val="center"/>
              <w:rPr>
                <w:rFonts w:ascii="Times New Roman" w:hAnsi="Times New Roman" w:eastAsia="宋体" w:cs="Times New Roman"/>
                <w:b/>
                <w:bCs/>
                <w:color w:val="0000FF"/>
                <w:sz w:val="24"/>
                <w:highlight w:val="none"/>
              </w:rPr>
            </w:pPr>
          </w:p>
        </w:tc>
      </w:tr>
      <w:tr w14:paraId="3074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restart"/>
            <w:vAlign w:val="center"/>
          </w:tcPr>
          <w:p w14:paraId="25A6FFE2">
            <w:pPr>
              <w:widowControl/>
              <w:shd w:val="clear"/>
              <w:spacing w:line="320" w:lineRule="exact"/>
              <w:jc w:val="center"/>
              <w:textAlignment w:val="center"/>
              <w:rPr>
                <w:rFonts w:hint="eastAsia" w:ascii="Times New Roman" w:hAnsi="Times New Roman" w:eastAsia="仿宋_GB2312" w:cs="Times New Roman"/>
                <w:color w:val="0000FF"/>
                <w:sz w:val="24"/>
                <w:highlight w:val="none"/>
                <w:lang w:val="en-US" w:eastAsia="zh-CN"/>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美丽</w:t>
            </w: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山川</w:t>
            </w:r>
          </w:p>
        </w:tc>
        <w:tc>
          <w:tcPr>
            <w:tcW w:w="288" w:type="pct"/>
            <w:vAlign w:val="center"/>
          </w:tcPr>
          <w:p w14:paraId="7038FC55">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1</w:t>
            </w:r>
          </w:p>
        </w:tc>
        <w:tc>
          <w:tcPr>
            <w:tcW w:w="810" w:type="pct"/>
            <w:vAlign w:val="center"/>
          </w:tcPr>
          <w:p w14:paraId="6349082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阿坝县各莫镇甲递沟防洪治理工程二期</w:t>
            </w:r>
          </w:p>
        </w:tc>
        <w:tc>
          <w:tcPr>
            <w:tcW w:w="1520" w:type="pct"/>
            <w:vAlign w:val="center"/>
          </w:tcPr>
          <w:p w14:paraId="40E0CF6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新建堤防2.6km。</w:t>
            </w:r>
          </w:p>
        </w:tc>
        <w:tc>
          <w:tcPr>
            <w:tcW w:w="488" w:type="pct"/>
            <w:vAlign w:val="center"/>
          </w:tcPr>
          <w:p w14:paraId="762F87E6">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vAlign w:val="center"/>
          </w:tcPr>
          <w:p w14:paraId="69BFB14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2145</w:t>
            </w:r>
          </w:p>
        </w:tc>
        <w:tc>
          <w:tcPr>
            <w:tcW w:w="529" w:type="pct"/>
            <w:vAlign w:val="center"/>
          </w:tcPr>
          <w:p w14:paraId="4905440E">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2028</w:t>
            </w:r>
          </w:p>
        </w:tc>
        <w:tc>
          <w:tcPr>
            <w:tcW w:w="653" w:type="pct"/>
            <w:noWrap/>
            <w:vAlign w:val="center"/>
          </w:tcPr>
          <w:p w14:paraId="7F3DEC9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阿坝县科学技术和农业畜牧水务局</w:t>
            </w:r>
          </w:p>
        </w:tc>
      </w:tr>
      <w:tr w14:paraId="6BE0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continue"/>
            <w:vAlign w:val="center"/>
          </w:tcPr>
          <w:p w14:paraId="4E997A9B">
            <w:pPr>
              <w:widowControl/>
              <w:shd w:val="clear"/>
              <w:spacing w:line="320" w:lineRule="exact"/>
              <w:jc w:val="center"/>
              <w:rPr>
                <w:rFonts w:ascii="Times New Roman" w:hAnsi="Times New Roman" w:eastAsia="仿宋_GB2312" w:cs="Times New Roman"/>
                <w:color w:val="0000FF"/>
                <w:sz w:val="24"/>
                <w:highlight w:val="none"/>
              </w:rPr>
            </w:pPr>
          </w:p>
        </w:tc>
        <w:tc>
          <w:tcPr>
            <w:tcW w:w="288" w:type="pct"/>
            <w:vAlign w:val="center"/>
          </w:tcPr>
          <w:p w14:paraId="210B4AB7">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2</w:t>
            </w:r>
          </w:p>
        </w:tc>
        <w:tc>
          <w:tcPr>
            <w:tcW w:w="810" w:type="pct"/>
            <w:vAlign w:val="center"/>
          </w:tcPr>
          <w:p w14:paraId="6E077C2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阿坝县贾洛镇侵蚀沟治理工程项目</w:t>
            </w:r>
          </w:p>
        </w:tc>
        <w:tc>
          <w:tcPr>
            <w:tcW w:w="1520" w:type="pct"/>
            <w:vAlign w:val="center"/>
          </w:tcPr>
          <w:p w14:paraId="7A3B344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治理侵蚀沟25条。</w:t>
            </w:r>
          </w:p>
        </w:tc>
        <w:tc>
          <w:tcPr>
            <w:tcW w:w="488" w:type="pct"/>
            <w:vAlign w:val="center"/>
          </w:tcPr>
          <w:p w14:paraId="6EDD77A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noWrap/>
            <w:vAlign w:val="center"/>
          </w:tcPr>
          <w:p w14:paraId="18D9CB0D">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750</w:t>
            </w:r>
          </w:p>
        </w:tc>
        <w:tc>
          <w:tcPr>
            <w:tcW w:w="529" w:type="pct"/>
            <w:noWrap/>
            <w:vAlign w:val="center"/>
          </w:tcPr>
          <w:p w14:paraId="15BAC6DD">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w:t>
            </w:r>
          </w:p>
        </w:tc>
        <w:tc>
          <w:tcPr>
            <w:tcW w:w="653" w:type="pct"/>
            <w:noWrap/>
            <w:vAlign w:val="center"/>
          </w:tcPr>
          <w:p w14:paraId="0E1EDC8E">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阿坝县科学技术和农业畜牧水务局</w:t>
            </w:r>
          </w:p>
        </w:tc>
      </w:tr>
      <w:tr w14:paraId="1979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continue"/>
            <w:vAlign w:val="center"/>
          </w:tcPr>
          <w:p w14:paraId="51115AFB">
            <w:pPr>
              <w:widowControl/>
              <w:shd w:val="clear"/>
              <w:spacing w:line="320" w:lineRule="exact"/>
              <w:jc w:val="center"/>
              <w:rPr>
                <w:rFonts w:ascii="Times New Roman" w:hAnsi="Times New Roman" w:eastAsia="仿宋_GB2312" w:cs="Times New Roman"/>
                <w:color w:val="0000FF"/>
                <w:sz w:val="24"/>
                <w:highlight w:val="none"/>
              </w:rPr>
            </w:pPr>
          </w:p>
        </w:tc>
        <w:tc>
          <w:tcPr>
            <w:tcW w:w="288" w:type="pct"/>
            <w:vAlign w:val="center"/>
          </w:tcPr>
          <w:p w14:paraId="47DA9BCB">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3</w:t>
            </w:r>
          </w:p>
        </w:tc>
        <w:tc>
          <w:tcPr>
            <w:tcW w:w="810" w:type="pct"/>
            <w:noWrap/>
            <w:vAlign w:val="center"/>
          </w:tcPr>
          <w:p w14:paraId="18EA803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阿坝县麦尔玛镇哈布各柯清洁小流域综合治理项目</w:t>
            </w:r>
          </w:p>
        </w:tc>
        <w:tc>
          <w:tcPr>
            <w:tcW w:w="1520" w:type="pct"/>
            <w:noWrap/>
            <w:vAlign w:val="center"/>
          </w:tcPr>
          <w:p w14:paraId="0049B6C8">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治理哈布各柯清洁小流域水土流失面积28km</w:t>
            </w:r>
            <w:r>
              <w:rPr>
                <w:rFonts w:hint="eastAsia" w:ascii="Times New Roman" w:hAnsi="Times New Roman" w:eastAsia="仿宋_GB2312" w:cs="Times New Roman"/>
                <w:i w:val="0"/>
                <w:iCs w:val="0"/>
                <w:color w:val="000000" w:themeColor="text1"/>
                <w:kern w:val="0"/>
                <w:sz w:val="24"/>
                <w:szCs w:val="24"/>
                <w:highlight w:val="none"/>
                <w:u w:val="none"/>
                <w:vertAlign w:val="superscript"/>
                <w:lang w:val="en-US" w:eastAsia="zh-CN" w:bidi="ar"/>
                <w14:textFill>
                  <w14:solidFill>
                    <w14:schemeClr w14:val="tx1"/>
                  </w14:solidFill>
                </w14:textFill>
              </w:rPr>
              <w:t>2</w:t>
            </w: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w:t>
            </w:r>
          </w:p>
        </w:tc>
        <w:tc>
          <w:tcPr>
            <w:tcW w:w="488" w:type="pct"/>
            <w:vAlign w:val="center"/>
          </w:tcPr>
          <w:p w14:paraId="246F71E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noWrap/>
            <w:vAlign w:val="center"/>
          </w:tcPr>
          <w:p w14:paraId="36E3E162">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1410</w:t>
            </w:r>
          </w:p>
        </w:tc>
        <w:tc>
          <w:tcPr>
            <w:tcW w:w="529" w:type="pct"/>
            <w:noWrap/>
            <w:vAlign w:val="center"/>
          </w:tcPr>
          <w:p w14:paraId="2D11CC48">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2027</w:t>
            </w:r>
          </w:p>
        </w:tc>
        <w:tc>
          <w:tcPr>
            <w:tcW w:w="653" w:type="pct"/>
            <w:noWrap/>
            <w:vAlign w:val="center"/>
          </w:tcPr>
          <w:p w14:paraId="2FC92AA2">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阿坝县科学技术和农业畜牧水务局</w:t>
            </w:r>
          </w:p>
        </w:tc>
      </w:tr>
      <w:tr w14:paraId="23A7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275" w:type="pct"/>
            <w:vMerge w:val="continue"/>
            <w:vAlign w:val="center"/>
          </w:tcPr>
          <w:p w14:paraId="04D93C50">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4E6E9977">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4</w:t>
            </w:r>
          </w:p>
        </w:tc>
        <w:tc>
          <w:tcPr>
            <w:tcW w:w="810" w:type="pct"/>
            <w:shd w:val="clear" w:color="auto" w:fill="auto"/>
            <w:noWrap/>
            <w:vAlign w:val="center"/>
          </w:tcPr>
          <w:p w14:paraId="2FC8EB77">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阿坝县古尔沟水生态修复治理工程</w:t>
            </w:r>
          </w:p>
        </w:tc>
        <w:tc>
          <w:tcPr>
            <w:tcW w:w="1520" w:type="pct"/>
            <w:shd w:val="clear" w:color="auto" w:fill="auto"/>
            <w:noWrap/>
            <w:vAlign w:val="center"/>
          </w:tcPr>
          <w:p w14:paraId="4FF5F89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综合治理河道长9.7km，水土流失治理面积13.46km</w:t>
            </w:r>
            <w:r>
              <w:rPr>
                <w:rFonts w:hint="eastAsia" w:ascii="Times New Roman" w:hAnsi="Times New Roman" w:eastAsia="仿宋_GB2312" w:cs="Times New Roman"/>
                <w:i w:val="0"/>
                <w:iCs w:val="0"/>
                <w:color w:val="000000" w:themeColor="text1"/>
                <w:kern w:val="0"/>
                <w:sz w:val="24"/>
                <w:szCs w:val="24"/>
                <w:highlight w:val="none"/>
                <w:u w:val="none"/>
                <w:vertAlign w:val="superscript"/>
                <w:lang w:val="en-US" w:eastAsia="zh-CN" w:bidi="ar"/>
                <w14:textFill>
                  <w14:solidFill>
                    <w14:schemeClr w14:val="tx1"/>
                  </w14:solidFill>
                </w14:textFill>
              </w:rPr>
              <w:t>2</w:t>
            </w: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植树、植草面积共294.62亩，其中植草240.65亩，植树53.97亩。新建护岸共13段总长18012m（其中左岸新建护岸6段共长8898m，其中右岸新建护岸7段共长9114m），拆除重建机耕桥4座，新建排洪渠11处，下河梯步9处，新建固河横梁144处。</w:t>
            </w:r>
          </w:p>
        </w:tc>
        <w:tc>
          <w:tcPr>
            <w:tcW w:w="488" w:type="pct"/>
            <w:shd w:val="clear" w:color="auto" w:fill="auto"/>
            <w:vAlign w:val="center"/>
          </w:tcPr>
          <w:p w14:paraId="610EE6BE">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麦昆乡古尔沟</w:t>
            </w:r>
          </w:p>
        </w:tc>
        <w:tc>
          <w:tcPr>
            <w:tcW w:w="433" w:type="pct"/>
            <w:shd w:val="clear" w:color="auto" w:fill="auto"/>
            <w:noWrap/>
            <w:vAlign w:val="center"/>
          </w:tcPr>
          <w:p w14:paraId="020F3EA8">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6764.95</w:t>
            </w:r>
          </w:p>
        </w:tc>
        <w:tc>
          <w:tcPr>
            <w:tcW w:w="529" w:type="pct"/>
            <w:shd w:val="clear" w:color="auto" w:fill="auto"/>
            <w:noWrap/>
            <w:vAlign w:val="center"/>
          </w:tcPr>
          <w:p w14:paraId="1C12311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2027-2029</w:t>
            </w:r>
          </w:p>
        </w:tc>
        <w:tc>
          <w:tcPr>
            <w:tcW w:w="653" w:type="pct"/>
            <w:shd w:val="clear" w:color="auto" w:fill="auto"/>
            <w:noWrap/>
            <w:vAlign w:val="center"/>
          </w:tcPr>
          <w:p w14:paraId="521F53CE">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阿坝州阿坝生态环境局</w:t>
            </w:r>
          </w:p>
        </w:tc>
      </w:tr>
      <w:tr w14:paraId="02B7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5" w:type="pct"/>
            <w:vMerge w:val="continue"/>
            <w:vAlign w:val="center"/>
          </w:tcPr>
          <w:p w14:paraId="5698421A">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6E839A11">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5</w:t>
            </w:r>
          </w:p>
        </w:tc>
        <w:tc>
          <w:tcPr>
            <w:tcW w:w="810" w:type="pct"/>
            <w:vAlign w:val="center"/>
          </w:tcPr>
          <w:p w14:paraId="6A25DA8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阿坝县央恶朗沟生态清洁小流域综合治理项目</w:t>
            </w:r>
          </w:p>
        </w:tc>
        <w:tc>
          <w:tcPr>
            <w:tcW w:w="1520" w:type="pct"/>
            <w:vAlign w:val="center"/>
          </w:tcPr>
          <w:p w14:paraId="745579E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治理央恶朗沟清洁小流域水土流失面积30km</w:t>
            </w:r>
            <w:r>
              <w:rPr>
                <w:rFonts w:hint="eastAsia" w:ascii="Times New Roman" w:hAnsi="Times New Roman" w:eastAsia="仿宋_GB2312" w:cs="Times New Roman"/>
                <w:i w:val="0"/>
                <w:iCs w:val="0"/>
                <w:color w:val="000000" w:themeColor="text1"/>
                <w:kern w:val="0"/>
                <w:sz w:val="24"/>
                <w:szCs w:val="24"/>
                <w:highlight w:val="none"/>
                <w:u w:val="none"/>
                <w:vertAlign w:val="superscript"/>
                <w:lang w:val="en-US" w:eastAsia="zh-CN" w:bidi="ar"/>
                <w14:textFill>
                  <w14:solidFill>
                    <w14:schemeClr w14:val="tx1"/>
                  </w14:solidFill>
                </w14:textFill>
              </w:rPr>
              <w:t>2</w:t>
            </w: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。新建堤防和护岸7900m，固河横梁29处，排洪沟治理2300m；水土保持林3.8hm</w:t>
            </w:r>
            <w:r>
              <w:rPr>
                <w:rFonts w:hint="eastAsia" w:ascii="Times New Roman" w:hAnsi="Times New Roman" w:eastAsia="仿宋_GB2312" w:cs="Times New Roman"/>
                <w:i w:val="0"/>
                <w:iCs w:val="0"/>
                <w:color w:val="000000" w:themeColor="text1"/>
                <w:kern w:val="0"/>
                <w:sz w:val="24"/>
                <w:szCs w:val="24"/>
                <w:highlight w:val="none"/>
                <w:u w:val="none"/>
                <w:vertAlign w:val="superscript"/>
                <w:lang w:val="en-US" w:eastAsia="zh-CN" w:bidi="ar"/>
                <w14:textFill>
                  <w14:solidFill>
                    <w14:schemeClr w14:val="tx1"/>
                  </w14:solidFill>
                </w14:textFill>
              </w:rPr>
              <w:t>2</w:t>
            </w: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；草地补植1400hm</w:t>
            </w:r>
            <w:r>
              <w:rPr>
                <w:rFonts w:hint="eastAsia" w:ascii="Times New Roman" w:hAnsi="Times New Roman" w:eastAsia="仿宋_GB2312" w:cs="Times New Roman"/>
                <w:i w:val="0"/>
                <w:iCs w:val="0"/>
                <w:color w:val="000000" w:themeColor="text1"/>
                <w:kern w:val="0"/>
                <w:sz w:val="24"/>
                <w:szCs w:val="24"/>
                <w:highlight w:val="none"/>
                <w:u w:val="none"/>
                <w:vertAlign w:val="superscript"/>
                <w:lang w:val="en-US" w:eastAsia="zh-CN" w:bidi="ar"/>
                <w14:textFill>
                  <w14:solidFill>
                    <w14:schemeClr w14:val="tx1"/>
                  </w14:solidFill>
                </w14:textFill>
              </w:rPr>
              <w:t>2</w:t>
            </w: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；新建牧道边沟3840m；生活垃圾收集点5处，农村厕所建设18处；封育治理2800hm</w:t>
            </w:r>
            <w:r>
              <w:rPr>
                <w:rFonts w:hint="eastAsia" w:ascii="Times New Roman" w:hAnsi="Times New Roman" w:eastAsia="仿宋_GB2312" w:cs="Times New Roman"/>
                <w:i w:val="0"/>
                <w:iCs w:val="0"/>
                <w:color w:val="000000" w:themeColor="text1"/>
                <w:kern w:val="0"/>
                <w:sz w:val="24"/>
                <w:szCs w:val="24"/>
                <w:highlight w:val="none"/>
                <w:u w:val="none"/>
                <w:vertAlign w:val="superscript"/>
                <w:lang w:val="en-US" w:eastAsia="zh-CN" w:bidi="ar"/>
                <w14:textFill>
                  <w14:solidFill>
                    <w14:schemeClr w14:val="tx1"/>
                  </w14:solidFill>
                </w14:textFill>
              </w:rPr>
              <w:t>2</w:t>
            </w: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w:t>
            </w:r>
          </w:p>
        </w:tc>
        <w:tc>
          <w:tcPr>
            <w:tcW w:w="488" w:type="pct"/>
            <w:vAlign w:val="center"/>
          </w:tcPr>
          <w:p w14:paraId="48EB5EF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noWrap/>
            <w:vAlign w:val="center"/>
          </w:tcPr>
          <w:p w14:paraId="5E76F763">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1200</w:t>
            </w:r>
          </w:p>
        </w:tc>
        <w:tc>
          <w:tcPr>
            <w:tcW w:w="529" w:type="pct"/>
            <w:noWrap/>
            <w:vAlign w:val="center"/>
          </w:tcPr>
          <w:p w14:paraId="21E6C3CE">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w:t>
            </w:r>
          </w:p>
        </w:tc>
        <w:tc>
          <w:tcPr>
            <w:tcW w:w="653" w:type="pct"/>
            <w:noWrap/>
            <w:vAlign w:val="center"/>
          </w:tcPr>
          <w:p w14:paraId="3E08FAD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阿坝县科学技术和农业畜牧水务局</w:t>
            </w:r>
          </w:p>
        </w:tc>
      </w:tr>
      <w:tr w14:paraId="11D5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2" w:hRule="atLeast"/>
          <w:jc w:val="center"/>
        </w:trPr>
        <w:tc>
          <w:tcPr>
            <w:tcW w:w="275" w:type="pct"/>
            <w:vMerge w:val="continue"/>
            <w:vAlign w:val="center"/>
          </w:tcPr>
          <w:p w14:paraId="553B9E62">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5EE4FCD9">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6</w:t>
            </w:r>
          </w:p>
        </w:tc>
        <w:tc>
          <w:tcPr>
            <w:tcW w:w="810" w:type="pct"/>
            <w:noWrap/>
            <w:vAlign w:val="center"/>
          </w:tcPr>
          <w:p w14:paraId="036693A2">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阿坝县野生动植物栖息地保护治理项目</w:t>
            </w:r>
          </w:p>
        </w:tc>
        <w:tc>
          <w:tcPr>
            <w:tcW w:w="1520" w:type="pct"/>
            <w:vAlign w:val="center"/>
          </w:tcPr>
          <w:p w14:paraId="3F91630D">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1.造林0.06万亩、封山育林8万亩、退化林修复2万亩、人工种草5万亩、天然草原改良10万亩、围栏封育20万米，生态护岸50公里；新建展厅布展3180</w:t>
            </w: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m</w:t>
            </w:r>
            <w:r>
              <w:rPr>
                <w:rFonts w:hint="eastAsia" w:ascii="Times New Roman" w:hAnsi="Times New Roman" w:eastAsia="仿宋_GB2312" w:cs="Times New Roman"/>
                <w:i w:val="0"/>
                <w:iCs w:val="0"/>
                <w:color w:val="000000" w:themeColor="text1"/>
                <w:kern w:val="0"/>
                <w:sz w:val="24"/>
                <w:szCs w:val="24"/>
                <w:highlight w:val="none"/>
                <w:u w:val="none"/>
                <w:vertAlign w:val="superscript"/>
                <w:lang w:val="en-US" w:eastAsia="zh-CN" w:bidi="ar"/>
                <w14:textFill>
                  <w14:solidFill>
                    <w14:schemeClr w14:val="tx1"/>
                  </w14:solidFill>
                </w14:textFill>
              </w:rPr>
              <w:t>2</w:t>
            </w:r>
            <w: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，室外生命景观营建20000</w:t>
            </w: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m</w:t>
            </w:r>
            <w:r>
              <w:rPr>
                <w:rFonts w:hint="eastAsia" w:ascii="Times New Roman" w:hAnsi="Times New Roman" w:eastAsia="仿宋_GB2312" w:cs="Times New Roman"/>
                <w:i w:val="0"/>
                <w:iCs w:val="0"/>
                <w:color w:val="000000" w:themeColor="text1"/>
                <w:kern w:val="0"/>
                <w:sz w:val="24"/>
                <w:szCs w:val="24"/>
                <w:highlight w:val="none"/>
                <w:u w:val="none"/>
                <w:vertAlign w:val="superscript"/>
                <w:lang w:val="en-US" w:eastAsia="zh-CN" w:bidi="ar"/>
                <w14:textFill>
                  <w14:solidFill>
                    <w14:schemeClr w14:val="tx1"/>
                  </w14:solidFill>
                </w14:textFill>
              </w:rPr>
              <w:t>2</w:t>
            </w:r>
            <w: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林草湿综合管护站5处1500平方米及配套设施建设；3.湿地生态监测系统建设，包含遥感卫星监测、水文监测8套、生物多样性监测11套、大气环境监测7套、气象监测7套等；4.生态巡护监测及防灭火基础设施建设项</w:t>
            </w: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目</w:t>
            </w:r>
            <w: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，包含停机坪、取水池5处及配套设施。</w:t>
            </w:r>
          </w:p>
        </w:tc>
        <w:tc>
          <w:tcPr>
            <w:tcW w:w="488" w:type="pct"/>
            <w:vAlign w:val="center"/>
          </w:tcPr>
          <w:p w14:paraId="36962FB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noWrap/>
            <w:vAlign w:val="center"/>
          </w:tcPr>
          <w:p w14:paraId="285AB2A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12700</w:t>
            </w:r>
          </w:p>
        </w:tc>
        <w:tc>
          <w:tcPr>
            <w:tcW w:w="529" w:type="pct"/>
            <w:noWrap/>
            <w:vAlign w:val="center"/>
          </w:tcPr>
          <w:p w14:paraId="5EC8CF9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2026-2030</w:t>
            </w:r>
          </w:p>
        </w:tc>
        <w:tc>
          <w:tcPr>
            <w:tcW w:w="653" w:type="pct"/>
            <w:noWrap/>
            <w:vAlign w:val="center"/>
          </w:tcPr>
          <w:p w14:paraId="2582D3E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5DD5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9" w:hRule="atLeast"/>
          <w:jc w:val="center"/>
        </w:trPr>
        <w:tc>
          <w:tcPr>
            <w:tcW w:w="275" w:type="pct"/>
            <w:vMerge w:val="continue"/>
            <w:vAlign w:val="center"/>
          </w:tcPr>
          <w:p w14:paraId="652427A9">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116DF0E5">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7</w:t>
            </w:r>
          </w:p>
        </w:tc>
        <w:tc>
          <w:tcPr>
            <w:tcW w:w="810" w:type="pct"/>
            <w:noWrap/>
            <w:vAlign w:val="center"/>
          </w:tcPr>
          <w:p w14:paraId="42AF9CB7">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四川阿坝多美林卡国家湿地公园湿地保护与生物多样性保护提升项目</w:t>
            </w:r>
          </w:p>
        </w:tc>
        <w:tc>
          <w:tcPr>
            <w:tcW w:w="1520" w:type="pct"/>
            <w:vAlign w:val="center"/>
          </w:tcPr>
          <w:p w14:paraId="057A300E">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项目规划总面积为66.5ha。湿地修复和水位提升（含新建1座溢水坝、铅丝石笼护岸1.47km、引水工程2项），人工营造湿地11.5ha，湿地周边植被恢复27.5ha，巡护道路、科普宣教设施等建设。新建溢流坝4处、生态护岸3km、水岸植被恢复33.33ha。</w:t>
            </w:r>
          </w:p>
        </w:tc>
        <w:tc>
          <w:tcPr>
            <w:tcW w:w="488" w:type="pct"/>
            <w:vAlign w:val="center"/>
          </w:tcPr>
          <w:p w14:paraId="3E46BDDC">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四川阿坝多美林卡国家湿地公园</w:t>
            </w:r>
          </w:p>
        </w:tc>
        <w:tc>
          <w:tcPr>
            <w:tcW w:w="433" w:type="pct"/>
            <w:noWrap/>
            <w:vAlign w:val="center"/>
          </w:tcPr>
          <w:p w14:paraId="3E7D06B6">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10026</w:t>
            </w:r>
          </w:p>
        </w:tc>
        <w:tc>
          <w:tcPr>
            <w:tcW w:w="529" w:type="pct"/>
            <w:noWrap/>
            <w:vAlign w:val="center"/>
          </w:tcPr>
          <w:p w14:paraId="35A40AD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2026-2030</w:t>
            </w:r>
          </w:p>
        </w:tc>
        <w:tc>
          <w:tcPr>
            <w:tcW w:w="653" w:type="pct"/>
            <w:noWrap/>
            <w:vAlign w:val="center"/>
          </w:tcPr>
          <w:p w14:paraId="617E0AF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77CE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continue"/>
            <w:vAlign w:val="center"/>
          </w:tcPr>
          <w:p w14:paraId="4A342D72">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0713FD31">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8</w:t>
            </w:r>
          </w:p>
        </w:tc>
        <w:tc>
          <w:tcPr>
            <w:tcW w:w="810" w:type="pct"/>
            <w:vAlign w:val="center"/>
          </w:tcPr>
          <w:p w14:paraId="19E1C703">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若尔盖国家公园湿地自然教育科普宣教中心建设项目</w:t>
            </w:r>
          </w:p>
        </w:tc>
        <w:tc>
          <w:tcPr>
            <w:tcW w:w="1520" w:type="pct"/>
            <w:vAlign w:val="center"/>
          </w:tcPr>
          <w:p w14:paraId="7FA5500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若尔盖国家公园湿地自然教育科普宣教展厅布展3180m</w:t>
            </w:r>
            <w:r>
              <w:rPr>
                <w:rFonts w:hint="eastAsia" w:ascii="Times New Roman" w:hAnsi="Times New Roman" w:eastAsia="仿宋_GB2312" w:cs="Times New Roman"/>
                <w:i w:val="0"/>
                <w:iCs w:val="0"/>
                <w:color w:val="000000" w:themeColor="text1"/>
                <w:kern w:val="0"/>
                <w:sz w:val="24"/>
                <w:szCs w:val="24"/>
                <w:highlight w:val="none"/>
                <w:u w:val="none"/>
                <w:vertAlign w:val="superscript"/>
                <w:lang w:val="en-US" w:eastAsia="zh-CN" w:bidi="ar"/>
                <w14:textFill>
                  <w14:solidFill>
                    <w14:schemeClr w14:val="tx1"/>
                  </w14:solidFill>
                </w14:textFill>
              </w:rPr>
              <w:t>2</w:t>
            </w: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；室外生命景观营建20000m</w:t>
            </w:r>
            <w:r>
              <w:rPr>
                <w:rFonts w:hint="eastAsia" w:ascii="Times New Roman" w:hAnsi="Times New Roman" w:eastAsia="仿宋_GB2312" w:cs="Times New Roman"/>
                <w:i w:val="0"/>
                <w:iCs w:val="0"/>
                <w:color w:val="000000" w:themeColor="text1"/>
                <w:kern w:val="0"/>
                <w:sz w:val="24"/>
                <w:szCs w:val="24"/>
                <w:highlight w:val="none"/>
                <w:u w:val="none"/>
                <w:vertAlign w:val="superscript"/>
                <w:lang w:val="en-US" w:eastAsia="zh-CN" w:bidi="ar"/>
                <w14:textFill>
                  <w14:solidFill>
                    <w14:schemeClr w14:val="tx1"/>
                  </w14:solidFill>
                </w14:textFill>
              </w:rPr>
              <w:t>2</w:t>
            </w: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w:t>
            </w:r>
          </w:p>
        </w:tc>
        <w:tc>
          <w:tcPr>
            <w:tcW w:w="488" w:type="pct"/>
            <w:vAlign w:val="center"/>
          </w:tcPr>
          <w:p w14:paraId="5DA3810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贾洛镇</w:t>
            </w:r>
          </w:p>
        </w:tc>
        <w:tc>
          <w:tcPr>
            <w:tcW w:w="433" w:type="pct"/>
            <w:noWrap/>
            <w:vAlign w:val="center"/>
          </w:tcPr>
          <w:p w14:paraId="5EF8DE03">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2916</w:t>
            </w:r>
          </w:p>
        </w:tc>
        <w:tc>
          <w:tcPr>
            <w:tcW w:w="529" w:type="pct"/>
            <w:noWrap/>
            <w:vAlign w:val="center"/>
          </w:tcPr>
          <w:p w14:paraId="0A6F39A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2026-2027</w:t>
            </w:r>
          </w:p>
        </w:tc>
        <w:tc>
          <w:tcPr>
            <w:tcW w:w="653" w:type="pct"/>
            <w:noWrap/>
            <w:vAlign w:val="center"/>
          </w:tcPr>
          <w:p w14:paraId="0FC0D22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7A5B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75" w:type="pct"/>
            <w:vMerge w:val="continue"/>
            <w:vAlign w:val="center"/>
          </w:tcPr>
          <w:p w14:paraId="4FF54495">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7DEB5C35">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9</w:t>
            </w:r>
          </w:p>
        </w:tc>
        <w:tc>
          <w:tcPr>
            <w:tcW w:w="810" w:type="pct"/>
            <w:vAlign w:val="center"/>
          </w:tcPr>
          <w:p w14:paraId="4BEE0B4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若尔盖国家公园湿地生态修复工程</w:t>
            </w:r>
          </w:p>
        </w:tc>
        <w:tc>
          <w:tcPr>
            <w:tcW w:w="1520" w:type="pct"/>
            <w:vAlign w:val="center"/>
          </w:tcPr>
          <w:p w14:paraId="01E15F5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微型拦水坝50座、小型拦水坝800米、退化湿地植被修复3.3万亩、岸线植被恢复20公里。</w:t>
            </w:r>
          </w:p>
        </w:tc>
        <w:tc>
          <w:tcPr>
            <w:tcW w:w="488" w:type="pct"/>
            <w:vAlign w:val="center"/>
          </w:tcPr>
          <w:p w14:paraId="0523434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贾洛镇、求吉玛乡、麦尔玛镇</w:t>
            </w:r>
          </w:p>
        </w:tc>
        <w:tc>
          <w:tcPr>
            <w:tcW w:w="433" w:type="pct"/>
            <w:noWrap/>
            <w:vAlign w:val="center"/>
          </w:tcPr>
          <w:p w14:paraId="4E6F8547">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8500</w:t>
            </w:r>
          </w:p>
        </w:tc>
        <w:tc>
          <w:tcPr>
            <w:tcW w:w="529" w:type="pct"/>
            <w:noWrap/>
            <w:vAlign w:val="center"/>
          </w:tcPr>
          <w:p w14:paraId="773E30F2">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2027-2030</w:t>
            </w:r>
          </w:p>
        </w:tc>
        <w:tc>
          <w:tcPr>
            <w:tcW w:w="653" w:type="pct"/>
            <w:noWrap/>
            <w:vAlign w:val="center"/>
          </w:tcPr>
          <w:p w14:paraId="15DFFF3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6B13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75" w:type="pct"/>
            <w:vMerge w:val="continue"/>
            <w:vAlign w:val="center"/>
          </w:tcPr>
          <w:p w14:paraId="3DFFC41E">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71D9B295">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10</w:t>
            </w:r>
          </w:p>
        </w:tc>
        <w:tc>
          <w:tcPr>
            <w:tcW w:w="810" w:type="pct"/>
            <w:vAlign w:val="center"/>
          </w:tcPr>
          <w:p w14:paraId="4B0E2772">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若尔盖国家公园退化草原治理工程</w:t>
            </w:r>
          </w:p>
        </w:tc>
        <w:tc>
          <w:tcPr>
            <w:tcW w:w="1520" w:type="pct"/>
            <w:vAlign w:val="center"/>
          </w:tcPr>
          <w:p w14:paraId="1C7FBA6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退化草原治理27万亩。</w:t>
            </w:r>
          </w:p>
        </w:tc>
        <w:tc>
          <w:tcPr>
            <w:tcW w:w="488" w:type="pct"/>
            <w:vAlign w:val="center"/>
          </w:tcPr>
          <w:p w14:paraId="479F037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贾洛镇、求吉玛乡、麦尔玛镇等9乡镇</w:t>
            </w:r>
          </w:p>
        </w:tc>
        <w:tc>
          <w:tcPr>
            <w:tcW w:w="433" w:type="pct"/>
            <w:noWrap/>
            <w:vAlign w:val="center"/>
          </w:tcPr>
          <w:p w14:paraId="33E79DD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21465</w:t>
            </w:r>
          </w:p>
        </w:tc>
        <w:tc>
          <w:tcPr>
            <w:tcW w:w="529" w:type="pct"/>
            <w:noWrap/>
            <w:vAlign w:val="center"/>
          </w:tcPr>
          <w:p w14:paraId="6AAE4212">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2027-2030</w:t>
            </w:r>
          </w:p>
        </w:tc>
        <w:tc>
          <w:tcPr>
            <w:tcW w:w="653" w:type="pct"/>
            <w:noWrap/>
            <w:vAlign w:val="center"/>
          </w:tcPr>
          <w:p w14:paraId="6381385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274C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75" w:type="pct"/>
            <w:vMerge w:val="continue"/>
            <w:vAlign w:val="center"/>
          </w:tcPr>
          <w:p w14:paraId="328A3077">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47D16489">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11</w:t>
            </w:r>
          </w:p>
        </w:tc>
        <w:tc>
          <w:tcPr>
            <w:tcW w:w="810" w:type="pct"/>
            <w:vAlign w:val="center"/>
          </w:tcPr>
          <w:p w14:paraId="60BF26F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若尔盖国家公园草原鼠害综合防治工程</w:t>
            </w:r>
          </w:p>
        </w:tc>
        <w:tc>
          <w:tcPr>
            <w:tcW w:w="1520" w:type="pct"/>
            <w:vAlign w:val="center"/>
          </w:tcPr>
          <w:p w14:paraId="3A05954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草原鼠害综合防治95万亩。</w:t>
            </w:r>
          </w:p>
        </w:tc>
        <w:tc>
          <w:tcPr>
            <w:tcW w:w="488" w:type="pct"/>
            <w:vAlign w:val="center"/>
          </w:tcPr>
          <w:p w14:paraId="119EEB63">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贾洛镇、求吉玛乡、麦尔玛镇等9乡镇</w:t>
            </w:r>
          </w:p>
        </w:tc>
        <w:tc>
          <w:tcPr>
            <w:tcW w:w="433" w:type="pct"/>
            <w:noWrap/>
            <w:vAlign w:val="center"/>
          </w:tcPr>
          <w:p w14:paraId="7D30057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5580</w:t>
            </w:r>
          </w:p>
        </w:tc>
        <w:tc>
          <w:tcPr>
            <w:tcW w:w="529" w:type="pct"/>
            <w:noWrap/>
            <w:vAlign w:val="center"/>
          </w:tcPr>
          <w:p w14:paraId="522307A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2028-2030</w:t>
            </w:r>
          </w:p>
        </w:tc>
        <w:tc>
          <w:tcPr>
            <w:tcW w:w="653" w:type="pct"/>
            <w:noWrap/>
            <w:vAlign w:val="center"/>
          </w:tcPr>
          <w:p w14:paraId="18ED1F4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7F77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continue"/>
            <w:vAlign w:val="center"/>
          </w:tcPr>
          <w:p w14:paraId="5D4CEE90">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5896462B">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12</w:t>
            </w:r>
          </w:p>
        </w:tc>
        <w:tc>
          <w:tcPr>
            <w:tcW w:w="810" w:type="pct"/>
            <w:vAlign w:val="center"/>
          </w:tcPr>
          <w:p w14:paraId="7139597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若尔盖国家公园拟建区域森林草原防灭火能力提升工程</w:t>
            </w:r>
          </w:p>
        </w:tc>
        <w:tc>
          <w:tcPr>
            <w:tcW w:w="1520" w:type="pct"/>
            <w:vAlign w:val="center"/>
          </w:tcPr>
          <w:p w14:paraId="51C1375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贾洛镇措德洛村森林草原防灭火通道40公里、求吉玛乡新建防火通道47公里改造提升。</w:t>
            </w:r>
          </w:p>
        </w:tc>
        <w:tc>
          <w:tcPr>
            <w:tcW w:w="488" w:type="pct"/>
            <w:vAlign w:val="center"/>
          </w:tcPr>
          <w:p w14:paraId="3735DD1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贾洛镇、求吉玛乡</w:t>
            </w:r>
          </w:p>
        </w:tc>
        <w:tc>
          <w:tcPr>
            <w:tcW w:w="433" w:type="pct"/>
            <w:noWrap/>
            <w:vAlign w:val="center"/>
          </w:tcPr>
          <w:p w14:paraId="635DB0B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5438</w:t>
            </w:r>
          </w:p>
        </w:tc>
        <w:tc>
          <w:tcPr>
            <w:tcW w:w="529" w:type="pct"/>
            <w:noWrap/>
            <w:vAlign w:val="center"/>
          </w:tcPr>
          <w:p w14:paraId="347815EE">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2028-2030</w:t>
            </w:r>
          </w:p>
        </w:tc>
        <w:tc>
          <w:tcPr>
            <w:tcW w:w="653" w:type="pct"/>
            <w:noWrap/>
            <w:vAlign w:val="center"/>
          </w:tcPr>
          <w:p w14:paraId="23E95B6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6866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275" w:type="pct"/>
            <w:vMerge w:val="continue"/>
            <w:vAlign w:val="center"/>
          </w:tcPr>
          <w:p w14:paraId="092750D0">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37719C13">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13</w:t>
            </w:r>
          </w:p>
        </w:tc>
        <w:tc>
          <w:tcPr>
            <w:tcW w:w="810" w:type="pct"/>
            <w:vAlign w:val="center"/>
          </w:tcPr>
          <w:p w14:paraId="71D0382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若尔盖国家公园野生动植物本底调查</w:t>
            </w:r>
          </w:p>
        </w:tc>
        <w:tc>
          <w:tcPr>
            <w:tcW w:w="1520" w:type="pct"/>
            <w:vAlign w:val="center"/>
          </w:tcPr>
          <w:p w14:paraId="38EA260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针对阿坝县若尔盖国家公园拟建区的九个乡镇，开展野生动植物本底调查，摸清底数。</w:t>
            </w:r>
          </w:p>
        </w:tc>
        <w:tc>
          <w:tcPr>
            <w:tcW w:w="488" w:type="pct"/>
            <w:vAlign w:val="center"/>
          </w:tcPr>
          <w:p w14:paraId="5A3B010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麦尔玛镇、求吉玛乡、贾洛镇、查理乡、四洼乡、龙藏乡、阿坝镇、麦昆乡、各莫镇</w:t>
            </w:r>
          </w:p>
        </w:tc>
        <w:tc>
          <w:tcPr>
            <w:tcW w:w="433" w:type="pct"/>
            <w:noWrap/>
            <w:vAlign w:val="center"/>
          </w:tcPr>
          <w:p w14:paraId="1B615AB8">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780</w:t>
            </w:r>
          </w:p>
        </w:tc>
        <w:tc>
          <w:tcPr>
            <w:tcW w:w="529" w:type="pct"/>
            <w:noWrap/>
            <w:vAlign w:val="center"/>
          </w:tcPr>
          <w:p w14:paraId="063ABED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2027-2028</w:t>
            </w:r>
          </w:p>
        </w:tc>
        <w:tc>
          <w:tcPr>
            <w:tcW w:w="653" w:type="pct"/>
            <w:noWrap/>
            <w:vAlign w:val="center"/>
          </w:tcPr>
          <w:p w14:paraId="36661E1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1C9B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275" w:type="pct"/>
            <w:vMerge w:val="continue"/>
            <w:vAlign w:val="center"/>
          </w:tcPr>
          <w:p w14:paraId="373FF9B2">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6B8F8BDE">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14</w:t>
            </w:r>
          </w:p>
        </w:tc>
        <w:tc>
          <w:tcPr>
            <w:tcW w:w="810" w:type="pct"/>
            <w:vAlign w:val="center"/>
          </w:tcPr>
          <w:p w14:paraId="2EEF6196">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若尔盖国家公园（阿坝县）保护及管理能力建设项目</w:t>
            </w:r>
          </w:p>
        </w:tc>
        <w:tc>
          <w:tcPr>
            <w:tcW w:w="1520" w:type="pct"/>
            <w:vAlign w:val="center"/>
          </w:tcPr>
          <w:p w14:paraId="6080898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新建国家公园阿坝县管理中心1500平方米，新建管护站3个600平方米，防火卡点10个，购置监测巡护车辆5台，配套宣教监测巡护防火设备500台（套），国家公园勘界定桩。</w:t>
            </w:r>
          </w:p>
        </w:tc>
        <w:tc>
          <w:tcPr>
            <w:tcW w:w="488" w:type="pct"/>
            <w:vAlign w:val="center"/>
          </w:tcPr>
          <w:p w14:paraId="67EC7DF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noWrap/>
            <w:vAlign w:val="center"/>
          </w:tcPr>
          <w:p w14:paraId="3D8FEE7C">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5000</w:t>
            </w:r>
          </w:p>
        </w:tc>
        <w:tc>
          <w:tcPr>
            <w:tcW w:w="529" w:type="pct"/>
            <w:noWrap/>
            <w:vAlign w:val="center"/>
          </w:tcPr>
          <w:p w14:paraId="1EEE709D">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2028-2030</w:t>
            </w:r>
          </w:p>
        </w:tc>
        <w:tc>
          <w:tcPr>
            <w:tcW w:w="653" w:type="pct"/>
            <w:noWrap/>
            <w:vAlign w:val="center"/>
          </w:tcPr>
          <w:p w14:paraId="2542D542">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3982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75" w:type="pct"/>
            <w:vMerge w:val="continue"/>
            <w:vAlign w:val="center"/>
          </w:tcPr>
          <w:p w14:paraId="293F64E7">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52B17911">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15</w:t>
            </w:r>
          </w:p>
        </w:tc>
        <w:tc>
          <w:tcPr>
            <w:tcW w:w="810" w:type="pct"/>
            <w:shd w:val="clear" w:color="auto" w:fill="auto"/>
            <w:vAlign w:val="center"/>
          </w:tcPr>
          <w:p w14:paraId="5AA0F4E8">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四川阿坝漫泽塘湿地自然保护区及周边林草植被综合修复</w:t>
            </w:r>
          </w:p>
        </w:tc>
        <w:tc>
          <w:tcPr>
            <w:tcW w:w="1520" w:type="pct"/>
            <w:shd w:val="clear" w:color="auto" w:fill="auto"/>
            <w:vAlign w:val="center"/>
          </w:tcPr>
          <w:p w14:paraId="1E5D5532">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湿地植被恢复5万亩、草原鼠虫害综合防治80万亩次、国省道路沿线可视范围内裸斑地治理0.5万亩。</w:t>
            </w:r>
          </w:p>
        </w:tc>
        <w:tc>
          <w:tcPr>
            <w:tcW w:w="488" w:type="pct"/>
            <w:shd w:val="clear" w:color="auto" w:fill="auto"/>
            <w:vAlign w:val="center"/>
          </w:tcPr>
          <w:p w14:paraId="682FD88D">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shd w:val="clear" w:color="auto" w:fill="auto"/>
            <w:noWrap/>
            <w:vAlign w:val="center"/>
          </w:tcPr>
          <w:p w14:paraId="5BB0785C">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8000</w:t>
            </w:r>
          </w:p>
        </w:tc>
        <w:tc>
          <w:tcPr>
            <w:tcW w:w="529" w:type="pct"/>
            <w:shd w:val="clear" w:color="auto" w:fill="auto"/>
            <w:noWrap/>
            <w:vAlign w:val="center"/>
          </w:tcPr>
          <w:p w14:paraId="7E6C2B4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2026-2030</w:t>
            </w:r>
          </w:p>
        </w:tc>
        <w:tc>
          <w:tcPr>
            <w:tcW w:w="653" w:type="pct"/>
            <w:shd w:val="clear" w:color="auto" w:fill="auto"/>
            <w:noWrap/>
            <w:vAlign w:val="center"/>
          </w:tcPr>
          <w:p w14:paraId="52C9FB6D">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02B5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75" w:type="pct"/>
            <w:vMerge w:val="continue"/>
            <w:vAlign w:val="center"/>
          </w:tcPr>
          <w:p w14:paraId="34141256">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012F40B4">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16</w:t>
            </w:r>
          </w:p>
        </w:tc>
        <w:tc>
          <w:tcPr>
            <w:tcW w:w="810" w:type="pct"/>
            <w:shd w:val="clear" w:color="auto" w:fill="auto"/>
            <w:vAlign w:val="center"/>
          </w:tcPr>
          <w:p w14:paraId="0E1A6BE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四川莲宝叶则国家湿地自然公园及周边林草湿生态综合治理</w:t>
            </w:r>
          </w:p>
        </w:tc>
        <w:tc>
          <w:tcPr>
            <w:tcW w:w="1520" w:type="pct"/>
            <w:shd w:val="clear" w:color="auto" w:fill="auto"/>
            <w:vAlign w:val="center"/>
          </w:tcPr>
          <w:p w14:paraId="38A7BE42">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湿地公园微地貌改造5处、林草原生植被恢复5万亩。</w:t>
            </w:r>
          </w:p>
        </w:tc>
        <w:tc>
          <w:tcPr>
            <w:tcW w:w="488" w:type="pct"/>
            <w:shd w:val="clear" w:color="auto" w:fill="auto"/>
            <w:vAlign w:val="center"/>
          </w:tcPr>
          <w:p w14:paraId="162BE12C">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shd w:val="clear" w:color="auto" w:fill="auto"/>
            <w:noWrap/>
            <w:vAlign w:val="center"/>
          </w:tcPr>
          <w:p w14:paraId="746BFB3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3000</w:t>
            </w:r>
          </w:p>
        </w:tc>
        <w:tc>
          <w:tcPr>
            <w:tcW w:w="529" w:type="pct"/>
            <w:shd w:val="clear" w:color="auto" w:fill="auto"/>
            <w:noWrap/>
            <w:vAlign w:val="center"/>
          </w:tcPr>
          <w:p w14:paraId="0B5DA17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2026-2030</w:t>
            </w:r>
          </w:p>
        </w:tc>
        <w:tc>
          <w:tcPr>
            <w:tcW w:w="653" w:type="pct"/>
            <w:shd w:val="clear" w:color="auto" w:fill="auto"/>
            <w:noWrap/>
            <w:vAlign w:val="center"/>
          </w:tcPr>
          <w:p w14:paraId="6D346D7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3112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275" w:type="pct"/>
            <w:vMerge w:val="continue"/>
            <w:vAlign w:val="center"/>
          </w:tcPr>
          <w:p w14:paraId="574F9220">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78C1EF4A">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17</w:t>
            </w:r>
          </w:p>
        </w:tc>
        <w:tc>
          <w:tcPr>
            <w:tcW w:w="810" w:type="pct"/>
            <w:shd w:val="clear" w:color="auto" w:fill="auto"/>
            <w:vAlign w:val="center"/>
          </w:tcPr>
          <w:p w14:paraId="6BAEE968">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阿坝县森林草原水源涵养生态保护和修复项目</w:t>
            </w:r>
          </w:p>
        </w:tc>
        <w:tc>
          <w:tcPr>
            <w:tcW w:w="1520" w:type="pct"/>
            <w:shd w:val="clear" w:color="auto" w:fill="auto"/>
            <w:vAlign w:val="center"/>
          </w:tcPr>
          <w:p w14:paraId="608449F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人工造林0.06万亩、封山育林8万亩、退化林修复2万亩、人工种草5万亩、天然草原改良10万亩、围栏封育20万米。</w:t>
            </w:r>
          </w:p>
        </w:tc>
        <w:tc>
          <w:tcPr>
            <w:tcW w:w="488" w:type="pct"/>
            <w:shd w:val="clear" w:color="auto" w:fill="auto"/>
            <w:vAlign w:val="center"/>
          </w:tcPr>
          <w:p w14:paraId="16AE18AC">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贾洛镇、麦尔玛镇、求吉玛乡、各莫镇、四洼乡、麦昆乡、柯河乡、垮沙乡、茸安乡、安羌镇</w:t>
            </w:r>
          </w:p>
        </w:tc>
        <w:tc>
          <w:tcPr>
            <w:tcW w:w="433" w:type="pct"/>
            <w:shd w:val="clear" w:color="auto" w:fill="auto"/>
            <w:noWrap/>
            <w:vAlign w:val="center"/>
          </w:tcPr>
          <w:p w14:paraId="66F798D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5470</w:t>
            </w:r>
          </w:p>
        </w:tc>
        <w:tc>
          <w:tcPr>
            <w:tcW w:w="529" w:type="pct"/>
            <w:shd w:val="clear" w:color="auto" w:fill="auto"/>
            <w:noWrap/>
            <w:vAlign w:val="center"/>
          </w:tcPr>
          <w:p w14:paraId="7E20A5C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2028-2030</w:t>
            </w:r>
          </w:p>
        </w:tc>
        <w:tc>
          <w:tcPr>
            <w:tcW w:w="653" w:type="pct"/>
            <w:shd w:val="clear" w:color="auto" w:fill="auto"/>
            <w:noWrap/>
            <w:vAlign w:val="center"/>
          </w:tcPr>
          <w:p w14:paraId="5CD037A3">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7CC8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continue"/>
            <w:vAlign w:val="center"/>
          </w:tcPr>
          <w:p w14:paraId="1756758A">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2615AFB1">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18</w:t>
            </w:r>
          </w:p>
        </w:tc>
        <w:tc>
          <w:tcPr>
            <w:tcW w:w="810" w:type="pct"/>
            <w:shd w:val="clear" w:color="auto" w:fill="auto"/>
            <w:vAlign w:val="center"/>
          </w:tcPr>
          <w:p w14:paraId="79EA286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阿坝县高寒草地板结化草地综合治理科研示范</w:t>
            </w:r>
          </w:p>
        </w:tc>
        <w:tc>
          <w:tcPr>
            <w:tcW w:w="1520" w:type="pct"/>
            <w:shd w:val="clear" w:color="auto" w:fill="auto"/>
            <w:vAlign w:val="center"/>
          </w:tcPr>
          <w:p w14:paraId="5BEA5D92">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板结化草地治理10000亩。</w:t>
            </w:r>
          </w:p>
        </w:tc>
        <w:tc>
          <w:tcPr>
            <w:tcW w:w="488" w:type="pct"/>
            <w:shd w:val="clear" w:color="auto" w:fill="auto"/>
            <w:vAlign w:val="center"/>
          </w:tcPr>
          <w:p w14:paraId="51148D4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shd w:val="clear" w:color="auto" w:fill="auto"/>
            <w:noWrap/>
            <w:vAlign w:val="center"/>
          </w:tcPr>
          <w:p w14:paraId="660E588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500</w:t>
            </w:r>
          </w:p>
        </w:tc>
        <w:tc>
          <w:tcPr>
            <w:tcW w:w="529" w:type="pct"/>
            <w:shd w:val="clear" w:color="auto" w:fill="auto"/>
            <w:noWrap/>
            <w:vAlign w:val="center"/>
          </w:tcPr>
          <w:p w14:paraId="030D297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2028-2030</w:t>
            </w:r>
          </w:p>
        </w:tc>
        <w:tc>
          <w:tcPr>
            <w:tcW w:w="653" w:type="pct"/>
            <w:shd w:val="clear" w:color="auto" w:fill="auto"/>
            <w:noWrap/>
            <w:vAlign w:val="center"/>
          </w:tcPr>
          <w:p w14:paraId="2D8558B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307A9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continue"/>
            <w:vAlign w:val="center"/>
          </w:tcPr>
          <w:p w14:paraId="1A2A8552">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4E663393">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19</w:t>
            </w:r>
          </w:p>
        </w:tc>
        <w:tc>
          <w:tcPr>
            <w:tcW w:w="810" w:type="pct"/>
            <w:shd w:val="clear" w:color="auto" w:fill="auto"/>
            <w:vAlign w:val="center"/>
          </w:tcPr>
          <w:p w14:paraId="38BFEF2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阿坝县草原生态修复工程</w:t>
            </w:r>
          </w:p>
        </w:tc>
        <w:tc>
          <w:tcPr>
            <w:tcW w:w="1520" w:type="pct"/>
            <w:shd w:val="clear" w:color="auto" w:fill="auto"/>
            <w:vAlign w:val="center"/>
          </w:tcPr>
          <w:p w14:paraId="5D5B1C2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退化草原治理10万亩。</w:t>
            </w:r>
          </w:p>
        </w:tc>
        <w:tc>
          <w:tcPr>
            <w:tcW w:w="488" w:type="pct"/>
            <w:shd w:val="clear" w:color="auto" w:fill="auto"/>
            <w:vAlign w:val="center"/>
          </w:tcPr>
          <w:p w14:paraId="3774308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求吉玛乡、贾洛镇、麦尔玛镇</w:t>
            </w:r>
          </w:p>
        </w:tc>
        <w:tc>
          <w:tcPr>
            <w:tcW w:w="433" w:type="pct"/>
            <w:shd w:val="clear" w:color="auto" w:fill="auto"/>
            <w:noWrap/>
            <w:vAlign w:val="center"/>
          </w:tcPr>
          <w:p w14:paraId="0C97054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900</w:t>
            </w:r>
          </w:p>
        </w:tc>
        <w:tc>
          <w:tcPr>
            <w:tcW w:w="529" w:type="pct"/>
            <w:shd w:val="clear" w:color="auto" w:fill="auto"/>
            <w:noWrap/>
            <w:vAlign w:val="center"/>
          </w:tcPr>
          <w:p w14:paraId="11A4D89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2029-2030</w:t>
            </w:r>
          </w:p>
        </w:tc>
        <w:tc>
          <w:tcPr>
            <w:tcW w:w="653" w:type="pct"/>
            <w:shd w:val="clear" w:color="auto" w:fill="auto"/>
            <w:noWrap/>
            <w:vAlign w:val="center"/>
          </w:tcPr>
          <w:p w14:paraId="37775EA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7ED3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continue"/>
            <w:vAlign w:val="center"/>
          </w:tcPr>
          <w:p w14:paraId="53E36CD8">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377289AF">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20</w:t>
            </w:r>
          </w:p>
        </w:tc>
        <w:tc>
          <w:tcPr>
            <w:tcW w:w="810" w:type="pct"/>
            <w:shd w:val="clear" w:color="auto" w:fill="auto"/>
            <w:vAlign w:val="center"/>
          </w:tcPr>
          <w:p w14:paraId="088CC2F7">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阿坝县省级湿地生态效益补偿</w:t>
            </w:r>
          </w:p>
        </w:tc>
        <w:tc>
          <w:tcPr>
            <w:tcW w:w="1520" w:type="pct"/>
            <w:shd w:val="clear" w:color="auto" w:fill="auto"/>
            <w:vAlign w:val="center"/>
          </w:tcPr>
          <w:p w14:paraId="5C6BD4CE">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每年对阿坝县灌丛沼泽、沼泽草地、沼泽地共105.42万亩开展管护，兑现生态效益补偿421.68/年。</w:t>
            </w:r>
          </w:p>
        </w:tc>
        <w:tc>
          <w:tcPr>
            <w:tcW w:w="488" w:type="pct"/>
            <w:shd w:val="clear" w:color="auto" w:fill="auto"/>
            <w:vAlign w:val="center"/>
          </w:tcPr>
          <w:p w14:paraId="68CA8E6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shd w:val="clear" w:color="auto" w:fill="auto"/>
            <w:noWrap/>
            <w:vAlign w:val="center"/>
          </w:tcPr>
          <w:p w14:paraId="6973949E">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2108</w:t>
            </w:r>
          </w:p>
        </w:tc>
        <w:tc>
          <w:tcPr>
            <w:tcW w:w="529" w:type="pct"/>
            <w:shd w:val="clear" w:color="auto" w:fill="auto"/>
            <w:noWrap/>
            <w:vAlign w:val="center"/>
          </w:tcPr>
          <w:p w14:paraId="37AAE1B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2025-2030</w:t>
            </w:r>
          </w:p>
        </w:tc>
        <w:tc>
          <w:tcPr>
            <w:tcW w:w="653" w:type="pct"/>
            <w:shd w:val="clear" w:color="auto" w:fill="auto"/>
            <w:noWrap/>
            <w:vAlign w:val="center"/>
          </w:tcPr>
          <w:p w14:paraId="05578A03">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637C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75" w:type="pct"/>
            <w:vMerge w:val="continue"/>
            <w:vAlign w:val="center"/>
          </w:tcPr>
          <w:p w14:paraId="4A76E7C9">
            <w:pPr>
              <w:widowControl/>
              <w:shd w:val="clear"/>
              <w:spacing w:line="320" w:lineRule="exact"/>
              <w:jc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553161CC">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21</w:t>
            </w:r>
          </w:p>
        </w:tc>
        <w:tc>
          <w:tcPr>
            <w:tcW w:w="810" w:type="pct"/>
            <w:shd w:val="clear" w:color="auto" w:fill="auto"/>
            <w:vAlign w:val="center"/>
          </w:tcPr>
          <w:p w14:paraId="42830318">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阿坝县集体公益性森林生态效益补偿、集体和个人所有天然商品林停伐补助</w:t>
            </w:r>
          </w:p>
        </w:tc>
        <w:tc>
          <w:tcPr>
            <w:tcW w:w="1520" w:type="pct"/>
            <w:shd w:val="clear" w:color="auto" w:fill="auto"/>
            <w:vAlign w:val="center"/>
          </w:tcPr>
          <w:p w14:paraId="5B5598E6">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每年对阿坝县集体公益林11.9782万亩、集体商品林1.3468万亩开展管护，兑现生态效益补偿、停伐补助209.17/年。</w:t>
            </w:r>
          </w:p>
        </w:tc>
        <w:tc>
          <w:tcPr>
            <w:tcW w:w="488" w:type="pct"/>
            <w:shd w:val="clear" w:color="auto" w:fill="auto"/>
            <w:vAlign w:val="center"/>
          </w:tcPr>
          <w:p w14:paraId="2703D303">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shd w:val="clear" w:color="auto" w:fill="auto"/>
            <w:noWrap/>
            <w:vAlign w:val="center"/>
          </w:tcPr>
          <w:p w14:paraId="1D2B3FC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1046</w:t>
            </w:r>
          </w:p>
        </w:tc>
        <w:tc>
          <w:tcPr>
            <w:tcW w:w="529" w:type="pct"/>
            <w:shd w:val="clear" w:color="auto" w:fill="auto"/>
            <w:noWrap/>
            <w:vAlign w:val="center"/>
          </w:tcPr>
          <w:p w14:paraId="69AAEBB3">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2025-2030</w:t>
            </w:r>
          </w:p>
        </w:tc>
        <w:tc>
          <w:tcPr>
            <w:tcW w:w="653" w:type="pct"/>
            <w:shd w:val="clear" w:color="auto" w:fill="auto"/>
            <w:noWrap/>
            <w:vAlign w:val="center"/>
          </w:tcPr>
          <w:p w14:paraId="3E8F789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07C2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75" w:type="pct"/>
            <w:vMerge w:val="continue"/>
            <w:vAlign w:val="center"/>
          </w:tcPr>
          <w:p w14:paraId="546F08D3">
            <w:pPr>
              <w:widowControl/>
              <w:shd w:val="clear"/>
              <w:spacing w:line="320" w:lineRule="exact"/>
              <w:jc w:val="center"/>
              <w:rPr>
                <w:rFonts w:ascii="Times New Roman" w:hAnsi="Times New Roman" w:eastAsia="仿宋_GB2312" w:cs="Times New Roman"/>
                <w:color w:val="0000FF"/>
                <w:sz w:val="24"/>
                <w:highlight w:val="none"/>
              </w:rPr>
            </w:pPr>
          </w:p>
        </w:tc>
        <w:tc>
          <w:tcPr>
            <w:tcW w:w="288" w:type="pct"/>
            <w:vAlign w:val="center"/>
          </w:tcPr>
          <w:p w14:paraId="6AB4268F">
            <w:pPr>
              <w:keepNext w:val="0"/>
              <w:keepLines w:val="0"/>
              <w:pageBreakBefore w:val="0"/>
              <w:widowControl/>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22</w:t>
            </w:r>
          </w:p>
        </w:tc>
        <w:tc>
          <w:tcPr>
            <w:tcW w:w="810" w:type="pct"/>
            <w:shd w:val="clear" w:color="auto" w:fill="auto"/>
            <w:vAlign w:val="center"/>
          </w:tcPr>
          <w:p w14:paraId="100439A7">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阿坝县生态护林员岗位开发</w:t>
            </w:r>
          </w:p>
        </w:tc>
        <w:tc>
          <w:tcPr>
            <w:tcW w:w="1520" w:type="pct"/>
            <w:shd w:val="clear" w:color="auto" w:fill="auto"/>
            <w:vAlign w:val="center"/>
          </w:tcPr>
          <w:p w14:paraId="001D4D6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明年开发生态护林员岗位617个，开展国有天然林管护。</w:t>
            </w:r>
          </w:p>
        </w:tc>
        <w:tc>
          <w:tcPr>
            <w:tcW w:w="488" w:type="pct"/>
            <w:shd w:val="clear" w:color="auto" w:fill="auto"/>
            <w:vAlign w:val="center"/>
          </w:tcPr>
          <w:p w14:paraId="0AB7E45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shd w:val="clear" w:color="auto" w:fill="auto"/>
            <w:noWrap/>
            <w:vAlign w:val="center"/>
          </w:tcPr>
          <w:p w14:paraId="37544756">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3085</w:t>
            </w:r>
          </w:p>
        </w:tc>
        <w:tc>
          <w:tcPr>
            <w:tcW w:w="529" w:type="pct"/>
            <w:shd w:val="clear" w:color="auto" w:fill="auto"/>
            <w:noWrap/>
            <w:vAlign w:val="center"/>
          </w:tcPr>
          <w:p w14:paraId="64ADC15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2025-2030</w:t>
            </w:r>
          </w:p>
        </w:tc>
        <w:tc>
          <w:tcPr>
            <w:tcW w:w="653" w:type="pct"/>
            <w:shd w:val="clear" w:color="auto" w:fill="auto"/>
            <w:noWrap/>
            <w:vAlign w:val="center"/>
          </w:tcPr>
          <w:p w14:paraId="62AE96B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198F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restart"/>
            <w:noWrap/>
            <w:vAlign w:val="center"/>
          </w:tcPr>
          <w:p w14:paraId="61AB02DD">
            <w:pPr>
              <w:widowControl/>
              <w:shd w:val="clear"/>
              <w:spacing w:line="320" w:lineRule="exact"/>
              <w:jc w:val="left"/>
              <w:textAlignment w:val="center"/>
              <w:rPr>
                <w:rFonts w:hint="eastAsia" w:ascii="Times New Roman" w:hAnsi="Times New Roman" w:eastAsia="仿宋_GB2312" w:cs="Times New Roman"/>
                <w:color w:val="0000FF"/>
                <w:sz w:val="24"/>
                <w:highlight w:val="none"/>
                <w:lang w:eastAsia="zh-CN"/>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美丽</w:t>
            </w: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河湖</w:t>
            </w:r>
          </w:p>
        </w:tc>
        <w:tc>
          <w:tcPr>
            <w:tcW w:w="288" w:type="pct"/>
            <w:vAlign w:val="center"/>
          </w:tcPr>
          <w:p w14:paraId="7C0B9C3B">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23</w:t>
            </w:r>
          </w:p>
        </w:tc>
        <w:tc>
          <w:tcPr>
            <w:tcW w:w="810" w:type="pct"/>
            <w:vAlign w:val="center"/>
          </w:tcPr>
          <w:p w14:paraId="33890F0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阿坝县香柔曲综合治理项目</w:t>
            </w:r>
          </w:p>
        </w:tc>
        <w:tc>
          <w:tcPr>
            <w:tcW w:w="1520" w:type="pct"/>
            <w:vAlign w:val="center"/>
          </w:tcPr>
          <w:p w14:paraId="1A2D453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河道综合治理长度10km，生态护岸修建长度20km。</w:t>
            </w:r>
          </w:p>
        </w:tc>
        <w:tc>
          <w:tcPr>
            <w:tcW w:w="488" w:type="pct"/>
            <w:vAlign w:val="center"/>
          </w:tcPr>
          <w:p w14:paraId="3A0F309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vAlign w:val="center"/>
          </w:tcPr>
          <w:p w14:paraId="4FA0B14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3500</w:t>
            </w:r>
          </w:p>
        </w:tc>
        <w:tc>
          <w:tcPr>
            <w:tcW w:w="529" w:type="pct"/>
            <w:noWrap/>
            <w:vAlign w:val="center"/>
          </w:tcPr>
          <w:p w14:paraId="2C0D0B28">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w:t>
            </w:r>
          </w:p>
        </w:tc>
        <w:tc>
          <w:tcPr>
            <w:tcW w:w="653" w:type="pct"/>
            <w:noWrap/>
            <w:vAlign w:val="center"/>
          </w:tcPr>
          <w:p w14:paraId="7F5D5B76">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阿坝县科学技术和农业畜牧水务局</w:t>
            </w:r>
          </w:p>
        </w:tc>
      </w:tr>
      <w:tr w14:paraId="7056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continue"/>
            <w:noWrap/>
            <w:vAlign w:val="center"/>
          </w:tcPr>
          <w:p w14:paraId="306D9C49">
            <w:pPr>
              <w:widowControl/>
              <w:shd w:val="clear"/>
              <w:spacing w:line="320" w:lineRule="exact"/>
              <w:jc w:val="left"/>
              <w:textAlignment w:val="center"/>
              <w:rPr>
                <w:rStyle w:val="24"/>
                <w:rFonts w:hint="default" w:ascii="Times New Roman" w:hAnsi="Times New Roman" w:eastAsia="仿宋_GB2312" w:cs="Times New Roman"/>
                <w:color w:val="0000FF"/>
                <w:highlight w:val="none"/>
                <w:lang w:bidi="ar"/>
              </w:rPr>
            </w:pPr>
          </w:p>
        </w:tc>
        <w:tc>
          <w:tcPr>
            <w:tcW w:w="288" w:type="pct"/>
            <w:vAlign w:val="center"/>
          </w:tcPr>
          <w:p w14:paraId="4A464212">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24</w:t>
            </w:r>
          </w:p>
        </w:tc>
        <w:tc>
          <w:tcPr>
            <w:tcW w:w="810" w:type="pct"/>
            <w:vAlign w:val="center"/>
          </w:tcPr>
          <w:p w14:paraId="06319C1D">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白河阿坝县贾洛镇日阿洛村段防洪治理工程（一期）</w:t>
            </w:r>
          </w:p>
        </w:tc>
        <w:tc>
          <w:tcPr>
            <w:tcW w:w="1520" w:type="pct"/>
            <w:vAlign w:val="center"/>
          </w:tcPr>
          <w:p w14:paraId="6BC4268C">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新建护岸5784.28m。</w:t>
            </w:r>
          </w:p>
        </w:tc>
        <w:tc>
          <w:tcPr>
            <w:tcW w:w="488" w:type="pct"/>
            <w:vAlign w:val="center"/>
          </w:tcPr>
          <w:p w14:paraId="26B30FF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vAlign w:val="center"/>
          </w:tcPr>
          <w:p w14:paraId="5B9A0EE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4764</w:t>
            </w:r>
          </w:p>
        </w:tc>
        <w:tc>
          <w:tcPr>
            <w:tcW w:w="529" w:type="pct"/>
            <w:noWrap/>
            <w:vAlign w:val="center"/>
          </w:tcPr>
          <w:p w14:paraId="1D2819D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w:t>
            </w:r>
          </w:p>
        </w:tc>
        <w:tc>
          <w:tcPr>
            <w:tcW w:w="653" w:type="pct"/>
            <w:noWrap/>
            <w:vAlign w:val="center"/>
          </w:tcPr>
          <w:p w14:paraId="50A3448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阿坝县科学技术和农业畜牧水务局</w:t>
            </w:r>
          </w:p>
        </w:tc>
      </w:tr>
      <w:tr w14:paraId="4B7B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continue"/>
            <w:noWrap/>
            <w:vAlign w:val="center"/>
          </w:tcPr>
          <w:p w14:paraId="5A42288F">
            <w:pPr>
              <w:widowControl/>
              <w:shd w:val="clear"/>
              <w:spacing w:line="320" w:lineRule="exact"/>
              <w:jc w:val="left"/>
              <w:textAlignment w:val="center"/>
              <w:rPr>
                <w:rStyle w:val="24"/>
                <w:rFonts w:hint="default" w:ascii="Times New Roman" w:hAnsi="Times New Roman" w:eastAsia="仿宋_GB2312" w:cs="Times New Roman"/>
                <w:color w:val="0000FF"/>
                <w:highlight w:val="none"/>
                <w:lang w:bidi="ar"/>
              </w:rPr>
            </w:pPr>
          </w:p>
        </w:tc>
        <w:tc>
          <w:tcPr>
            <w:tcW w:w="288" w:type="pct"/>
            <w:vAlign w:val="center"/>
          </w:tcPr>
          <w:p w14:paraId="67E1CB4D">
            <w:pPr>
              <w:widowControl/>
              <w:shd w:val="clear"/>
              <w:spacing w:line="320" w:lineRule="exact"/>
              <w:jc w:val="center"/>
              <w:textAlignment w:val="center"/>
              <w:rPr>
                <w:rFonts w:hint="default" w:ascii="Times New Roman" w:hAnsi="Times New Roman" w:eastAsia="仿宋_GB2312" w:cs="Times New Roman"/>
                <w:color w:val="0000FF"/>
                <w:kern w:val="0"/>
                <w:sz w:val="24"/>
                <w:highlight w:val="none"/>
                <w:lang w:val="en-US" w:eastAsia="zh-CN" w:bidi="ar"/>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25</w:t>
            </w:r>
          </w:p>
        </w:tc>
        <w:tc>
          <w:tcPr>
            <w:tcW w:w="810" w:type="pct"/>
            <w:vAlign w:val="center"/>
          </w:tcPr>
          <w:p w14:paraId="64437A7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白河阿坝县贾洛镇日阿洛村段防洪治理工程（二期）</w:t>
            </w:r>
          </w:p>
        </w:tc>
        <w:tc>
          <w:tcPr>
            <w:tcW w:w="1520" w:type="pct"/>
            <w:vAlign w:val="center"/>
          </w:tcPr>
          <w:p w14:paraId="6AFEF2A7">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新建护岸4000m。</w:t>
            </w:r>
          </w:p>
        </w:tc>
        <w:tc>
          <w:tcPr>
            <w:tcW w:w="488" w:type="pct"/>
            <w:vAlign w:val="center"/>
          </w:tcPr>
          <w:p w14:paraId="02793DC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vAlign w:val="center"/>
          </w:tcPr>
          <w:p w14:paraId="20C26CB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3500</w:t>
            </w:r>
          </w:p>
        </w:tc>
        <w:tc>
          <w:tcPr>
            <w:tcW w:w="529" w:type="pct"/>
            <w:noWrap/>
            <w:vAlign w:val="center"/>
          </w:tcPr>
          <w:p w14:paraId="36B1F896">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2029</w:t>
            </w:r>
          </w:p>
        </w:tc>
        <w:tc>
          <w:tcPr>
            <w:tcW w:w="653" w:type="pct"/>
            <w:noWrap/>
            <w:vAlign w:val="center"/>
          </w:tcPr>
          <w:p w14:paraId="59AB0DA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阿坝县科学技术和农业畜牧水务局</w:t>
            </w:r>
          </w:p>
        </w:tc>
      </w:tr>
      <w:tr w14:paraId="46EB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75" w:type="pct"/>
            <w:vMerge w:val="continue"/>
            <w:noWrap/>
            <w:vAlign w:val="center"/>
          </w:tcPr>
          <w:p w14:paraId="083350AA">
            <w:pPr>
              <w:widowControl/>
              <w:shd w:val="clear"/>
              <w:spacing w:line="320" w:lineRule="exact"/>
              <w:jc w:val="left"/>
              <w:textAlignment w:val="center"/>
              <w:rPr>
                <w:rStyle w:val="24"/>
                <w:rFonts w:hint="default" w:ascii="Times New Roman" w:hAnsi="Times New Roman" w:eastAsia="仿宋_GB2312" w:cs="Times New Roman"/>
                <w:color w:val="0000FF"/>
                <w:highlight w:val="none"/>
                <w:lang w:bidi="ar"/>
              </w:rPr>
            </w:pPr>
          </w:p>
        </w:tc>
        <w:tc>
          <w:tcPr>
            <w:tcW w:w="288" w:type="pct"/>
            <w:vAlign w:val="center"/>
          </w:tcPr>
          <w:p w14:paraId="0E23F2E6">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26</w:t>
            </w:r>
          </w:p>
        </w:tc>
        <w:tc>
          <w:tcPr>
            <w:tcW w:w="810" w:type="pct"/>
            <w:vAlign w:val="center"/>
          </w:tcPr>
          <w:p w14:paraId="5CC3F6A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阿坝县黄河流域都额尔曲麦尔玛镇段水生态综合治理项目</w:t>
            </w:r>
          </w:p>
        </w:tc>
        <w:tc>
          <w:tcPr>
            <w:tcW w:w="1520" w:type="pct"/>
            <w:vAlign w:val="center"/>
          </w:tcPr>
          <w:p w14:paraId="7A5DD71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新建生态护岸71km。</w:t>
            </w:r>
          </w:p>
        </w:tc>
        <w:tc>
          <w:tcPr>
            <w:tcW w:w="488" w:type="pct"/>
            <w:vAlign w:val="center"/>
          </w:tcPr>
          <w:p w14:paraId="178E363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vAlign w:val="center"/>
          </w:tcPr>
          <w:p w14:paraId="2F69A8F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9000</w:t>
            </w:r>
          </w:p>
        </w:tc>
        <w:tc>
          <w:tcPr>
            <w:tcW w:w="529" w:type="pct"/>
            <w:noWrap/>
            <w:vAlign w:val="center"/>
          </w:tcPr>
          <w:p w14:paraId="7D51804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2029</w:t>
            </w:r>
          </w:p>
        </w:tc>
        <w:tc>
          <w:tcPr>
            <w:tcW w:w="653" w:type="pct"/>
            <w:noWrap/>
            <w:vAlign w:val="center"/>
          </w:tcPr>
          <w:p w14:paraId="075D6CA3">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阿坝县科学技术和农业畜牧水务局</w:t>
            </w:r>
          </w:p>
        </w:tc>
      </w:tr>
      <w:tr w14:paraId="6107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75" w:type="pct"/>
            <w:vMerge w:val="continue"/>
            <w:noWrap/>
            <w:vAlign w:val="center"/>
          </w:tcPr>
          <w:p w14:paraId="582F3902">
            <w:pPr>
              <w:widowControl/>
              <w:shd w:val="clear"/>
              <w:spacing w:line="320" w:lineRule="exact"/>
              <w:jc w:val="left"/>
              <w:textAlignment w:val="center"/>
              <w:rPr>
                <w:rStyle w:val="24"/>
                <w:rFonts w:hint="default" w:ascii="Times New Roman" w:hAnsi="Times New Roman" w:eastAsia="仿宋_GB2312" w:cs="Times New Roman"/>
                <w:color w:val="0000FF"/>
                <w:highlight w:val="none"/>
                <w:lang w:bidi="ar"/>
              </w:rPr>
            </w:pPr>
          </w:p>
        </w:tc>
        <w:tc>
          <w:tcPr>
            <w:tcW w:w="288" w:type="pct"/>
            <w:vAlign w:val="center"/>
          </w:tcPr>
          <w:p w14:paraId="2154D0E5">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27</w:t>
            </w:r>
          </w:p>
        </w:tc>
        <w:tc>
          <w:tcPr>
            <w:tcW w:w="810" w:type="pct"/>
            <w:vAlign w:val="center"/>
          </w:tcPr>
          <w:p w14:paraId="136CE9F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阿坝县黄河一级支流夏荣曲求吉玛乡段水生态综合治理项目</w:t>
            </w:r>
          </w:p>
        </w:tc>
        <w:tc>
          <w:tcPr>
            <w:tcW w:w="1520" w:type="pct"/>
            <w:vAlign w:val="center"/>
          </w:tcPr>
          <w:p w14:paraId="61851222">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新建生态护岸43.16公里。</w:t>
            </w:r>
          </w:p>
        </w:tc>
        <w:tc>
          <w:tcPr>
            <w:tcW w:w="488" w:type="pct"/>
            <w:vAlign w:val="center"/>
          </w:tcPr>
          <w:p w14:paraId="56CF531E">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vAlign w:val="center"/>
          </w:tcPr>
          <w:p w14:paraId="65A6DA7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8454</w:t>
            </w:r>
          </w:p>
        </w:tc>
        <w:tc>
          <w:tcPr>
            <w:tcW w:w="529" w:type="pct"/>
            <w:noWrap/>
            <w:vAlign w:val="center"/>
          </w:tcPr>
          <w:p w14:paraId="2B9C846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2026-2027</w:t>
            </w:r>
          </w:p>
        </w:tc>
        <w:tc>
          <w:tcPr>
            <w:tcW w:w="653" w:type="pct"/>
            <w:noWrap/>
            <w:vAlign w:val="center"/>
          </w:tcPr>
          <w:p w14:paraId="5637491E">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阿坝县科学技术和农业畜牧水务局</w:t>
            </w:r>
          </w:p>
        </w:tc>
      </w:tr>
      <w:tr w14:paraId="0C9B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75" w:type="pct"/>
            <w:vMerge w:val="continue"/>
            <w:noWrap/>
            <w:vAlign w:val="center"/>
          </w:tcPr>
          <w:p w14:paraId="2A5E4DBE">
            <w:pPr>
              <w:widowControl/>
              <w:shd w:val="clear"/>
              <w:spacing w:line="320" w:lineRule="exact"/>
              <w:jc w:val="left"/>
              <w:textAlignment w:val="center"/>
              <w:rPr>
                <w:rStyle w:val="24"/>
                <w:rFonts w:hint="default" w:ascii="Times New Roman" w:hAnsi="Times New Roman" w:eastAsia="仿宋_GB2312" w:cs="Times New Roman"/>
                <w:color w:val="0000FF"/>
                <w:highlight w:val="none"/>
                <w:lang w:bidi="ar"/>
              </w:rPr>
            </w:pPr>
          </w:p>
        </w:tc>
        <w:tc>
          <w:tcPr>
            <w:tcW w:w="288" w:type="pct"/>
            <w:vAlign w:val="center"/>
          </w:tcPr>
          <w:p w14:paraId="72F48CA7">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28</w:t>
            </w:r>
          </w:p>
        </w:tc>
        <w:tc>
          <w:tcPr>
            <w:tcW w:w="810" w:type="pct"/>
            <w:vAlign w:val="center"/>
          </w:tcPr>
          <w:p w14:paraId="0CFA0E5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河支镇日贡村污水管建设项目</w:t>
            </w:r>
          </w:p>
        </w:tc>
        <w:tc>
          <w:tcPr>
            <w:tcW w:w="1520" w:type="pct"/>
            <w:vAlign w:val="center"/>
          </w:tcPr>
          <w:p w14:paraId="09748CBD">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新建日进贡村污水管网50公里。</w:t>
            </w:r>
          </w:p>
        </w:tc>
        <w:tc>
          <w:tcPr>
            <w:tcW w:w="488" w:type="pct"/>
            <w:vAlign w:val="center"/>
          </w:tcPr>
          <w:p w14:paraId="386DF948">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河支镇</w:t>
            </w:r>
          </w:p>
        </w:tc>
        <w:tc>
          <w:tcPr>
            <w:tcW w:w="433" w:type="pct"/>
            <w:vAlign w:val="center"/>
          </w:tcPr>
          <w:p w14:paraId="72F35BE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800</w:t>
            </w:r>
          </w:p>
        </w:tc>
        <w:tc>
          <w:tcPr>
            <w:tcW w:w="529" w:type="pct"/>
            <w:noWrap/>
            <w:vAlign w:val="center"/>
          </w:tcPr>
          <w:p w14:paraId="1A07AF7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w:t>
            </w:r>
          </w:p>
        </w:tc>
        <w:tc>
          <w:tcPr>
            <w:tcW w:w="653" w:type="pct"/>
            <w:noWrap/>
            <w:vAlign w:val="center"/>
          </w:tcPr>
          <w:p w14:paraId="3C73A8F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河支镇人民政府</w:t>
            </w:r>
          </w:p>
        </w:tc>
      </w:tr>
      <w:tr w14:paraId="7B6E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continue"/>
            <w:noWrap/>
            <w:vAlign w:val="center"/>
          </w:tcPr>
          <w:p w14:paraId="1E72A4F6">
            <w:pPr>
              <w:widowControl/>
              <w:shd w:val="clear"/>
              <w:spacing w:line="320" w:lineRule="exact"/>
              <w:jc w:val="left"/>
              <w:textAlignment w:val="center"/>
              <w:rPr>
                <w:rStyle w:val="24"/>
                <w:rFonts w:hint="default" w:ascii="Times New Roman" w:hAnsi="Times New Roman" w:eastAsia="仿宋_GB2312" w:cs="Times New Roman"/>
                <w:color w:val="0000FF"/>
                <w:highlight w:val="none"/>
                <w:lang w:bidi="ar"/>
              </w:rPr>
            </w:pPr>
          </w:p>
        </w:tc>
        <w:tc>
          <w:tcPr>
            <w:tcW w:w="288" w:type="pct"/>
            <w:shd w:val="clear" w:color="auto" w:fill="auto"/>
            <w:vAlign w:val="center"/>
          </w:tcPr>
          <w:p w14:paraId="0C25AF80">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29</w:t>
            </w:r>
          </w:p>
        </w:tc>
        <w:tc>
          <w:tcPr>
            <w:tcW w:w="810" w:type="pct"/>
            <w:shd w:val="clear" w:color="auto" w:fill="auto"/>
            <w:vAlign w:val="center"/>
          </w:tcPr>
          <w:p w14:paraId="2AB0F133">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河支镇德格村污水管网建设</w:t>
            </w:r>
          </w:p>
        </w:tc>
        <w:tc>
          <w:tcPr>
            <w:tcW w:w="1520" w:type="pct"/>
            <w:shd w:val="clear" w:color="auto" w:fill="auto"/>
            <w:vAlign w:val="center"/>
          </w:tcPr>
          <w:p w14:paraId="24E5278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对现有的德格村房屋实现每户都通污水管网、建设污水管网50公里建设污水处理厂一座。</w:t>
            </w:r>
          </w:p>
        </w:tc>
        <w:tc>
          <w:tcPr>
            <w:tcW w:w="488" w:type="pct"/>
            <w:shd w:val="clear" w:color="auto" w:fill="auto"/>
            <w:vAlign w:val="center"/>
          </w:tcPr>
          <w:p w14:paraId="1EB289E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河支镇</w:t>
            </w:r>
          </w:p>
        </w:tc>
        <w:tc>
          <w:tcPr>
            <w:tcW w:w="433" w:type="pct"/>
            <w:shd w:val="clear" w:color="auto" w:fill="auto"/>
            <w:vAlign w:val="center"/>
          </w:tcPr>
          <w:p w14:paraId="154ED2C7">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1200</w:t>
            </w:r>
          </w:p>
        </w:tc>
        <w:tc>
          <w:tcPr>
            <w:tcW w:w="529" w:type="pct"/>
            <w:shd w:val="clear" w:color="auto" w:fill="auto"/>
            <w:noWrap/>
            <w:vAlign w:val="center"/>
          </w:tcPr>
          <w:p w14:paraId="6D224367">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2027</w:t>
            </w:r>
          </w:p>
        </w:tc>
        <w:tc>
          <w:tcPr>
            <w:tcW w:w="653" w:type="pct"/>
            <w:shd w:val="clear" w:color="auto" w:fill="auto"/>
            <w:noWrap/>
            <w:vAlign w:val="center"/>
          </w:tcPr>
          <w:p w14:paraId="7CEA5FC6">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河支镇人民政府</w:t>
            </w:r>
          </w:p>
        </w:tc>
      </w:tr>
      <w:tr w14:paraId="41CC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275" w:type="pct"/>
            <w:vMerge w:val="continue"/>
            <w:noWrap/>
            <w:vAlign w:val="center"/>
          </w:tcPr>
          <w:p w14:paraId="71B775F2">
            <w:pPr>
              <w:widowControl/>
              <w:shd w:val="clear"/>
              <w:spacing w:line="320" w:lineRule="exact"/>
              <w:jc w:val="left"/>
              <w:textAlignment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017A1BBB">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t>30</w:t>
            </w:r>
          </w:p>
        </w:tc>
        <w:tc>
          <w:tcPr>
            <w:tcW w:w="810" w:type="pct"/>
            <w:shd w:val="clear" w:color="auto" w:fill="auto"/>
            <w:vAlign w:val="center"/>
          </w:tcPr>
          <w:p w14:paraId="27F683FC">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阿坝县地下水生态环境状况调查评估</w:t>
            </w:r>
          </w:p>
        </w:tc>
        <w:tc>
          <w:tcPr>
            <w:tcW w:w="1520" w:type="pct"/>
            <w:shd w:val="clear" w:color="auto" w:fill="auto"/>
            <w:vAlign w:val="center"/>
          </w:tcPr>
          <w:p w14:paraId="33E69846">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对地下水重金属超标国控点位，开展周边地下水环境风险排查工作，识别依赖地下水生态系统的组成与状态，科学判定地下水生态环境保护的薄弱点和关键环节，明确地下水污染防治目标，为地下水精准防治提供依据。</w:t>
            </w:r>
          </w:p>
        </w:tc>
        <w:tc>
          <w:tcPr>
            <w:tcW w:w="488" w:type="pct"/>
            <w:shd w:val="clear" w:color="auto" w:fill="auto"/>
            <w:vAlign w:val="center"/>
          </w:tcPr>
          <w:p w14:paraId="2E4E2B3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shd w:val="clear" w:color="auto" w:fill="auto"/>
            <w:vAlign w:val="center"/>
          </w:tcPr>
          <w:p w14:paraId="3207A54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600</w:t>
            </w:r>
          </w:p>
        </w:tc>
        <w:tc>
          <w:tcPr>
            <w:tcW w:w="529" w:type="pct"/>
            <w:shd w:val="clear" w:color="auto" w:fill="auto"/>
            <w:noWrap/>
            <w:vAlign w:val="center"/>
          </w:tcPr>
          <w:p w14:paraId="5FC75B6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2027</w:t>
            </w:r>
          </w:p>
        </w:tc>
        <w:tc>
          <w:tcPr>
            <w:tcW w:w="653" w:type="pct"/>
            <w:shd w:val="clear" w:color="auto" w:fill="auto"/>
            <w:noWrap/>
            <w:vAlign w:val="center"/>
          </w:tcPr>
          <w:p w14:paraId="7B800FB3">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阿坝州阿坝生态环境局</w:t>
            </w:r>
          </w:p>
        </w:tc>
      </w:tr>
      <w:tr w14:paraId="20C8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continue"/>
            <w:noWrap/>
            <w:vAlign w:val="center"/>
          </w:tcPr>
          <w:p w14:paraId="0FD5DEEA">
            <w:pPr>
              <w:widowControl/>
              <w:shd w:val="clear"/>
              <w:spacing w:line="320" w:lineRule="exact"/>
              <w:jc w:val="left"/>
              <w:rPr>
                <w:rFonts w:ascii="Times New Roman" w:hAnsi="Times New Roman" w:eastAsia="仿宋_GB2312" w:cs="Times New Roman"/>
                <w:color w:val="0000FF"/>
                <w:sz w:val="24"/>
                <w:highlight w:val="none"/>
              </w:rPr>
            </w:pPr>
          </w:p>
        </w:tc>
        <w:tc>
          <w:tcPr>
            <w:tcW w:w="288" w:type="pct"/>
            <w:shd w:val="clear" w:color="auto" w:fill="auto"/>
            <w:vAlign w:val="center"/>
          </w:tcPr>
          <w:p w14:paraId="14340AD9">
            <w:pPr>
              <w:widowControl/>
              <w:shd w:val="clear"/>
              <w:spacing w:line="320" w:lineRule="exact"/>
              <w:jc w:val="center"/>
              <w:textAlignment w:val="center"/>
              <w:rPr>
                <w:rFonts w:hint="default" w:ascii="Times New Roman" w:hAnsi="Times New Roman" w:eastAsia="仿宋_GB2312" w:cs="Times New Roman"/>
                <w:color w:val="0000FF"/>
                <w:kern w:val="0"/>
                <w:sz w:val="24"/>
                <w:szCs w:val="24"/>
                <w:highlight w:val="none"/>
                <w:lang w:val="en-US" w:eastAsia="zh-CN" w:bidi="ar"/>
              </w:rPr>
            </w:pPr>
            <w:r>
              <w:rPr>
                <w:rFonts w:hint="eastAsia"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t>31</w:t>
            </w:r>
          </w:p>
        </w:tc>
        <w:tc>
          <w:tcPr>
            <w:tcW w:w="810" w:type="pct"/>
            <w:shd w:val="clear" w:color="auto" w:fill="auto"/>
            <w:vAlign w:val="center"/>
          </w:tcPr>
          <w:p w14:paraId="54EB1D2D">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阿坝县集中式饮用水水源地规范化建设项目</w:t>
            </w:r>
          </w:p>
        </w:tc>
        <w:tc>
          <w:tcPr>
            <w:tcW w:w="1520" w:type="pct"/>
            <w:shd w:val="clear" w:color="auto" w:fill="auto"/>
            <w:vAlign w:val="center"/>
          </w:tcPr>
          <w:p w14:paraId="7F35E5C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对阿坝县县城备用水源地和两个乡镇水源地开展规范化建设，新建隔离防护网、标识标牌、视频监控等。</w:t>
            </w:r>
          </w:p>
        </w:tc>
        <w:tc>
          <w:tcPr>
            <w:tcW w:w="488" w:type="pct"/>
            <w:shd w:val="clear" w:color="auto" w:fill="auto"/>
            <w:vAlign w:val="center"/>
          </w:tcPr>
          <w:p w14:paraId="0AD1B39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安斗乡、求吉玛乡、贾洛镇</w:t>
            </w:r>
          </w:p>
        </w:tc>
        <w:tc>
          <w:tcPr>
            <w:tcW w:w="433" w:type="pct"/>
            <w:shd w:val="clear" w:color="auto" w:fill="auto"/>
            <w:vAlign w:val="center"/>
          </w:tcPr>
          <w:p w14:paraId="731DEB77">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500</w:t>
            </w:r>
          </w:p>
        </w:tc>
        <w:tc>
          <w:tcPr>
            <w:tcW w:w="529" w:type="pct"/>
            <w:shd w:val="clear" w:color="auto" w:fill="auto"/>
            <w:noWrap/>
            <w:vAlign w:val="center"/>
          </w:tcPr>
          <w:p w14:paraId="532E0C0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2028</w:t>
            </w:r>
          </w:p>
        </w:tc>
        <w:tc>
          <w:tcPr>
            <w:tcW w:w="653" w:type="pct"/>
            <w:shd w:val="clear" w:color="auto" w:fill="auto"/>
            <w:noWrap/>
            <w:vAlign w:val="center"/>
          </w:tcPr>
          <w:p w14:paraId="1B338A3E">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阿坝州阿坝生态环境局</w:t>
            </w:r>
          </w:p>
        </w:tc>
      </w:tr>
      <w:tr w14:paraId="09A5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5" w:type="pct"/>
            <w:vMerge w:val="restart"/>
            <w:noWrap/>
            <w:vAlign w:val="center"/>
          </w:tcPr>
          <w:p w14:paraId="6757CCE5">
            <w:pPr>
              <w:widowControl/>
              <w:shd w:val="clear"/>
              <w:spacing w:line="320" w:lineRule="exact"/>
              <w:jc w:val="left"/>
              <w:textAlignment w:val="center"/>
              <w:rPr>
                <w:rFonts w:hint="eastAsia" w:ascii="Times New Roman" w:hAnsi="Times New Roman" w:eastAsia="仿宋_GB2312" w:cs="Times New Roman"/>
                <w:color w:val="0000FF"/>
                <w:sz w:val="24"/>
                <w:highlight w:val="none"/>
                <w:lang w:eastAsia="zh-CN"/>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美丽</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城市</w:t>
            </w:r>
          </w:p>
        </w:tc>
        <w:tc>
          <w:tcPr>
            <w:tcW w:w="288" w:type="pct"/>
            <w:vAlign w:val="center"/>
          </w:tcPr>
          <w:p w14:paraId="42F18F69">
            <w:pPr>
              <w:widowControl/>
              <w:shd w:val="clear"/>
              <w:spacing w:line="320" w:lineRule="exact"/>
              <w:jc w:val="center"/>
              <w:textAlignment w:val="center"/>
              <w:rPr>
                <w:rFonts w:hint="default" w:ascii="Times New Roman" w:hAnsi="Times New Roman" w:eastAsia="仿宋_GB2312" w:cs="Times New Roman"/>
                <w:color w:val="0000FF"/>
                <w:sz w:val="24"/>
                <w:highlight w:val="none"/>
                <w:lang w:val="en-US" w:eastAsia="zh-CN"/>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32</w:t>
            </w:r>
          </w:p>
        </w:tc>
        <w:tc>
          <w:tcPr>
            <w:tcW w:w="810" w:type="pct"/>
            <w:vAlign w:val="center"/>
          </w:tcPr>
          <w:p w14:paraId="5DF2CFC4">
            <w:pPr>
              <w:widowControl/>
              <w:shd w:val="clear"/>
              <w:spacing w:line="320" w:lineRule="exact"/>
              <w:jc w:val="center"/>
              <w:textAlignment w:val="cente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阿坝县城镇环境基础设施建设项目</w:t>
            </w:r>
          </w:p>
        </w:tc>
        <w:tc>
          <w:tcPr>
            <w:tcW w:w="1520" w:type="pct"/>
            <w:vAlign w:val="center"/>
          </w:tcPr>
          <w:p w14:paraId="4A8AF48A">
            <w:pPr>
              <w:widowControl/>
              <w:shd w:val="clear"/>
              <w:spacing w:line="320" w:lineRule="exact"/>
              <w:jc w:val="center"/>
              <w:textAlignment w:val="cente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新建大型垃圾分拣中心1座，建筑面积3000m</w:t>
            </w:r>
            <w:r>
              <w:rPr>
                <w:rStyle w:val="24"/>
                <w:rFonts w:hint="eastAsia" w:ascii="Times New Roman" w:hAnsi="Times New Roman" w:eastAsia="仿宋_GB2312" w:cs="Times New Roman"/>
                <w:color w:val="000000" w:themeColor="text1"/>
                <w:highlight w:val="none"/>
                <w:vertAlign w:val="superscript"/>
                <w:lang w:val="en-US" w:eastAsia="zh-CN" w:bidi="ar"/>
                <w14:textFill>
                  <w14:solidFill>
                    <w14:schemeClr w14:val="tx1"/>
                  </w14:solidFill>
                </w14:textFill>
              </w:rPr>
              <w:t>2</w:t>
            </w: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含垃圾分拣设备一套，日处理50t/d，一体化污水处理设备，日处理10t渗滤液，臭气收集处理系统）提升改造乡镇小型中转站15座，每座日处理量10t/d；配套收转运体系相关设施设备及厨余垃圾资源化利用设施设备一批。扩建垃圾焚烧炉渣填埋场至21000余m</w:t>
            </w:r>
            <w:r>
              <w:rPr>
                <w:rStyle w:val="24"/>
                <w:rFonts w:hint="eastAsia" w:ascii="Times New Roman" w:hAnsi="Times New Roman" w:eastAsia="仿宋_GB2312" w:cs="Times New Roman"/>
                <w:color w:val="000000" w:themeColor="text1"/>
                <w:highlight w:val="none"/>
                <w:vertAlign w:val="superscript"/>
                <w:lang w:val="en-US" w:eastAsia="zh-CN" w:bidi="ar"/>
                <w14:textFill>
                  <w14:solidFill>
                    <w14:schemeClr w14:val="tx1"/>
                  </w14:solidFill>
                </w14:textFill>
              </w:rPr>
              <w:t>3</w:t>
            </w: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新建一座焚烧线主厂房，建设规模150t/d，（包括：接收大厅跨、垃圾储坑跨、焚烧炉/余热锅炉跨、烟气处理跨）、中控楼（包括配电室、柴油发电室、电子设备间、中控室、电缆夹层、渣吊操作室）、综合楼等；通过垃圾焚烧产生的余热供暖，年处理垃圾量2.70万吨，预计年供热约12.44万GJ，可供暖面积约14.5万m</w:t>
            </w:r>
            <w:r>
              <w:rPr>
                <w:rStyle w:val="24"/>
                <w:rFonts w:hint="eastAsia" w:ascii="Times New Roman" w:hAnsi="Times New Roman" w:eastAsia="仿宋_GB2312" w:cs="Times New Roman"/>
                <w:color w:val="000000" w:themeColor="text1"/>
                <w:highlight w:val="none"/>
                <w:vertAlign w:val="superscript"/>
                <w:lang w:val="en-US" w:eastAsia="zh-CN" w:bidi="ar"/>
                <w14:textFill>
                  <w14:solidFill>
                    <w14:schemeClr w14:val="tx1"/>
                  </w14:solidFill>
                </w14:textFill>
              </w:rPr>
              <w:t>2</w:t>
            </w: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，提高再生资源利用率。</w:t>
            </w:r>
          </w:p>
        </w:tc>
        <w:tc>
          <w:tcPr>
            <w:tcW w:w="488" w:type="pct"/>
            <w:vAlign w:val="center"/>
          </w:tcPr>
          <w:p w14:paraId="2BDF7CA0">
            <w:pPr>
              <w:widowControl/>
              <w:shd w:val="clear"/>
              <w:spacing w:line="320" w:lineRule="exact"/>
              <w:jc w:val="center"/>
              <w:textAlignment w:val="cente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w:t>
            </w:r>
          </w:p>
        </w:tc>
        <w:tc>
          <w:tcPr>
            <w:tcW w:w="433" w:type="pct"/>
            <w:vAlign w:val="center"/>
          </w:tcPr>
          <w:p w14:paraId="1DAC98EC">
            <w:pPr>
              <w:widowControl/>
              <w:shd w:val="clear"/>
              <w:spacing w:line="320" w:lineRule="exact"/>
              <w:jc w:val="center"/>
              <w:textAlignment w:val="center"/>
              <w:rPr>
                <w:rStyle w:val="24"/>
                <w:rFonts w:hint="default" w:ascii="Times New Roman" w:hAnsi="Times New Roman" w:eastAsia="仿宋_GB2312" w:cs="Times New Roman"/>
                <w:color w:val="000000" w:themeColor="text1"/>
                <w:highlight w:val="none"/>
                <w:lang w:val="en-US" w:eastAsia="zh-CN"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22500</w:t>
            </w:r>
          </w:p>
        </w:tc>
        <w:tc>
          <w:tcPr>
            <w:tcW w:w="529" w:type="pct"/>
            <w:vAlign w:val="center"/>
          </w:tcPr>
          <w:p w14:paraId="7CF7D374">
            <w:pPr>
              <w:widowControl/>
              <w:shd w:val="clear"/>
              <w:spacing w:line="320" w:lineRule="exact"/>
              <w:jc w:val="center"/>
              <w:textAlignment w:val="center"/>
              <w:rPr>
                <w:rStyle w:val="24"/>
                <w:rFonts w:hint="default" w:ascii="Times New Roman" w:hAnsi="Times New Roman" w:eastAsia="仿宋_GB2312" w:cs="Times New Roman"/>
                <w:color w:val="000000" w:themeColor="text1"/>
                <w:highlight w:val="none"/>
                <w:lang w:val="en-US" w:eastAsia="zh-CN"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2026-2028</w:t>
            </w:r>
          </w:p>
        </w:tc>
        <w:tc>
          <w:tcPr>
            <w:tcW w:w="653" w:type="pct"/>
            <w:vAlign w:val="center"/>
          </w:tcPr>
          <w:p w14:paraId="3A59EC78">
            <w:pPr>
              <w:widowControl/>
              <w:shd w:val="clear"/>
              <w:spacing w:line="320" w:lineRule="exact"/>
              <w:jc w:val="center"/>
              <w:textAlignment w:val="cente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阿坝县公用事业服务中心</w:t>
            </w:r>
          </w:p>
        </w:tc>
      </w:tr>
      <w:tr w14:paraId="41B7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275" w:type="pct"/>
            <w:vMerge w:val="continue"/>
            <w:noWrap/>
            <w:vAlign w:val="center"/>
          </w:tcPr>
          <w:p w14:paraId="24C140D5">
            <w:pPr>
              <w:widowControl/>
              <w:shd w:val="clear"/>
              <w:spacing w:line="320" w:lineRule="exact"/>
              <w:rPr>
                <w:rFonts w:ascii="Times New Roman" w:hAnsi="Times New Roman" w:eastAsia="仿宋_GB2312" w:cs="Times New Roman"/>
                <w:color w:val="0000FF"/>
                <w:sz w:val="24"/>
                <w:highlight w:val="none"/>
              </w:rPr>
            </w:pPr>
          </w:p>
        </w:tc>
        <w:tc>
          <w:tcPr>
            <w:tcW w:w="288" w:type="pct"/>
            <w:vAlign w:val="center"/>
          </w:tcPr>
          <w:p w14:paraId="07FFAD62">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33</w:t>
            </w:r>
          </w:p>
        </w:tc>
        <w:tc>
          <w:tcPr>
            <w:tcW w:w="810" w:type="pct"/>
            <w:vAlign w:val="center"/>
          </w:tcPr>
          <w:p w14:paraId="1A1087CC">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color w:val="0000FF"/>
                <w:sz w:val="24"/>
                <w:highlight w:val="none"/>
                <w:lang w:eastAsia="zh-CN"/>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阿坝州阿坝县第二自来水厂扩建及配套管网建设项目</w:t>
            </w:r>
          </w:p>
        </w:tc>
        <w:tc>
          <w:tcPr>
            <w:tcW w:w="1520" w:type="pct"/>
            <w:vAlign w:val="center"/>
          </w:tcPr>
          <w:p w14:paraId="491641A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0000FF"/>
                <w:sz w:val="24"/>
                <w:highlight w:val="none"/>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扩建阿坝县二水厂，总供水规模从1万吨/日提升至2万吨/日，新增网格絮凝沉淀池、V型滤池及反冲洗泵房、排水排泥池、浓缩池、储泥池、污泥脱水机房各1座及配套设施设备，敷设DN200-DN300的配水管网10.3公里。</w:t>
            </w:r>
          </w:p>
        </w:tc>
        <w:tc>
          <w:tcPr>
            <w:tcW w:w="488" w:type="pct"/>
            <w:vAlign w:val="center"/>
          </w:tcPr>
          <w:p w14:paraId="7CE151B7">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FF"/>
                <w:sz w:val="24"/>
                <w:highlight w:val="none"/>
                <w:lang w:val="en-US" w:eastAsia="zh-CN"/>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阿坝镇</w:t>
            </w:r>
          </w:p>
        </w:tc>
        <w:tc>
          <w:tcPr>
            <w:tcW w:w="433" w:type="pct"/>
            <w:vAlign w:val="center"/>
          </w:tcPr>
          <w:p w14:paraId="1523A77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FF"/>
                <w:sz w:val="24"/>
                <w:highlight w:val="none"/>
                <w:lang w:val="en-US" w:eastAsia="zh-CN"/>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4950</w:t>
            </w:r>
          </w:p>
        </w:tc>
        <w:tc>
          <w:tcPr>
            <w:tcW w:w="529" w:type="pct"/>
            <w:vAlign w:val="center"/>
          </w:tcPr>
          <w:p w14:paraId="59B98B4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0000FF"/>
                <w:sz w:val="24"/>
                <w:highlight w:val="none"/>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2026-2027</w:t>
            </w:r>
          </w:p>
        </w:tc>
        <w:tc>
          <w:tcPr>
            <w:tcW w:w="653" w:type="pct"/>
            <w:vAlign w:val="center"/>
          </w:tcPr>
          <w:p w14:paraId="43E9E48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color w:val="0000FF"/>
                <w:sz w:val="24"/>
                <w:highlight w:val="none"/>
                <w:lang w:eastAsia="zh-CN"/>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阿坝县住房和城乡建设局</w:t>
            </w:r>
          </w:p>
        </w:tc>
      </w:tr>
      <w:tr w14:paraId="0C08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jc w:val="center"/>
        </w:trPr>
        <w:tc>
          <w:tcPr>
            <w:tcW w:w="275" w:type="pct"/>
            <w:vMerge w:val="continue"/>
            <w:noWrap/>
            <w:vAlign w:val="center"/>
          </w:tcPr>
          <w:p w14:paraId="3423C5A0">
            <w:pPr>
              <w:widowControl/>
              <w:shd w:val="clear"/>
              <w:spacing w:line="320" w:lineRule="exact"/>
              <w:rPr>
                <w:rFonts w:ascii="Times New Roman" w:hAnsi="Times New Roman" w:eastAsia="仿宋_GB2312" w:cs="Times New Roman"/>
                <w:color w:val="0000FF"/>
                <w:sz w:val="24"/>
                <w:highlight w:val="none"/>
              </w:rPr>
            </w:pPr>
          </w:p>
        </w:tc>
        <w:tc>
          <w:tcPr>
            <w:tcW w:w="288" w:type="pct"/>
            <w:vAlign w:val="center"/>
          </w:tcPr>
          <w:p w14:paraId="5BD21FFE">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34</w:t>
            </w:r>
          </w:p>
        </w:tc>
        <w:tc>
          <w:tcPr>
            <w:tcW w:w="810" w:type="pct"/>
            <w:vAlign w:val="center"/>
          </w:tcPr>
          <w:p w14:paraId="470C1BF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color w:val="0000FF"/>
                <w:sz w:val="24"/>
                <w:highlight w:val="none"/>
                <w:lang w:eastAsia="zh-CN"/>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阿坝县污水处理厂改造项目</w:t>
            </w:r>
          </w:p>
        </w:tc>
        <w:tc>
          <w:tcPr>
            <w:tcW w:w="1520" w:type="pct"/>
            <w:vAlign w:val="center"/>
          </w:tcPr>
          <w:p w14:paraId="3C49F95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FF"/>
                <w:sz w:val="24"/>
                <w:highlight w:val="none"/>
                <w:lang w:val="en-US" w:eastAsia="zh-CN"/>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改造提升日处理8000吨/天的污水处理厂一座，处理工艺采用粗格栅提升泵房+细格栅沉砂池+氧化沟+活性砂滤池+紫外线消毒，处理后达到《城镇污水处理厂污染物排放标准》（GB18918-2002）一级A标准；改造3公里污水管网及配套附属设施，管径DN400-DN800。项目实施后，污水处理能力从0.4万吨/天提升至1.2万吨/天减少碳排放量365吨/年。</w:t>
            </w:r>
          </w:p>
        </w:tc>
        <w:tc>
          <w:tcPr>
            <w:tcW w:w="488" w:type="pct"/>
            <w:vAlign w:val="center"/>
          </w:tcPr>
          <w:p w14:paraId="25AB03FE">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color w:val="0000FF"/>
                <w:sz w:val="24"/>
                <w:highlight w:val="none"/>
                <w:lang w:eastAsia="zh-CN"/>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阿坝镇</w:t>
            </w:r>
          </w:p>
        </w:tc>
        <w:tc>
          <w:tcPr>
            <w:tcW w:w="433" w:type="pct"/>
            <w:vAlign w:val="center"/>
          </w:tcPr>
          <w:p w14:paraId="55FA946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0000FF"/>
                <w:sz w:val="24"/>
                <w:highlight w:val="none"/>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6000</w:t>
            </w:r>
          </w:p>
        </w:tc>
        <w:tc>
          <w:tcPr>
            <w:tcW w:w="529" w:type="pct"/>
            <w:vAlign w:val="center"/>
          </w:tcPr>
          <w:p w14:paraId="265C933D">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FF"/>
                <w:sz w:val="24"/>
                <w:highlight w:val="none"/>
                <w:lang w:val="en-US" w:eastAsia="zh-CN"/>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2026-2027</w:t>
            </w:r>
          </w:p>
        </w:tc>
        <w:tc>
          <w:tcPr>
            <w:tcW w:w="653" w:type="pct"/>
            <w:vAlign w:val="center"/>
          </w:tcPr>
          <w:p w14:paraId="06933A0C">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color w:val="0000FF"/>
                <w:sz w:val="24"/>
                <w:highlight w:val="none"/>
                <w:lang w:eastAsia="zh-CN"/>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阿坝县住房和城乡建设局</w:t>
            </w:r>
          </w:p>
        </w:tc>
      </w:tr>
      <w:tr w14:paraId="10A64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75" w:type="pct"/>
            <w:vMerge w:val="continue"/>
            <w:noWrap/>
            <w:vAlign w:val="center"/>
          </w:tcPr>
          <w:p w14:paraId="1C926E0B">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092AD72E">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35</w:t>
            </w:r>
          </w:p>
        </w:tc>
        <w:tc>
          <w:tcPr>
            <w:tcW w:w="810" w:type="pct"/>
            <w:shd w:val="clear" w:color="auto" w:fill="auto"/>
            <w:vAlign w:val="center"/>
          </w:tcPr>
          <w:p w14:paraId="67BF582C">
            <w:pPr>
              <w:widowControl/>
              <w:shd w:val="clear"/>
              <w:spacing w:line="320" w:lineRule="exact"/>
              <w:jc w:val="center"/>
              <w:textAlignment w:val="center"/>
              <w:rPr>
                <w:rFonts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t>金鼓饮水工程</w:t>
            </w:r>
          </w:p>
        </w:tc>
        <w:tc>
          <w:tcPr>
            <w:tcW w:w="1520" w:type="pct"/>
            <w:shd w:val="clear" w:color="auto" w:fill="auto"/>
            <w:vAlign w:val="center"/>
          </w:tcPr>
          <w:p w14:paraId="6539AEFB">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t>新建输水管道总长570km。</w:t>
            </w:r>
          </w:p>
        </w:tc>
        <w:tc>
          <w:tcPr>
            <w:tcW w:w="488" w:type="pct"/>
            <w:shd w:val="clear" w:color="auto" w:fill="auto"/>
            <w:vAlign w:val="center"/>
          </w:tcPr>
          <w:p w14:paraId="3418A186">
            <w:pPr>
              <w:widowControl/>
              <w:shd w:val="clear"/>
              <w:spacing w:line="320" w:lineRule="exact"/>
              <w:jc w:val="center"/>
              <w:textAlignment w:val="cente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shd w:val="clear" w:color="auto" w:fill="auto"/>
            <w:vAlign w:val="center"/>
          </w:tcPr>
          <w:p w14:paraId="2A7AD64A">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16000</w:t>
            </w:r>
          </w:p>
        </w:tc>
        <w:tc>
          <w:tcPr>
            <w:tcW w:w="529" w:type="pct"/>
            <w:shd w:val="clear" w:color="auto" w:fill="auto"/>
            <w:noWrap/>
            <w:vAlign w:val="center"/>
          </w:tcPr>
          <w:p w14:paraId="76EB5A2A">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202</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8-</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20</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30</w:t>
            </w:r>
          </w:p>
        </w:tc>
        <w:tc>
          <w:tcPr>
            <w:tcW w:w="653" w:type="pct"/>
            <w:shd w:val="clear" w:color="auto" w:fill="auto"/>
            <w:noWrap/>
            <w:vAlign w:val="center"/>
          </w:tcPr>
          <w:p w14:paraId="39295F5F">
            <w:pPr>
              <w:widowControl/>
              <w:shd w:val="clear"/>
              <w:spacing w:line="320" w:lineRule="exact"/>
              <w:jc w:val="center"/>
              <w:textAlignment w:val="center"/>
              <w:rPr>
                <w:rFonts w:hint="eastAsia" w:ascii="Times New Roman" w:hAnsi="Times New Roman" w:eastAsia="仿宋_GB2312" w:cs="Times New Roman"/>
                <w:color w:val="0000FF"/>
                <w:kern w:val="2"/>
                <w:sz w:val="24"/>
                <w:szCs w:val="24"/>
                <w:highlight w:val="none"/>
                <w:lang w:val="en-US" w:eastAsia="zh-CN" w:bidi="ar-SA"/>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阿坝县科学技术和农业畜牧水务局</w:t>
            </w:r>
          </w:p>
        </w:tc>
      </w:tr>
      <w:tr w14:paraId="0560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continue"/>
            <w:noWrap/>
            <w:vAlign w:val="center"/>
          </w:tcPr>
          <w:p w14:paraId="55FA6C84">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318BDF53">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36</w:t>
            </w:r>
          </w:p>
        </w:tc>
        <w:tc>
          <w:tcPr>
            <w:tcW w:w="810" w:type="pct"/>
            <w:shd w:val="clear" w:color="auto" w:fill="auto"/>
            <w:vAlign w:val="center"/>
          </w:tcPr>
          <w:p w14:paraId="1BE5DA7F">
            <w:pPr>
              <w:widowControl/>
              <w:shd w:val="clear"/>
              <w:spacing w:line="320" w:lineRule="exact"/>
              <w:jc w:val="center"/>
              <w:textAlignment w:val="center"/>
              <w:rPr>
                <w:rStyle w:val="24"/>
                <w:rFonts w:hint="default" w:ascii="Times New Roman" w:hAnsi="Times New Roman" w:eastAsia="仿宋_GB2312" w:cs="Times New Roman"/>
                <w:color w:val="000000" w:themeColor="text1"/>
                <w:highlight w:val="none"/>
                <w:lang w:bidi="ar"/>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智慧水务建设</w:t>
            </w:r>
          </w:p>
        </w:tc>
        <w:tc>
          <w:tcPr>
            <w:tcW w:w="1520" w:type="pct"/>
            <w:shd w:val="clear" w:color="auto" w:fill="auto"/>
            <w:vAlign w:val="center"/>
          </w:tcPr>
          <w:p w14:paraId="06C3C00F">
            <w:pPr>
              <w:widowControl/>
              <w:shd w:val="clear"/>
              <w:spacing w:line="320" w:lineRule="exact"/>
              <w:jc w:val="center"/>
              <w:textAlignment w:val="center"/>
              <w:rPr>
                <w:rFonts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t>建设一套阿坝县防汛抗旱信息化管理系统。</w:t>
            </w:r>
          </w:p>
        </w:tc>
        <w:tc>
          <w:tcPr>
            <w:tcW w:w="488" w:type="pct"/>
            <w:shd w:val="clear" w:color="auto" w:fill="auto"/>
            <w:vAlign w:val="center"/>
          </w:tcPr>
          <w:p w14:paraId="18038FA1">
            <w:pPr>
              <w:widowControl/>
              <w:shd w:val="clear"/>
              <w:spacing w:line="320" w:lineRule="exact"/>
              <w:jc w:val="center"/>
              <w:textAlignment w:val="center"/>
              <w:rPr>
                <w:rStyle w:val="24"/>
                <w:rFonts w:hint="default" w:ascii="Times New Roman" w:hAnsi="Times New Roman" w:eastAsia="仿宋_GB2312" w:cs="Times New Roman"/>
                <w:color w:val="0000FF"/>
                <w:highlight w:val="none"/>
                <w:lang w:val="en-US" w:eastAsia="zh-CN" w:bidi="ar"/>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w:t>
            </w:r>
          </w:p>
        </w:tc>
        <w:tc>
          <w:tcPr>
            <w:tcW w:w="433" w:type="pct"/>
            <w:shd w:val="clear" w:color="auto" w:fill="auto"/>
            <w:vAlign w:val="center"/>
          </w:tcPr>
          <w:p w14:paraId="01214122">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1000</w:t>
            </w:r>
          </w:p>
        </w:tc>
        <w:tc>
          <w:tcPr>
            <w:tcW w:w="529" w:type="pct"/>
            <w:shd w:val="clear" w:color="auto" w:fill="auto"/>
            <w:noWrap/>
            <w:vAlign w:val="center"/>
          </w:tcPr>
          <w:p w14:paraId="15B84EB6">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2026-2028</w:t>
            </w:r>
          </w:p>
        </w:tc>
        <w:tc>
          <w:tcPr>
            <w:tcW w:w="653" w:type="pct"/>
            <w:shd w:val="clear" w:color="auto" w:fill="auto"/>
            <w:noWrap/>
            <w:vAlign w:val="center"/>
          </w:tcPr>
          <w:p w14:paraId="5872BB72">
            <w:pPr>
              <w:widowControl/>
              <w:shd w:val="clear"/>
              <w:spacing w:line="320" w:lineRule="exact"/>
              <w:jc w:val="center"/>
              <w:textAlignment w:val="cente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阿坝县科学技术和农业畜牧水务局</w:t>
            </w:r>
          </w:p>
        </w:tc>
      </w:tr>
      <w:tr w14:paraId="7665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275" w:type="pct"/>
            <w:vMerge w:val="continue"/>
            <w:noWrap/>
            <w:vAlign w:val="center"/>
          </w:tcPr>
          <w:p w14:paraId="0841CA43">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5CA12109">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37</w:t>
            </w:r>
          </w:p>
        </w:tc>
        <w:tc>
          <w:tcPr>
            <w:tcW w:w="810" w:type="pct"/>
            <w:shd w:val="clear" w:color="auto" w:fill="auto"/>
            <w:vAlign w:val="center"/>
          </w:tcPr>
          <w:p w14:paraId="36078384">
            <w:pPr>
              <w:widowControl/>
              <w:shd w:val="clear"/>
              <w:spacing w:line="320" w:lineRule="exact"/>
              <w:jc w:val="center"/>
              <w:textAlignment w:val="center"/>
              <w:rPr>
                <w:rStyle w:val="24"/>
                <w:rFonts w:hint="default" w:ascii="Times New Roman" w:hAnsi="Times New Roman" w:eastAsia="仿宋_GB2312" w:cs="Times New Roman"/>
                <w:color w:val="000000" w:themeColor="text1"/>
                <w:highlight w:val="none"/>
                <w:lang w:bidi="ar"/>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阿坝县生活垃圾收转运体系及配套设施设备提升改造项目</w:t>
            </w:r>
          </w:p>
        </w:tc>
        <w:tc>
          <w:tcPr>
            <w:tcW w:w="1520" w:type="pct"/>
            <w:shd w:val="clear" w:color="auto" w:fill="auto"/>
            <w:vAlign w:val="center"/>
          </w:tcPr>
          <w:p w14:paraId="0774172C">
            <w:pPr>
              <w:widowControl/>
              <w:shd w:val="clear"/>
              <w:spacing w:line="320" w:lineRule="exact"/>
              <w:jc w:val="left"/>
              <w:textAlignment w:val="center"/>
              <w:rPr>
                <w:rFonts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t>提升改造县城中转站1座（新改造垃圾分拣设备一套，日处理50吨/日），更新提升改造乡镇中转站15座，环卫设施（环卫作业车辆19辆、垃圾桶797套、成品不锈钢花箱398套</w:t>
            </w:r>
          </w:p>
        </w:tc>
        <w:tc>
          <w:tcPr>
            <w:tcW w:w="488" w:type="pct"/>
            <w:shd w:val="clear" w:color="auto" w:fill="auto"/>
            <w:vAlign w:val="center"/>
          </w:tcPr>
          <w:p w14:paraId="40AD87DE">
            <w:pPr>
              <w:widowControl/>
              <w:shd w:val="clear"/>
              <w:spacing w:line="320" w:lineRule="exact"/>
              <w:jc w:val="center"/>
              <w:textAlignment w:val="center"/>
              <w:rPr>
                <w:rStyle w:val="24"/>
                <w:rFonts w:hint="default" w:ascii="Times New Roman" w:hAnsi="Times New Roman" w:eastAsia="仿宋_GB2312" w:cs="Times New Roman"/>
                <w:color w:val="0000FF"/>
                <w:highlight w:val="none"/>
                <w:lang w:val="en-US" w:eastAsia="zh-CN" w:bidi="ar"/>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阿坝县县城</w:t>
            </w:r>
          </w:p>
        </w:tc>
        <w:tc>
          <w:tcPr>
            <w:tcW w:w="433" w:type="pct"/>
            <w:shd w:val="clear" w:color="auto" w:fill="auto"/>
            <w:vAlign w:val="center"/>
          </w:tcPr>
          <w:p w14:paraId="62F2FCBA">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strike w:val="0"/>
                <w:dstrike w:val="0"/>
                <w:color w:val="000000" w:themeColor="text1"/>
                <w:kern w:val="0"/>
                <w:sz w:val="24"/>
                <w:highlight w:val="none"/>
                <w:lang w:val="en-US" w:eastAsia="zh-CN" w:bidi="ar"/>
                <w14:textFill>
                  <w14:solidFill>
                    <w14:schemeClr w14:val="tx1"/>
                  </w14:solidFill>
                </w14:textFill>
              </w:rPr>
              <w:t>4000</w:t>
            </w:r>
          </w:p>
        </w:tc>
        <w:tc>
          <w:tcPr>
            <w:tcW w:w="529" w:type="pct"/>
            <w:shd w:val="clear" w:color="auto" w:fill="auto"/>
            <w:noWrap/>
            <w:vAlign w:val="center"/>
          </w:tcPr>
          <w:p w14:paraId="45F7EE56">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2027</w:t>
            </w:r>
          </w:p>
        </w:tc>
        <w:tc>
          <w:tcPr>
            <w:tcW w:w="653" w:type="pct"/>
            <w:shd w:val="clear" w:color="auto" w:fill="auto"/>
            <w:noWrap/>
            <w:vAlign w:val="center"/>
          </w:tcPr>
          <w:p w14:paraId="066A968E">
            <w:pPr>
              <w:widowControl/>
              <w:shd w:val="clear"/>
              <w:spacing w:line="320" w:lineRule="exact"/>
              <w:jc w:val="center"/>
              <w:textAlignment w:val="center"/>
              <w:rPr>
                <w:rStyle w:val="24"/>
                <w:rFonts w:hint="default" w:ascii="Times New Roman" w:hAnsi="Times New Roman" w:eastAsia="仿宋_GB2312" w:cs="Times New Roman"/>
                <w:color w:val="000000" w:themeColor="text1"/>
                <w:highlight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阿坝县公共事业服务中心</w:t>
            </w:r>
          </w:p>
        </w:tc>
      </w:tr>
      <w:tr w14:paraId="3BB6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75" w:type="pct"/>
            <w:vMerge w:val="continue"/>
            <w:noWrap/>
            <w:vAlign w:val="center"/>
          </w:tcPr>
          <w:p w14:paraId="0373A816">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197BE98E">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38</w:t>
            </w:r>
          </w:p>
        </w:tc>
        <w:tc>
          <w:tcPr>
            <w:tcW w:w="810" w:type="pct"/>
            <w:shd w:val="clear" w:color="auto" w:fill="auto"/>
            <w:vAlign w:val="center"/>
          </w:tcPr>
          <w:p w14:paraId="6ADFC38D">
            <w:pPr>
              <w:widowControl/>
              <w:shd w:val="clear"/>
              <w:spacing w:line="320" w:lineRule="exact"/>
              <w:jc w:val="center"/>
              <w:textAlignment w:val="center"/>
              <w:rPr>
                <w:rStyle w:val="24"/>
                <w:rFonts w:hint="default" w:ascii="Times New Roman" w:hAnsi="Times New Roman" w:eastAsia="仿宋_GB2312" w:cs="Times New Roman"/>
                <w:color w:val="000000" w:themeColor="text1"/>
                <w:highlight w:val="none"/>
                <w:lang w:bidi="ar"/>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阿坝县城市口袋公园改造项目</w:t>
            </w:r>
          </w:p>
        </w:tc>
        <w:tc>
          <w:tcPr>
            <w:tcW w:w="1520" w:type="pct"/>
            <w:shd w:val="clear" w:color="auto" w:fill="auto"/>
            <w:vAlign w:val="center"/>
          </w:tcPr>
          <w:p w14:paraId="6ED1BA28">
            <w:pPr>
              <w:widowControl/>
              <w:shd w:val="clear"/>
              <w:spacing w:line="320" w:lineRule="exact"/>
              <w:jc w:val="left"/>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t>改建阿坝县青年公园公共设施，主要包括道路、照明系统等基础设施。</w:t>
            </w:r>
          </w:p>
        </w:tc>
        <w:tc>
          <w:tcPr>
            <w:tcW w:w="488" w:type="pct"/>
            <w:shd w:val="clear" w:color="auto" w:fill="auto"/>
            <w:vAlign w:val="center"/>
          </w:tcPr>
          <w:p w14:paraId="04ECD813">
            <w:pPr>
              <w:widowControl/>
              <w:shd w:val="clear"/>
              <w:spacing w:line="320" w:lineRule="exact"/>
              <w:jc w:val="center"/>
              <w:textAlignment w:val="center"/>
              <w:rPr>
                <w:rStyle w:val="24"/>
                <w:rFonts w:hint="default" w:ascii="Times New Roman" w:hAnsi="Times New Roman" w:eastAsia="仿宋_GB2312" w:cs="Times New Roman"/>
                <w:color w:val="000000" w:themeColor="text1"/>
                <w:highlight w:val="none"/>
                <w:lang w:val="en-US" w:eastAsia="zh-CN"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阿坝县县城</w:t>
            </w:r>
          </w:p>
        </w:tc>
        <w:tc>
          <w:tcPr>
            <w:tcW w:w="433" w:type="pct"/>
            <w:shd w:val="clear" w:color="auto" w:fill="auto"/>
            <w:vAlign w:val="center"/>
          </w:tcPr>
          <w:p w14:paraId="430D42D4">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2000</w:t>
            </w:r>
          </w:p>
        </w:tc>
        <w:tc>
          <w:tcPr>
            <w:tcW w:w="529" w:type="pct"/>
            <w:shd w:val="clear" w:color="auto" w:fill="auto"/>
            <w:noWrap/>
            <w:vAlign w:val="center"/>
          </w:tcPr>
          <w:p w14:paraId="01EF6D77">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2029-2030</w:t>
            </w:r>
          </w:p>
        </w:tc>
        <w:tc>
          <w:tcPr>
            <w:tcW w:w="653" w:type="pct"/>
            <w:shd w:val="clear" w:color="auto" w:fill="auto"/>
            <w:noWrap/>
            <w:vAlign w:val="center"/>
          </w:tcPr>
          <w:p w14:paraId="7159E762">
            <w:pPr>
              <w:widowControl/>
              <w:shd w:val="clear"/>
              <w:spacing w:line="320" w:lineRule="exact"/>
              <w:jc w:val="center"/>
              <w:textAlignment w:val="center"/>
              <w:rPr>
                <w:rStyle w:val="24"/>
                <w:rFonts w:hint="eastAsia" w:ascii="Times New Roman" w:hAnsi="Times New Roman" w:eastAsia="仿宋_GB2312" w:cs="Times New Roman"/>
                <w:color w:val="0000FF"/>
                <w:highlight w:val="none"/>
                <w:lang w:eastAsia="zh-CN" w:bidi="ar"/>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阿坝县住房和城乡建设局</w:t>
            </w:r>
          </w:p>
        </w:tc>
      </w:tr>
      <w:tr w14:paraId="07DF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275" w:type="pct"/>
            <w:vMerge w:val="restart"/>
            <w:noWrap/>
            <w:vAlign w:val="center"/>
          </w:tcPr>
          <w:p w14:paraId="158FD49C">
            <w:pPr>
              <w:widowControl/>
              <w:shd w:val="clear"/>
              <w:spacing w:line="320" w:lineRule="exact"/>
              <w:jc w:val="left"/>
              <w:textAlignment w:val="center"/>
              <w:rPr>
                <w:rFonts w:hint="eastAsia" w:ascii="Times New Roman" w:hAnsi="Times New Roman" w:eastAsia="仿宋_GB2312" w:cs="Times New Roman"/>
                <w:color w:val="0000FF"/>
                <w:sz w:val="24"/>
                <w:highlight w:val="none"/>
                <w:lang w:val="en-US" w:eastAsia="zh-CN"/>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美丽</w:t>
            </w: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乡村</w:t>
            </w:r>
          </w:p>
        </w:tc>
        <w:tc>
          <w:tcPr>
            <w:tcW w:w="288" w:type="pct"/>
            <w:shd w:val="clear" w:color="auto" w:fill="auto"/>
            <w:vAlign w:val="center"/>
          </w:tcPr>
          <w:p w14:paraId="35C81316">
            <w:pPr>
              <w:widowControl/>
              <w:shd w:val="clear"/>
              <w:spacing w:line="320" w:lineRule="exact"/>
              <w:jc w:val="center"/>
              <w:textAlignment w:val="center"/>
              <w:rPr>
                <w:rFonts w:hint="default" w:ascii="Times New Roman" w:hAnsi="Times New Roman" w:eastAsia="仿宋_GB2312" w:cs="Times New Roman"/>
                <w:color w:val="0000FF"/>
                <w:kern w:val="0"/>
                <w:sz w:val="24"/>
                <w:szCs w:val="24"/>
                <w:highlight w:val="none"/>
                <w:lang w:val="en-US" w:eastAsia="zh-CN" w:bidi="ar"/>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39</w:t>
            </w:r>
          </w:p>
        </w:tc>
        <w:tc>
          <w:tcPr>
            <w:tcW w:w="810" w:type="pct"/>
            <w:shd w:val="clear" w:color="auto" w:fill="auto"/>
            <w:vAlign w:val="center"/>
          </w:tcPr>
          <w:p w14:paraId="6DABE58A">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阿坝县麦尔玛牦牛现代农业园区基础设施提升项目</w:t>
            </w:r>
          </w:p>
        </w:tc>
        <w:tc>
          <w:tcPr>
            <w:tcW w:w="1520" w:type="pct"/>
            <w:shd w:val="clear" w:color="auto" w:fill="auto"/>
            <w:vAlign w:val="center"/>
          </w:tcPr>
          <w:p w14:paraId="247D6D93">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新建标准化健康养殖场40个（共计8000m</w:t>
            </w:r>
            <w:r>
              <w:rPr>
                <w:rFonts w:hint="eastAsia" w:ascii="Times New Roman" w:hAnsi="Times New Roman" w:eastAsia="仿宋_GB2312" w:cs="Times New Roman"/>
                <w:color w:val="000000" w:themeColor="text1"/>
                <w:kern w:val="0"/>
                <w:sz w:val="24"/>
                <w:highlight w:val="none"/>
                <w:vertAlign w:val="superscript"/>
                <w:lang w:val="en-US" w:eastAsia="zh-CN" w:bidi="ar"/>
                <w14:textFill>
                  <w14:solidFill>
                    <w14:schemeClr w14:val="tx1"/>
                  </w14:solidFill>
                </w14:textFill>
              </w:rPr>
              <w:t>2</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），存栏200头以上，配套粪污资源化处理设施、标准化可移动棚圈、多功能巷道圈、草料库、牦牛运动场。新建牲畜越冬暖棚300个。</w:t>
            </w:r>
          </w:p>
        </w:tc>
        <w:tc>
          <w:tcPr>
            <w:tcW w:w="488" w:type="pct"/>
            <w:vAlign w:val="center"/>
          </w:tcPr>
          <w:p w14:paraId="7F72C747">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阿坝县</w:t>
            </w:r>
          </w:p>
        </w:tc>
        <w:tc>
          <w:tcPr>
            <w:tcW w:w="433" w:type="pct"/>
            <w:noWrap/>
            <w:vAlign w:val="center"/>
          </w:tcPr>
          <w:p w14:paraId="323DDF95">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3600</w:t>
            </w:r>
          </w:p>
        </w:tc>
        <w:tc>
          <w:tcPr>
            <w:tcW w:w="529" w:type="pct"/>
            <w:noWrap/>
            <w:vAlign w:val="center"/>
          </w:tcPr>
          <w:p w14:paraId="596AB1BF">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2027-2028</w:t>
            </w:r>
          </w:p>
        </w:tc>
        <w:tc>
          <w:tcPr>
            <w:tcW w:w="653" w:type="pct"/>
            <w:noWrap/>
            <w:vAlign w:val="center"/>
          </w:tcPr>
          <w:p w14:paraId="55601B56">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阿坝县科学技术和农业畜牧水务局</w:t>
            </w:r>
          </w:p>
        </w:tc>
      </w:tr>
      <w:tr w14:paraId="7148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75" w:type="pct"/>
            <w:vMerge w:val="continue"/>
            <w:noWrap/>
            <w:vAlign w:val="center"/>
          </w:tcPr>
          <w:p w14:paraId="22628CF9">
            <w:pPr>
              <w:widowControl/>
              <w:shd w:val="clear"/>
              <w:spacing w:line="320" w:lineRule="exact"/>
              <w:jc w:val="left"/>
              <w:textAlignment w:val="center"/>
              <w:rPr>
                <w:rFonts w:ascii="Times New Roman" w:hAnsi="Times New Roman" w:eastAsia="仿宋_GB2312" w:cs="Times New Roman"/>
                <w:color w:val="0000FF"/>
                <w:sz w:val="24"/>
                <w:highlight w:val="none"/>
              </w:rPr>
            </w:pPr>
          </w:p>
        </w:tc>
        <w:tc>
          <w:tcPr>
            <w:tcW w:w="288" w:type="pct"/>
            <w:shd w:val="clear" w:color="auto" w:fill="auto"/>
            <w:vAlign w:val="center"/>
          </w:tcPr>
          <w:p w14:paraId="49A79372">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t>40</w:t>
            </w:r>
          </w:p>
        </w:tc>
        <w:tc>
          <w:tcPr>
            <w:tcW w:w="810" w:type="pct"/>
            <w:shd w:val="clear" w:color="auto" w:fill="auto"/>
            <w:vAlign w:val="center"/>
          </w:tcPr>
          <w:p w14:paraId="765D6910">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贾洛绵羊生态标准化养殖建设项目</w:t>
            </w:r>
          </w:p>
        </w:tc>
        <w:tc>
          <w:tcPr>
            <w:tcW w:w="1520" w:type="pct"/>
            <w:shd w:val="clear" w:color="auto" w:fill="auto"/>
            <w:vAlign w:val="center"/>
          </w:tcPr>
          <w:p w14:paraId="7E84EFC0">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新建标准化健康养殖场20个（共计3000m</w:t>
            </w:r>
            <w:r>
              <w:rPr>
                <w:rFonts w:hint="eastAsia" w:ascii="Times New Roman" w:hAnsi="Times New Roman" w:eastAsia="仿宋_GB2312" w:cs="Times New Roman"/>
                <w:color w:val="000000" w:themeColor="text1"/>
                <w:kern w:val="0"/>
                <w:sz w:val="24"/>
                <w:highlight w:val="none"/>
                <w:vertAlign w:val="superscript"/>
                <w:lang w:val="en-US" w:eastAsia="zh-CN" w:bidi="ar"/>
                <w14:textFill>
                  <w14:solidFill>
                    <w14:schemeClr w14:val="tx1"/>
                  </w14:solidFill>
                </w14:textFill>
              </w:rPr>
              <w:t>2</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），配套粪污资源化处理设施、标准化可移动棚圈、多功能巷道圈、草料库、绵羊运动场。</w:t>
            </w:r>
          </w:p>
        </w:tc>
        <w:tc>
          <w:tcPr>
            <w:tcW w:w="488" w:type="pct"/>
            <w:vAlign w:val="center"/>
          </w:tcPr>
          <w:p w14:paraId="0BA6D7DF">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阿坝县</w:t>
            </w:r>
          </w:p>
        </w:tc>
        <w:tc>
          <w:tcPr>
            <w:tcW w:w="433" w:type="pct"/>
            <w:noWrap/>
            <w:vAlign w:val="center"/>
          </w:tcPr>
          <w:p w14:paraId="16ABC590">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1200</w:t>
            </w:r>
          </w:p>
        </w:tc>
        <w:tc>
          <w:tcPr>
            <w:tcW w:w="529" w:type="pct"/>
            <w:noWrap/>
            <w:vAlign w:val="center"/>
          </w:tcPr>
          <w:p w14:paraId="2FE46523">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2027-2028</w:t>
            </w:r>
          </w:p>
        </w:tc>
        <w:tc>
          <w:tcPr>
            <w:tcW w:w="653" w:type="pct"/>
            <w:noWrap/>
            <w:vAlign w:val="center"/>
          </w:tcPr>
          <w:p w14:paraId="1978A544">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阿坝县科学技术和农业畜牧水务局</w:t>
            </w:r>
          </w:p>
        </w:tc>
      </w:tr>
      <w:tr w14:paraId="676D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275" w:type="pct"/>
            <w:vMerge w:val="continue"/>
            <w:noWrap/>
            <w:vAlign w:val="center"/>
          </w:tcPr>
          <w:p w14:paraId="6A1689D5">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56BA448A">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41</w:t>
            </w:r>
          </w:p>
        </w:tc>
        <w:tc>
          <w:tcPr>
            <w:tcW w:w="810" w:type="pct"/>
            <w:vAlign w:val="center"/>
          </w:tcPr>
          <w:p w14:paraId="6827290F">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贾洛绵羊标准化扩繁场建设项目</w:t>
            </w:r>
          </w:p>
        </w:tc>
        <w:tc>
          <w:tcPr>
            <w:tcW w:w="1520" w:type="pct"/>
            <w:vAlign w:val="center"/>
          </w:tcPr>
          <w:p w14:paraId="4F4C1048">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建设标准化、数字化贾洛绵羊扩繁场3个。</w:t>
            </w:r>
          </w:p>
        </w:tc>
        <w:tc>
          <w:tcPr>
            <w:tcW w:w="488" w:type="pct"/>
            <w:vAlign w:val="center"/>
          </w:tcPr>
          <w:p w14:paraId="3DCE04EB">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阿坝县</w:t>
            </w:r>
          </w:p>
        </w:tc>
        <w:tc>
          <w:tcPr>
            <w:tcW w:w="433" w:type="pct"/>
            <w:noWrap/>
            <w:vAlign w:val="center"/>
          </w:tcPr>
          <w:p w14:paraId="4AAB6A0E">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2400</w:t>
            </w:r>
          </w:p>
        </w:tc>
        <w:tc>
          <w:tcPr>
            <w:tcW w:w="529" w:type="pct"/>
            <w:noWrap/>
            <w:vAlign w:val="center"/>
          </w:tcPr>
          <w:p w14:paraId="07644172">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2027-2028</w:t>
            </w:r>
          </w:p>
        </w:tc>
        <w:tc>
          <w:tcPr>
            <w:tcW w:w="653" w:type="pct"/>
            <w:noWrap/>
            <w:vAlign w:val="center"/>
          </w:tcPr>
          <w:p w14:paraId="208AA62B">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阿坝县科学技术和农业畜牧水务局</w:t>
            </w:r>
          </w:p>
        </w:tc>
      </w:tr>
      <w:tr w14:paraId="23F6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75" w:type="pct"/>
            <w:vMerge w:val="continue"/>
            <w:noWrap/>
            <w:vAlign w:val="center"/>
          </w:tcPr>
          <w:p w14:paraId="2D6AC004">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5AABA497">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42</w:t>
            </w:r>
          </w:p>
        </w:tc>
        <w:tc>
          <w:tcPr>
            <w:tcW w:w="810" w:type="pct"/>
            <w:vAlign w:val="center"/>
          </w:tcPr>
          <w:p w14:paraId="7ABC21A5">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阿坝县扩建垃圾中转站项目</w:t>
            </w:r>
          </w:p>
        </w:tc>
        <w:tc>
          <w:tcPr>
            <w:tcW w:w="1520" w:type="pct"/>
            <w:vAlign w:val="center"/>
          </w:tcPr>
          <w:p w14:paraId="178004F6">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扩建现有的麦昆垃圾中转站，新建2000平方米的厂棚，地面做防渗措施。挡墙40米。</w:t>
            </w:r>
          </w:p>
        </w:tc>
        <w:tc>
          <w:tcPr>
            <w:tcW w:w="488" w:type="pct"/>
            <w:noWrap/>
            <w:vAlign w:val="center"/>
          </w:tcPr>
          <w:p w14:paraId="34FD31D8">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麦昆乡</w:t>
            </w:r>
          </w:p>
        </w:tc>
        <w:tc>
          <w:tcPr>
            <w:tcW w:w="433" w:type="pct"/>
            <w:noWrap/>
            <w:vAlign w:val="center"/>
          </w:tcPr>
          <w:p w14:paraId="16A58FE6">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1000</w:t>
            </w:r>
          </w:p>
        </w:tc>
        <w:tc>
          <w:tcPr>
            <w:tcW w:w="529" w:type="pct"/>
            <w:noWrap/>
            <w:vAlign w:val="center"/>
          </w:tcPr>
          <w:p w14:paraId="3E26D647">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2026-2027</w:t>
            </w:r>
          </w:p>
        </w:tc>
        <w:tc>
          <w:tcPr>
            <w:tcW w:w="653" w:type="pct"/>
            <w:noWrap/>
            <w:vAlign w:val="center"/>
          </w:tcPr>
          <w:p w14:paraId="4A07171B">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阿坝县公用事业服务中心</w:t>
            </w:r>
          </w:p>
        </w:tc>
      </w:tr>
      <w:tr w14:paraId="1C6F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continue"/>
            <w:noWrap/>
            <w:vAlign w:val="center"/>
          </w:tcPr>
          <w:p w14:paraId="117FB5F3">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56B407DF">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43</w:t>
            </w:r>
          </w:p>
        </w:tc>
        <w:tc>
          <w:tcPr>
            <w:tcW w:w="810" w:type="pct"/>
            <w:vAlign w:val="center"/>
          </w:tcPr>
          <w:p w14:paraId="10AA41CC">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贾洛镇人居环境整治项目</w:t>
            </w:r>
          </w:p>
        </w:tc>
        <w:tc>
          <w:tcPr>
            <w:tcW w:w="1520" w:type="pct"/>
            <w:vAlign w:val="center"/>
          </w:tcPr>
          <w:p w14:paraId="302F32E5">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购买洒水车2辆，垃圾车1辆；垃圾焚烧站改造提升；垃圾暂存点改造提升3处。</w:t>
            </w:r>
          </w:p>
        </w:tc>
        <w:tc>
          <w:tcPr>
            <w:tcW w:w="488" w:type="pct"/>
            <w:noWrap/>
            <w:vAlign w:val="center"/>
          </w:tcPr>
          <w:p w14:paraId="30CF5427">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贾洛镇</w:t>
            </w:r>
          </w:p>
        </w:tc>
        <w:tc>
          <w:tcPr>
            <w:tcW w:w="433" w:type="pct"/>
            <w:noWrap/>
            <w:vAlign w:val="center"/>
          </w:tcPr>
          <w:p w14:paraId="3231B599">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500</w:t>
            </w:r>
          </w:p>
        </w:tc>
        <w:tc>
          <w:tcPr>
            <w:tcW w:w="529" w:type="pct"/>
            <w:noWrap/>
            <w:vAlign w:val="center"/>
          </w:tcPr>
          <w:p w14:paraId="43EFF47E">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2026</w:t>
            </w:r>
          </w:p>
        </w:tc>
        <w:tc>
          <w:tcPr>
            <w:tcW w:w="653" w:type="pct"/>
            <w:noWrap/>
            <w:vAlign w:val="center"/>
          </w:tcPr>
          <w:p w14:paraId="0E2B2019">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贾洛镇人民政府</w:t>
            </w:r>
          </w:p>
        </w:tc>
      </w:tr>
      <w:tr w14:paraId="039A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75" w:type="pct"/>
            <w:vMerge w:val="continue"/>
            <w:noWrap/>
            <w:vAlign w:val="center"/>
          </w:tcPr>
          <w:p w14:paraId="7CE16856">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66FAF689">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44</w:t>
            </w:r>
          </w:p>
        </w:tc>
        <w:tc>
          <w:tcPr>
            <w:tcW w:w="810" w:type="pct"/>
            <w:vAlign w:val="center"/>
          </w:tcPr>
          <w:p w14:paraId="3598BD14">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河支镇公共厕所建设项目</w:t>
            </w:r>
          </w:p>
        </w:tc>
        <w:tc>
          <w:tcPr>
            <w:tcW w:w="1520" w:type="pct"/>
            <w:vAlign w:val="center"/>
          </w:tcPr>
          <w:p w14:paraId="3CDCDBA4">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修建公共厕所17个；以及厕所革命。</w:t>
            </w:r>
          </w:p>
        </w:tc>
        <w:tc>
          <w:tcPr>
            <w:tcW w:w="488" w:type="pct"/>
            <w:vAlign w:val="center"/>
          </w:tcPr>
          <w:p w14:paraId="5D9383AF">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河支镇</w:t>
            </w:r>
          </w:p>
        </w:tc>
        <w:tc>
          <w:tcPr>
            <w:tcW w:w="433" w:type="pct"/>
            <w:noWrap/>
            <w:vAlign w:val="center"/>
          </w:tcPr>
          <w:p w14:paraId="5C4F6BEE">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500</w:t>
            </w:r>
          </w:p>
        </w:tc>
        <w:tc>
          <w:tcPr>
            <w:tcW w:w="529" w:type="pct"/>
            <w:noWrap/>
            <w:vAlign w:val="center"/>
          </w:tcPr>
          <w:p w14:paraId="524F6E35">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2026</w:t>
            </w:r>
          </w:p>
        </w:tc>
        <w:tc>
          <w:tcPr>
            <w:tcW w:w="653" w:type="pct"/>
            <w:noWrap/>
            <w:vAlign w:val="center"/>
          </w:tcPr>
          <w:p w14:paraId="46EBE338">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河支镇人民政府</w:t>
            </w:r>
          </w:p>
        </w:tc>
      </w:tr>
      <w:tr w14:paraId="7FBA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jc w:val="center"/>
        </w:trPr>
        <w:tc>
          <w:tcPr>
            <w:tcW w:w="275" w:type="pct"/>
            <w:vMerge w:val="continue"/>
            <w:noWrap/>
            <w:vAlign w:val="center"/>
          </w:tcPr>
          <w:p w14:paraId="7E8F5518">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337CE9EC">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45</w:t>
            </w:r>
          </w:p>
        </w:tc>
        <w:tc>
          <w:tcPr>
            <w:tcW w:w="810" w:type="pct"/>
            <w:vAlign w:val="center"/>
          </w:tcPr>
          <w:p w14:paraId="2D6A2494">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阿坝县农村供水高质量发展三年行动</w:t>
            </w:r>
          </w:p>
        </w:tc>
        <w:tc>
          <w:tcPr>
            <w:tcW w:w="1520" w:type="pct"/>
            <w:vAlign w:val="center"/>
          </w:tcPr>
          <w:p w14:paraId="17D4498E">
            <w:pPr>
              <w:widowControl/>
              <w:shd w:val="clear"/>
              <w:spacing w:line="320" w:lineRule="exact"/>
              <w:jc w:val="left"/>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sz w:val="24"/>
                <w:highlight w:val="none"/>
                <w14:textFill>
                  <w14:solidFill>
                    <w14:schemeClr w14:val="tx1"/>
                  </w14:solidFill>
                </w14:textFill>
              </w:rPr>
              <w:t>新建农村集中供水工程5处涉及各莫镇、四洼乡、龙藏乡、阿坝镇、麦昆乡、安斗乡、河支镇及麦尔玛镇共8个乡镇34个村。工程新建取水工程5处，划分水源保护地5处，输水管道22.92km，水厂5座，配水管网（接入现有蓄水池及管道）83.69km，蓄水池5座，管道增压泵站12座；安装管网水表39块，入户计量水表6303块，更换防冻水龙头5522个。组建县级信息化平台1处。</w:t>
            </w:r>
          </w:p>
        </w:tc>
        <w:tc>
          <w:tcPr>
            <w:tcW w:w="488" w:type="pct"/>
            <w:noWrap/>
            <w:vAlign w:val="center"/>
          </w:tcPr>
          <w:p w14:paraId="20E89267">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sz w:val="24"/>
                <w:highlight w:val="none"/>
                <w14:textFill>
                  <w14:solidFill>
                    <w14:schemeClr w14:val="tx1"/>
                  </w14:solidFill>
                </w14:textFill>
              </w:rPr>
              <w:t>阿坝县</w:t>
            </w:r>
          </w:p>
        </w:tc>
        <w:tc>
          <w:tcPr>
            <w:tcW w:w="433" w:type="pct"/>
            <w:noWrap/>
            <w:vAlign w:val="center"/>
          </w:tcPr>
          <w:p w14:paraId="374BA48F">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sz w:val="24"/>
                <w:highlight w:val="none"/>
                <w14:textFill>
                  <w14:solidFill>
                    <w14:schemeClr w14:val="tx1"/>
                  </w14:solidFill>
                </w14:textFill>
              </w:rPr>
              <w:t>9620</w:t>
            </w:r>
          </w:p>
        </w:tc>
        <w:tc>
          <w:tcPr>
            <w:tcW w:w="529" w:type="pct"/>
            <w:noWrap/>
            <w:vAlign w:val="center"/>
          </w:tcPr>
          <w:p w14:paraId="1445BBA9">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2026-2028</w:t>
            </w:r>
          </w:p>
        </w:tc>
        <w:tc>
          <w:tcPr>
            <w:tcW w:w="653" w:type="pct"/>
            <w:noWrap/>
            <w:vAlign w:val="center"/>
          </w:tcPr>
          <w:p w14:paraId="7C5CA33E">
            <w:pPr>
              <w:widowControl/>
              <w:shd w:val="clear"/>
              <w:spacing w:line="320" w:lineRule="exact"/>
              <w:jc w:val="center"/>
              <w:textAlignment w:val="center"/>
              <w:rPr>
                <w:rFonts w:hint="eastAsia" w:ascii="Times New Roman" w:hAnsi="Times New Roman" w:eastAsia="仿宋_GB2312" w:cs="Times New Roman"/>
                <w:color w:val="000000" w:themeColor="text1"/>
                <w:sz w:val="24"/>
                <w:highlight w:val="none"/>
                <w:lang w:eastAsia="zh-CN"/>
                <w14:textFill>
                  <w14:solidFill>
                    <w14:schemeClr w14:val="tx1"/>
                  </w14:solidFill>
                </w14:textFill>
              </w:rPr>
            </w:pP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阿坝县科学技术和农业畜牧水务局</w:t>
            </w:r>
          </w:p>
        </w:tc>
      </w:tr>
      <w:tr w14:paraId="4EF2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75" w:type="pct"/>
            <w:vMerge w:val="continue"/>
            <w:noWrap/>
            <w:vAlign w:val="center"/>
          </w:tcPr>
          <w:p w14:paraId="60573C6B">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39C1B469">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46</w:t>
            </w:r>
          </w:p>
        </w:tc>
        <w:tc>
          <w:tcPr>
            <w:tcW w:w="810" w:type="pct"/>
            <w:vAlign w:val="center"/>
          </w:tcPr>
          <w:p w14:paraId="74EC3775">
            <w:pPr>
              <w:widowControl/>
              <w:shd w:val="clear"/>
              <w:spacing w:line="320" w:lineRule="exact"/>
              <w:jc w:val="center"/>
              <w:textAlignment w:val="center"/>
              <w:rPr>
                <w:rFonts w:ascii="Times New Roman" w:hAnsi="Times New Roman" w:eastAsia="仿宋_GB2312" w:cs="Times New Roman"/>
                <w:color w:val="0000FF"/>
                <w:sz w:val="24"/>
                <w:highlight w:val="none"/>
              </w:rPr>
            </w:pP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宜居宜业和美乡村建设</w:t>
            </w:r>
          </w:p>
        </w:tc>
        <w:tc>
          <w:tcPr>
            <w:tcW w:w="1520" w:type="pct"/>
            <w:vAlign w:val="center"/>
          </w:tcPr>
          <w:p w14:paraId="40496A25">
            <w:pPr>
              <w:widowControl/>
              <w:shd w:val="clear"/>
              <w:spacing w:line="320" w:lineRule="exact"/>
              <w:jc w:val="center"/>
              <w:textAlignment w:val="center"/>
              <w:rPr>
                <w:rFonts w:hint="eastAsia" w:ascii="Times New Roman" w:hAnsi="Times New Roman" w:eastAsia="仿宋_GB2312" w:cs="Times New Roman"/>
                <w:color w:val="000000" w:themeColor="text1"/>
                <w:sz w:val="24"/>
                <w:highlight w:val="none"/>
                <w:lang w:eastAsia="zh-CN"/>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20个村的宜居宜业建设</w:t>
            </w: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w:t>
            </w:r>
          </w:p>
        </w:tc>
        <w:tc>
          <w:tcPr>
            <w:tcW w:w="488" w:type="pct"/>
            <w:noWrap/>
            <w:vAlign w:val="center"/>
          </w:tcPr>
          <w:p w14:paraId="3216A707">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阿坝</w:t>
            </w: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县</w:t>
            </w:r>
          </w:p>
        </w:tc>
        <w:tc>
          <w:tcPr>
            <w:tcW w:w="433" w:type="pct"/>
            <w:noWrap/>
            <w:vAlign w:val="center"/>
          </w:tcPr>
          <w:p w14:paraId="1E50D4BC">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sz w:val="24"/>
                <w:highlight w:val="none"/>
                <w14:textFill>
                  <w14:solidFill>
                    <w14:schemeClr w14:val="tx1"/>
                  </w14:solidFill>
                </w14:textFill>
              </w:rPr>
              <w:t>10000</w:t>
            </w:r>
          </w:p>
        </w:tc>
        <w:tc>
          <w:tcPr>
            <w:tcW w:w="529" w:type="pct"/>
            <w:noWrap/>
            <w:vAlign w:val="center"/>
          </w:tcPr>
          <w:p w14:paraId="19CC900A">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2026</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20</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30</w:t>
            </w:r>
          </w:p>
        </w:tc>
        <w:tc>
          <w:tcPr>
            <w:tcW w:w="653" w:type="pct"/>
            <w:noWrap/>
            <w:vAlign w:val="center"/>
          </w:tcPr>
          <w:p w14:paraId="67A5253A">
            <w:pPr>
              <w:widowControl/>
              <w:shd w:val="clear"/>
              <w:spacing w:line="320" w:lineRule="exact"/>
              <w:jc w:val="center"/>
              <w:textAlignment w:val="center"/>
              <w:rPr>
                <w:rFonts w:hint="eastAsia" w:ascii="Times New Roman" w:hAnsi="Times New Roman" w:eastAsia="仿宋_GB2312" w:cs="Times New Roman"/>
                <w:color w:val="000000" w:themeColor="text1"/>
                <w:sz w:val="24"/>
                <w:highlight w:val="none"/>
                <w:lang w:eastAsia="zh-CN"/>
                <w14:textFill>
                  <w14:solidFill>
                    <w14:schemeClr w14:val="tx1"/>
                  </w14:solidFill>
                </w14:textFill>
              </w:rPr>
            </w:pP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阿坝县科学技术和农业畜牧水务局</w:t>
            </w:r>
          </w:p>
        </w:tc>
      </w:tr>
      <w:tr w14:paraId="208E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9" w:hRule="atLeast"/>
          <w:jc w:val="center"/>
        </w:trPr>
        <w:tc>
          <w:tcPr>
            <w:tcW w:w="275" w:type="pct"/>
            <w:vMerge w:val="continue"/>
            <w:noWrap/>
            <w:vAlign w:val="center"/>
          </w:tcPr>
          <w:p w14:paraId="1EF84032">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1164155E">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47</w:t>
            </w:r>
          </w:p>
        </w:tc>
        <w:tc>
          <w:tcPr>
            <w:tcW w:w="810" w:type="pct"/>
            <w:vAlign w:val="center"/>
          </w:tcPr>
          <w:p w14:paraId="5AD77F56">
            <w:pPr>
              <w:widowControl/>
              <w:shd w:val="clear"/>
              <w:spacing w:line="320" w:lineRule="exact"/>
              <w:jc w:val="center"/>
              <w:textAlignment w:val="center"/>
              <w:rPr>
                <w:rFonts w:ascii="Times New Roman" w:hAnsi="Times New Roman" w:eastAsia="仿宋_GB2312" w:cs="Times New Roman"/>
                <w:color w:val="0000FF"/>
                <w:sz w:val="24"/>
                <w:highlight w:val="none"/>
              </w:rPr>
            </w:pP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阿坝县历史文化名村房屋保护及修缮项目</w:t>
            </w:r>
          </w:p>
        </w:tc>
        <w:tc>
          <w:tcPr>
            <w:tcW w:w="1520" w:type="pct"/>
            <w:vAlign w:val="center"/>
          </w:tcPr>
          <w:p w14:paraId="2BD698E7">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聚焦查理乡神座村历史建筑与公共建筑保护需求，计划对村内具有历史价值的民居、公共活动场所等建筑，开展系统性抗震加固改造工作。改造总规模达20000平方米，通过采用符合历史风貌保护要求的加固技术，在保留建筑原有历史形态与文化特征的基础上，提升建筑结构抗震性能，保障村民居住安全与公共空间使用安全，同时助力神座村历史文化村落风貌的长效保护与传承。</w:t>
            </w:r>
          </w:p>
        </w:tc>
        <w:tc>
          <w:tcPr>
            <w:tcW w:w="488" w:type="pct"/>
            <w:noWrap/>
            <w:vAlign w:val="center"/>
          </w:tcPr>
          <w:p w14:paraId="2711C5DF">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查理乡神座村</w:t>
            </w:r>
          </w:p>
        </w:tc>
        <w:tc>
          <w:tcPr>
            <w:tcW w:w="433" w:type="pct"/>
            <w:noWrap/>
            <w:vAlign w:val="center"/>
          </w:tcPr>
          <w:p w14:paraId="0DDD6866">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200</w:t>
            </w:r>
          </w:p>
        </w:tc>
        <w:tc>
          <w:tcPr>
            <w:tcW w:w="529" w:type="pct"/>
            <w:noWrap/>
            <w:vAlign w:val="center"/>
          </w:tcPr>
          <w:p w14:paraId="1B48003B">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2026</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2030</w:t>
            </w:r>
          </w:p>
        </w:tc>
        <w:tc>
          <w:tcPr>
            <w:tcW w:w="653" w:type="pct"/>
            <w:vAlign w:val="center"/>
          </w:tcPr>
          <w:p w14:paraId="120C1EF6">
            <w:pPr>
              <w:widowControl/>
              <w:shd w:val="clear"/>
              <w:spacing w:line="320" w:lineRule="exact"/>
              <w:jc w:val="center"/>
              <w:textAlignment w:val="center"/>
              <w:rPr>
                <w:rFonts w:hint="eastAsia" w:ascii="Times New Roman" w:hAnsi="Times New Roman" w:eastAsia="仿宋_GB2312" w:cs="Times New Roman"/>
                <w:color w:val="000000" w:themeColor="text1"/>
                <w:sz w:val="24"/>
                <w:highlight w:val="none"/>
                <w:lang w:eastAsia="zh-CN"/>
                <w14:textFill>
                  <w14:solidFill>
                    <w14:schemeClr w14:val="tx1"/>
                  </w14:solidFill>
                </w14:textFill>
              </w:rPr>
            </w:pP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阿坝县文广体旅局</w:t>
            </w:r>
          </w:p>
        </w:tc>
      </w:tr>
      <w:tr w14:paraId="553F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75" w:type="pct"/>
            <w:vMerge w:val="restart"/>
            <w:noWrap/>
            <w:vAlign w:val="center"/>
          </w:tcPr>
          <w:p w14:paraId="098D2DE8">
            <w:pPr>
              <w:widowControl/>
              <w:shd w:val="clear"/>
              <w:spacing w:line="320" w:lineRule="exact"/>
              <w:jc w:val="left"/>
              <w:textAlignment w:val="center"/>
              <w:rPr>
                <w:rFonts w:hint="eastAsia" w:ascii="Times New Roman" w:hAnsi="Times New Roman" w:eastAsia="仿宋_GB2312" w:cs="Times New Roman"/>
                <w:color w:val="0000FF"/>
                <w:sz w:val="24"/>
                <w:highlight w:val="none"/>
                <w:lang w:eastAsia="zh-CN"/>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绿色产业</w:t>
            </w:r>
          </w:p>
        </w:tc>
        <w:tc>
          <w:tcPr>
            <w:tcW w:w="288" w:type="pct"/>
            <w:shd w:val="clear" w:color="auto" w:fill="auto"/>
            <w:vAlign w:val="center"/>
          </w:tcPr>
          <w:p w14:paraId="22C940EA">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48</w:t>
            </w:r>
          </w:p>
        </w:tc>
        <w:tc>
          <w:tcPr>
            <w:tcW w:w="810" w:type="pct"/>
            <w:vAlign w:val="center"/>
          </w:tcPr>
          <w:p w14:paraId="0561B8FD">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麦尔玛镇兰措玛村产业发展项目</w:t>
            </w:r>
          </w:p>
        </w:tc>
        <w:tc>
          <w:tcPr>
            <w:tcW w:w="1520" w:type="pct"/>
            <w:vAlign w:val="center"/>
          </w:tcPr>
          <w:p w14:paraId="4B5AD879">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新建标准化养殖基地家庭牧场60户。</w:t>
            </w:r>
          </w:p>
        </w:tc>
        <w:tc>
          <w:tcPr>
            <w:tcW w:w="488" w:type="pct"/>
            <w:noWrap/>
            <w:vAlign w:val="center"/>
          </w:tcPr>
          <w:p w14:paraId="3B8D66ED">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麦尔玛镇</w:t>
            </w:r>
          </w:p>
        </w:tc>
        <w:tc>
          <w:tcPr>
            <w:tcW w:w="433" w:type="pct"/>
            <w:noWrap/>
            <w:vAlign w:val="center"/>
          </w:tcPr>
          <w:p w14:paraId="0475B48A">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900</w:t>
            </w:r>
          </w:p>
        </w:tc>
        <w:tc>
          <w:tcPr>
            <w:tcW w:w="529" w:type="pct"/>
            <w:noWrap/>
            <w:vAlign w:val="center"/>
          </w:tcPr>
          <w:p w14:paraId="0DF4A4FE">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2029</w:t>
            </w:r>
          </w:p>
        </w:tc>
        <w:tc>
          <w:tcPr>
            <w:tcW w:w="653" w:type="pct"/>
            <w:noWrap/>
            <w:vAlign w:val="center"/>
          </w:tcPr>
          <w:p w14:paraId="40DA5705">
            <w:pPr>
              <w:widowControl/>
              <w:shd w:val="clear"/>
              <w:spacing w:line="320" w:lineRule="exact"/>
              <w:jc w:val="center"/>
              <w:textAlignment w:val="cente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麦尔玛镇人民政府</w:t>
            </w:r>
          </w:p>
        </w:tc>
      </w:tr>
      <w:tr w14:paraId="3CDF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75" w:type="pct"/>
            <w:vMerge w:val="continue"/>
            <w:noWrap/>
            <w:vAlign w:val="center"/>
          </w:tcPr>
          <w:p w14:paraId="7096E713">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6706A6F3">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49</w:t>
            </w:r>
          </w:p>
        </w:tc>
        <w:tc>
          <w:tcPr>
            <w:tcW w:w="810" w:type="pct"/>
            <w:vAlign w:val="center"/>
          </w:tcPr>
          <w:p w14:paraId="5A737F1B">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漫泽塘景区牧旅融合示范项目</w:t>
            </w:r>
          </w:p>
        </w:tc>
        <w:tc>
          <w:tcPr>
            <w:tcW w:w="1520" w:type="pct"/>
            <w:vAlign w:val="center"/>
          </w:tcPr>
          <w:p w14:paraId="4F9E52A3">
            <w:pPr>
              <w:widowControl/>
              <w:shd w:val="clear"/>
              <w:spacing w:line="320" w:lineRule="exact"/>
              <w:jc w:val="left"/>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结合自然景观打造现代休闲农业景观。</w:t>
            </w:r>
          </w:p>
        </w:tc>
        <w:tc>
          <w:tcPr>
            <w:tcW w:w="488" w:type="pct"/>
            <w:noWrap/>
            <w:vAlign w:val="center"/>
          </w:tcPr>
          <w:p w14:paraId="5CD5DF08">
            <w:pPr>
              <w:widowControl/>
              <w:shd w:val="clear"/>
              <w:spacing w:line="320" w:lineRule="exact"/>
              <w:jc w:val="center"/>
              <w:textAlignment w:val="center"/>
              <w:rPr>
                <w:rFonts w:ascii="Times New Roman" w:hAnsi="Times New Roman" w:eastAsia="仿宋_GB2312" w:cs="Times New Roman"/>
                <w:color w:val="0000FF"/>
                <w:sz w:val="24"/>
                <w:highlight w:val="none"/>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漫泽塘景区</w:t>
            </w:r>
          </w:p>
        </w:tc>
        <w:tc>
          <w:tcPr>
            <w:tcW w:w="433" w:type="pct"/>
            <w:noWrap/>
            <w:vAlign w:val="center"/>
          </w:tcPr>
          <w:p w14:paraId="36CB08EB">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4</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00</w:t>
            </w:r>
          </w:p>
        </w:tc>
        <w:tc>
          <w:tcPr>
            <w:tcW w:w="529" w:type="pct"/>
            <w:noWrap/>
            <w:vAlign w:val="center"/>
          </w:tcPr>
          <w:p w14:paraId="01100DD7">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2026</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20</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30</w:t>
            </w:r>
          </w:p>
        </w:tc>
        <w:tc>
          <w:tcPr>
            <w:tcW w:w="653" w:type="pct"/>
            <w:noWrap/>
            <w:vAlign w:val="center"/>
          </w:tcPr>
          <w:p w14:paraId="46D36B7F">
            <w:pPr>
              <w:widowControl/>
              <w:shd w:val="clear"/>
              <w:spacing w:line="320" w:lineRule="exact"/>
              <w:jc w:val="center"/>
              <w:textAlignment w:val="center"/>
              <w:rPr>
                <w:rFonts w:hint="eastAsia" w:ascii="Times New Roman" w:hAnsi="Times New Roman" w:eastAsia="仿宋_GB2312" w:cs="Times New Roman"/>
                <w:color w:val="0000FF"/>
                <w:sz w:val="24"/>
                <w:highlight w:val="none"/>
                <w:lang w:eastAsia="zh-CN"/>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5039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jc w:val="center"/>
        </w:trPr>
        <w:tc>
          <w:tcPr>
            <w:tcW w:w="275" w:type="pct"/>
            <w:vMerge w:val="continue"/>
            <w:noWrap/>
            <w:vAlign w:val="center"/>
          </w:tcPr>
          <w:p w14:paraId="3E34B0F4">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178DEC07">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50</w:t>
            </w:r>
          </w:p>
        </w:tc>
        <w:tc>
          <w:tcPr>
            <w:tcW w:w="810" w:type="pct"/>
            <w:vAlign w:val="center"/>
          </w:tcPr>
          <w:p w14:paraId="08635F9E">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阿坝县文化旅游精品街区提升改造项目</w:t>
            </w:r>
          </w:p>
        </w:tc>
        <w:tc>
          <w:tcPr>
            <w:tcW w:w="1520" w:type="pct"/>
            <w:vAlign w:val="center"/>
          </w:tcPr>
          <w:p w14:paraId="24A2A3B9">
            <w:pPr>
              <w:widowControl/>
              <w:shd w:val="clear"/>
              <w:spacing w:line="320" w:lineRule="exact"/>
              <w:jc w:val="left"/>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对现有文化旅游精品街区（金幡银座、鑫城市广场）进行风貌改造，改建游客咨询服务点1处，打造集民宿、酒店、餐饮、商贸等于一体的精品街区。以斋饭、回食、小吃、藏餐、酒吧、夜市等为主题，打造特色斋饭</w:t>
            </w: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一</w:t>
            </w: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条街、特色回食一条街、特色小吃一条街、特色藏餐酒吧一条街和滨河夜市一条街等五条特色餐饮街区改造特色店招、统一标识牌，增设垃圾桶等环卫设施，建设智慧信息服务设施，打造VR文化体验点。</w:t>
            </w:r>
          </w:p>
        </w:tc>
        <w:tc>
          <w:tcPr>
            <w:tcW w:w="488" w:type="pct"/>
            <w:noWrap/>
            <w:vAlign w:val="center"/>
          </w:tcPr>
          <w:p w14:paraId="47C62248">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w:t>
            </w: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县城</w:t>
            </w:r>
          </w:p>
        </w:tc>
        <w:tc>
          <w:tcPr>
            <w:tcW w:w="433" w:type="pct"/>
            <w:noWrap/>
            <w:vAlign w:val="center"/>
          </w:tcPr>
          <w:p w14:paraId="336079E7">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150</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00</w:t>
            </w:r>
          </w:p>
        </w:tc>
        <w:tc>
          <w:tcPr>
            <w:tcW w:w="529" w:type="pct"/>
            <w:noWrap/>
            <w:vAlign w:val="center"/>
          </w:tcPr>
          <w:p w14:paraId="4E488E22">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2026</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20</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28</w:t>
            </w:r>
          </w:p>
        </w:tc>
        <w:tc>
          <w:tcPr>
            <w:tcW w:w="653" w:type="pct"/>
            <w:noWrap/>
            <w:vAlign w:val="center"/>
          </w:tcPr>
          <w:p w14:paraId="6CEEEBF5">
            <w:pPr>
              <w:widowControl/>
              <w:shd w:val="clear"/>
              <w:spacing w:line="320" w:lineRule="exact"/>
              <w:jc w:val="center"/>
              <w:textAlignment w:val="center"/>
              <w:rPr>
                <w:rFonts w:hint="eastAsia" w:ascii="Times New Roman" w:hAnsi="Times New Roman" w:eastAsia="仿宋_GB2312" w:cs="Times New Roman"/>
                <w:color w:val="000000" w:themeColor="text1"/>
                <w:sz w:val="24"/>
                <w:highlight w:val="none"/>
                <w:lang w:eastAsia="zh-CN"/>
                <w14:textFill>
                  <w14:solidFill>
                    <w14:schemeClr w14:val="tx1"/>
                  </w14:solidFill>
                </w14:textFill>
              </w:rPr>
            </w:pP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阿坝县文广体旅局</w:t>
            </w:r>
          </w:p>
        </w:tc>
      </w:tr>
      <w:tr w14:paraId="5838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275" w:type="pct"/>
            <w:vMerge w:val="continue"/>
            <w:noWrap/>
            <w:vAlign w:val="center"/>
          </w:tcPr>
          <w:p w14:paraId="7606F411">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6E92B622">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51</w:t>
            </w:r>
          </w:p>
        </w:tc>
        <w:tc>
          <w:tcPr>
            <w:tcW w:w="810" w:type="pct"/>
            <w:vAlign w:val="center"/>
          </w:tcPr>
          <w:p w14:paraId="4E468CF2">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阿坝县旅游集散中心改造提升项目</w:t>
            </w:r>
          </w:p>
        </w:tc>
        <w:tc>
          <w:tcPr>
            <w:tcW w:w="1520" w:type="pct"/>
            <w:vAlign w:val="center"/>
          </w:tcPr>
          <w:p w14:paraId="755A984D">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改造提升旅游集散中心，增设包含咨询服务、文化展示、产品售卖、休息区、体验区、会议中心等功能区，改造智慧化停车场，购置乡村旅游巴士和乡村客运公交等设施设备，及消防设施、绿化带、供电供水保障设施和智慧化管理系统等相关配套设施建设。</w:t>
            </w:r>
          </w:p>
        </w:tc>
        <w:tc>
          <w:tcPr>
            <w:tcW w:w="488" w:type="pct"/>
            <w:noWrap/>
            <w:vAlign w:val="center"/>
          </w:tcPr>
          <w:p w14:paraId="7E822B49">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w:t>
            </w: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县城</w:t>
            </w:r>
          </w:p>
        </w:tc>
        <w:tc>
          <w:tcPr>
            <w:tcW w:w="433" w:type="pct"/>
            <w:noWrap/>
            <w:vAlign w:val="center"/>
          </w:tcPr>
          <w:p w14:paraId="4162B994">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6236</w:t>
            </w:r>
          </w:p>
        </w:tc>
        <w:tc>
          <w:tcPr>
            <w:tcW w:w="529" w:type="pct"/>
            <w:noWrap/>
            <w:vAlign w:val="center"/>
          </w:tcPr>
          <w:p w14:paraId="548D7708">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202</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7-2028</w:t>
            </w:r>
          </w:p>
        </w:tc>
        <w:tc>
          <w:tcPr>
            <w:tcW w:w="653" w:type="pct"/>
            <w:noWrap/>
            <w:vAlign w:val="center"/>
          </w:tcPr>
          <w:p w14:paraId="3D3259E5">
            <w:pPr>
              <w:widowControl/>
              <w:shd w:val="clear"/>
              <w:spacing w:line="320" w:lineRule="exact"/>
              <w:jc w:val="center"/>
              <w:textAlignment w:val="center"/>
              <w:rPr>
                <w:rFonts w:hint="eastAsia" w:ascii="Times New Roman" w:hAnsi="Times New Roman" w:eastAsia="仿宋_GB2312" w:cs="Times New Roman"/>
                <w:color w:val="0000FF"/>
                <w:sz w:val="24"/>
                <w:highlight w:val="none"/>
                <w:lang w:eastAsia="zh-CN"/>
              </w:rPr>
            </w:pP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阿坝县文广体旅局</w:t>
            </w:r>
          </w:p>
        </w:tc>
      </w:tr>
      <w:tr w14:paraId="397E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275" w:type="pct"/>
            <w:vMerge w:val="restart"/>
            <w:noWrap/>
            <w:vAlign w:val="center"/>
          </w:tcPr>
          <w:p w14:paraId="2D7EED4C">
            <w:pPr>
              <w:widowControl/>
              <w:shd w:val="clear"/>
              <w:spacing w:line="320" w:lineRule="exact"/>
              <w:jc w:val="left"/>
              <w:textAlignment w:val="center"/>
              <w:rPr>
                <w:rFonts w:hint="default" w:ascii="Times New Roman" w:hAnsi="Times New Roman" w:eastAsia="仿宋_GB2312" w:cs="Times New Roman"/>
                <w:color w:val="0000FF"/>
                <w:sz w:val="24"/>
                <w:highlight w:val="none"/>
                <w:lang w:val="en-US" w:eastAsia="zh-CN"/>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美好生活</w:t>
            </w:r>
          </w:p>
        </w:tc>
        <w:tc>
          <w:tcPr>
            <w:tcW w:w="288" w:type="pct"/>
            <w:shd w:val="clear" w:color="auto" w:fill="auto"/>
            <w:vAlign w:val="center"/>
          </w:tcPr>
          <w:p w14:paraId="7AC65717">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52</w:t>
            </w:r>
          </w:p>
        </w:tc>
        <w:tc>
          <w:tcPr>
            <w:tcW w:w="810" w:type="pct"/>
            <w:vAlign w:val="center"/>
          </w:tcPr>
          <w:p w14:paraId="668D757F">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阿坝县城中村基础设施提升改造项目</w:t>
            </w:r>
          </w:p>
        </w:tc>
        <w:tc>
          <w:tcPr>
            <w:tcW w:w="1520" w:type="pct"/>
            <w:vAlign w:val="center"/>
          </w:tcPr>
          <w:p w14:paraId="1E04DE95">
            <w:pPr>
              <w:widowControl/>
              <w:shd w:val="clear"/>
              <w:spacing w:line="320" w:lineRule="exact"/>
              <w:jc w:val="center"/>
              <w:textAlignment w:val="center"/>
              <w:rPr>
                <w:rFonts w:hint="eastAsia" w:ascii="Times New Roman" w:hAnsi="Times New Roman" w:eastAsia="仿宋_GB2312" w:cs="Times New Roman"/>
                <w:color w:val="000000" w:themeColor="text1"/>
                <w:sz w:val="24"/>
                <w:highlight w:val="none"/>
                <w:lang w:eastAsia="zh-CN"/>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对崇拉街片区进行改造，优化内部路网6公里，改扩建主次道路并整治背街小巷；升级给排水系统5公里，改造供水管网5公里、完善雨污分流设施；开展环境整治，清理垃圾违建、新增绿化与休闲空间，配套照明及垃圾分类设施；优化电力通信配套，推动线路入地并升级电力设施，针对性解决城中村基础设施薄弱的核心短板</w:t>
            </w: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w:t>
            </w:r>
          </w:p>
        </w:tc>
        <w:tc>
          <w:tcPr>
            <w:tcW w:w="488" w:type="pct"/>
            <w:noWrap/>
            <w:vAlign w:val="center"/>
          </w:tcPr>
          <w:p w14:paraId="5FFF7A75">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阿坝县县城</w:t>
            </w:r>
          </w:p>
        </w:tc>
        <w:tc>
          <w:tcPr>
            <w:tcW w:w="433" w:type="pct"/>
            <w:noWrap/>
            <w:vAlign w:val="center"/>
          </w:tcPr>
          <w:p w14:paraId="08851BF1">
            <w:pPr>
              <w:widowControl/>
              <w:shd w:val="clear"/>
              <w:spacing w:line="320" w:lineRule="exact"/>
              <w:jc w:val="center"/>
              <w:textAlignment w:val="center"/>
              <w:rPr>
                <w:rFonts w:hint="default" w:ascii="Times New Roman" w:hAnsi="Times New Roman" w:eastAsia="仿宋_GB2312" w:cs="Times New Roman"/>
                <w:color w:val="0000FF"/>
                <w:sz w:val="24"/>
                <w:highlight w:val="none"/>
                <w:lang w:val="en-US" w:eastAsia="zh-CN"/>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20000</w:t>
            </w:r>
          </w:p>
        </w:tc>
        <w:tc>
          <w:tcPr>
            <w:tcW w:w="529" w:type="pct"/>
            <w:noWrap/>
            <w:vAlign w:val="center"/>
          </w:tcPr>
          <w:p w14:paraId="71507083">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202</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8-</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20</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29</w:t>
            </w:r>
          </w:p>
        </w:tc>
        <w:tc>
          <w:tcPr>
            <w:tcW w:w="653" w:type="pct"/>
            <w:noWrap/>
            <w:vAlign w:val="center"/>
          </w:tcPr>
          <w:p w14:paraId="28182930">
            <w:pPr>
              <w:widowControl/>
              <w:shd w:val="clear"/>
              <w:spacing w:line="320" w:lineRule="exact"/>
              <w:jc w:val="center"/>
              <w:textAlignment w:val="center"/>
              <w:rPr>
                <w:rFonts w:hint="eastAsia" w:ascii="Times New Roman" w:hAnsi="Times New Roman" w:eastAsia="仿宋_GB2312" w:cs="Times New Roman"/>
                <w:color w:val="000000" w:themeColor="text1"/>
                <w:sz w:val="24"/>
                <w:highlight w:val="none"/>
                <w:lang w:eastAsia="zh-CN"/>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w:t>
            </w: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县住房城乡建设局</w:t>
            </w:r>
          </w:p>
        </w:tc>
      </w:tr>
      <w:tr w14:paraId="1A44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275" w:type="pct"/>
            <w:vMerge w:val="continue"/>
            <w:noWrap/>
            <w:vAlign w:val="center"/>
          </w:tcPr>
          <w:p w14:paraId="5A369A35">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1952FF11">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53</w:t>
            </w:r>
          </w:p>
        </w:tc>
        <w:tc>
          <w:tcPr>
            <w:tcW w:w="810" w:type="pct"/>
            <w:vAlign w:val="center"/>
          </w:tcPr>
          <w:p w14:paraId="2C585EBC">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阿坝县洽塘中街片区老旧街区改造项目</w:t>
            </w:r>
          </w:p>
        </w:tc>
        <w:tc>
          <w:tcPr>
            <w:tcW w:w="1520" w:type="pct"/>
            <w:vAlign w:val="center"/>
          </w:tcPr>
          <w:p w14:paraId="2BF2D7D9">
            <w:pPr>
              <w:widowControl/>
              <w:shd w:val="clear"/>
              <w:spacing w:line="320" w:lineRule="exact"/>
              <w:jc w:val="left"/>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对洽塘中街片区进行改造，路面黑化27429平方米，路面病害治理25915平方米，建设农贸市场6500平方米和地下停车场4800平方米（配置充电桩32个），临街建筑物外墙安全隐患排除12000平方米，改造公共活动空间3000平方米和口袋公园3523平方米，并配套完善电力、通信、照明、安防、供排水管网等基础设施。</w:t>
            </w:r>
          </w:p>
        </w:tc>
        <w:tc>
          <w:tcPr>
            <w:tcW w:w="488" w:type="pct"/>
            <w:noWrap/>
            <w:vAlign w:val="center"/>
          </w:tcPr>
          <w:p w14:paraId="1E0E1D65">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阿坝县县城</w:t>
            </w:r>
          </w:p>
        </w:tc>
        <w:tc>
          <w:tcPr>
            <w:tcW w:w="433" w:type="pct"/>
            <w:noWrap/>
            <w:vAlign w:val="center"/>
          </w:tcPr>
          <w:p w14:paraId="3C2B8604">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1</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000</w:t>
            </w:r>
          </w:p>
        </w:tc>
        <w:tc>
          <w:tcPr>
            <w:tcW w:w="529" w:type="pct"/>
            <w:noWrap/>
            <w:vAlign w:val="center"/>
          </w:tcPr>
          <w:p w14:paraId="20823A9C">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2026</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20</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27</w:t>
            </w:r>
          </w:p>
        </w:tc>
        <w:tc>
          <w:tcPr>
            <w:tcW w:w="653" w:type="pct"/>
            <w:noWrap/>
            <w:vAlign w:val="center"/>
          </w:tcPr>
          <w:p w14:paraId="4213EF30">
            <w:pPr>
              <w:widowControl/>
              <w:shd w:val="clear"/>
              <w:spacing w:line="320" w:lineRule="exact"/>
              <w:jc w:val="center"/>
              <w:textAlignment w:val="center"/>
              <w:rPr>
                <w:rFonts w:hint="eastAsia" w:ascii="Times New Roman" w:hAnsi="Times New Roman" w:eastAsia="仿宋_GB2312" w:cs="Times New Roman"/>
                <w:color w:val="0000FF"/>
                <w:sz w:val="24"/>
                <w:highlight w:val="none"/>
                <w:lang w:eastAsia="zh-CN"/>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w:t>
            </w: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县住房城乡建设局</w:t>
            </w:r>
          </w:p>
        </w:tc>
      </w:tr>
      <w:tr w14:paraId="006B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75" w:type="pct"/>
            <w:vMerge w:val="continue"/>
            <w:noWrap/>
            <w:vAlign w:val="center"/>
          </w:tcPr>
          <w:p w14:paraId="57FAC5BF">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45B6C455">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54</w:t>
            </w:r>
          </w:p>
        </w:tc>
        <w:tc>
          <w:tcPr>
            <w:tcW w:w="810" w:type="pct"/>
            <w:vAlign w:val="center"/>
          </w:tcPr>
          <w:p w14:paraId="15F4A933">
            <w:pPr>
              <w:widowControl/>
              <w:shd w:val="clear"/>
              <w:spacing w:line="320" w:lineRule="exact"/>
              <w:jc w:val="center"/>
              <w:textAlignment w:val="center"/>
              <w:rPr>
                <w:rFonts w:ascii="Times New Roman" w:hAnsi="Times New Roman" w:eastAsia="仿宋_GB2312" w:cs="Times New Roman"/>
                <w:color w:val="0000FF"/>
                <w:sz w:val="24"/>
                <w:highlight w:val="none"/>
              </w:rPr>
            </w:pPr>
            <w:r>
              <w:rPr>
                <w:rFonts w:hint="eastAsia" w:ascii="Times New Roman" w:hAnsi="Times New Roman" w:eastAsia="仿宋_GB2312" w:cs="Times New Roman"/>
                <w:color w:val="000000" w:themeColor="text1"/>
                <w:kern w:val="0"/>
                <w:sz w:val="24"/>
                <w:highlight w:val="none"/>
                <w:lang w:bidi="ar"/>
                <w14:textFill>
                  <w14:solidFill>
                    <w14:schemeClr w14:val="tx1"/>
                  </w14:solidFill>
                </w14:textFill>
              </w:rPr>
              <w:t>阿坝州阿坝县城区高原供氧建设项目（一期）</w:t>
            </w:r>
          </w:p>
        </w:tc>
        <w:tc>
          <w:tcPr>
            <w:tcW w:w="1520" w:type="pct"/>
            <w:vAlign w:val="center"/>
          </w:tcPr>
          <w:p w14:paraId="201C3E04">
            <w:pPr>
              <w:widowControl/>
              <w:shd w:val="clear"/>
              <w:spacing w:line="320" w:lineRule="exact"/>
              <w:jc w:val="center"/>
              <w:textAlignment w:val="center"/>
              <w:rPr>
                <w:rFonts w:ascii="Times New Roman" w:hAnsi="Times New Roman" w:eastAsia="仿宋_GB2312" w:cs="Times New Roman"/>
                <w:color w:val="0000FF"/>
                <w:sz w:val="24"/>
                <w:highlight w:val="none"/>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新增供氧面积50000平方米，采用弥散式供氧，新增供氧管道15000米，新增主机房6个及附属工程。其中检察院4200平方米、新政务中心10700平方米、法院3900平方米、养老院4100平方米、中小学教师宿舍27100平方米。</w:t>
            </w:r>
          </w:p>
        </w:tc>
        <w:tc>
          <w:tcPr>
            <w:tcW w:w="488" w:type="pct"/>
            <w:vAlign w:val="center"/>
          </w:tcPr>
          <w:p w14:paraId="1B531656">
            <w:pPr>
              <w:widowControl/>
              <w:shd w:val="clear"/>
              <w:spacing w:line="320" w:lineRule="exact"/>
              <w:jc w:val="center"/>
              <w:textAlignment w:val="center"/>
              <w:rPr>
                <w:rFonts w:ascii="Times New Roman" w:hAnsi="Times New Roman" w:eastAsia="仿宋_GB2312" w:cs="Times New Roman"/>
                <w:color w:val="0000FF"/>
                <w:sz w:val="24"/>
                <w:highlight w:val="none"/>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阿坝县县城</w:t>
            </w:r>
          </w:p>
        </w:tc>
        <w:tc>
          <w:tcPr>
            <w:tcW w:w="433" w:type="pct"/>
            <w:noWrap/>
            <w:vAlign w:val="center"/>
          </w:tcPr>
          <w:p w14:paraId="273BC944">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3</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000</w:t>
            </w:r>
          </w:p>
        </w:tc>
        <w:tc>
          <w:tcPr>
            <w:tcW w:w="529" w:type="pct"/>
            <w:noWrap/>
            <w:vAlign w:val="center"/>
          </w:tcPr>
          <w:p w14:paraId="343A9FE3">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202</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7-</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20</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28</w:t>
            </w:r>
          </w:p>
        </w:tc>
        <w:tc>
          <w:tcPr>
            <w:tcW w:w="653" w:type="pct"/>
            <w:noWrap/>
            <w:vAlign w:val="center"/>
          </w:tcPr>
          <w:p w14:paraId="10EE3B42">
            <w:pPr>
              <w:widowControl/>
              <w:shd w:val="clear"/>
              <w:spacing w:line="320" w:lineRule="exact"/>
              <w:jc w:val="center"/>
              <w:textAlignment w:val="center"/>
              <w:rPr>
                <w:rFonts w:hint="eastAsia" w:ascii="Times New Roman" w:hAnsi="Times New Roman" w:eastAsia="仿宋_GB2312" w:cs="Times New Roman"/>
                <w:color w:val="0000FF"/>
                <w:sz w:val="24"/>
                <w:highlight w:val="none"/>
                <w:lang w:eastAsia="zh-CN"/>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w:t>
            </w: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县住房城乡建设局</w:t>
            </w:r>
          </w:p>
        </w:tc>
      </w:tr>
      <w:tr w14:paraId="72B4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8" w:hRule="atLeast"/>
          <w:jc w:val="center"/>
        </w:trPr>
        <w:tc>
          <w:tcPr>
            <w:tcW w:w="275" w:type="pct"/>
            <w:vMerge w:val="continue"/>
            <w:noWrap/>
            <w:vAlign w:val="center"/>
          </w:tcPr>
          <w:p w14:paraId="0DC304D4">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096547D8">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t>55</w:t>
            </w:r>
          </w:p>
        </w:tc>
        <w:tc>
          <w:tcPr>
            <w:tcW w:w="810" w:type="pct"/>
            <w:vAlign w:val="center"/>
          </w:tcPr>
          <w:p w14:paraId="496E03B2">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阿坝县县城老旧小区配套基础设施改造项目</w:t>
            </w:r>
          </w:p>
        </w:tc>
        <w:tc>
          <w:tcPr>
            <w:tcW w:w="1520" w:type="pct"/>
            <w:vAlign w:val="center"/>
          </w:tcPr>
          <w:p w14:paraId="0F5C1DE9">
            <w:pPr>
              <w:widowControl/>
              <w:shd w:val="clear"/>
              <w:spacing w:line="320" w:lineRule="exact"/>
              <w:jc w:val="left"/>
              <w:textAlignment w:val="center"/>
              <w:rPr>
                <w:rStyle w:val="24"/>
                <w:rFonts w:hint="default" w:ascii="Times New Roman" w:hAnsi="Times New Roman" w:eastAsia="仿宋_GB2312" w:cs="Times New Roman"/>
                <w:color w:val="000000" w:themeColor="text1"/>
                <w:highlight w:val="none"/>
                <w:lang w:bidi="ar"/>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对阿坝县县城城市体检中住房、小区/社区层级问题整治清单中提到的小区、楼栋进行改造（包括但不限于老计生委、新华书店等）。改造内容包括小区场地硬化、外立面修葺，改造给排水管网、照明、供暖等基础设施，配备汽车充电桩、电动自行车充电等设施等。其中：</w:t>
            </w:r>
          </w:p>
          <w:p w14:paraId="5A65E09A">
            <w:pPr>
              <w:widowControl/>
              <w:shd w:val="clear"/>
              <w:spacing w:line="320" w:lineRule="exact"/>
              <w:jc w:val="left"/>
              <w:textAlignment w:val="center"/>
              <w:rPr>
                <w:rStyle w:val="24"/>
                <w:rFonts w:hint="default" w:ascii="Times New Roman" w:hAnsi="Times New Roman" w:eastAsia="仿宋_GB2312" w:cs="Times New Roman"/>
                <w:color w:val="000000" w:themeColor="text1"/>
                <w:highlight w:val="none"/>
                <w:lang w:bidi="ar"/>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计划2027年对9个老旧小区进行基础设施改造，包括对小区内部进行雨污分流改造、排水管网及附属构筑物提升改造，改造dn400～dn600排水管网约4km，黑化地面6000平方米，地面硬化8000平方米，线路改造、增设充电基础设施等工程。</w:t>
            </w:r>
          </w:p>
          <w:p w14:paraId="7094E99E">
            <w:pPr>
              <w:widowControl/>
              <w:shd w:val="clear"/>
              <w:spacing w:line="320" w:lineRule="exact"/>
              <w:jc w:val="center"/>
              <w:textAlignment w:val="center"/>
              <w:rPr>
                <w:rFonts w:hint="eastAsia" w:ascii="Times New Roman" w:hAnsi="Times New Roman" w:eastAsia="仿宋_GB2312" w:cs="Times New Roman"/>
                <w:color w:val="000000" w:themeColor="text1"/>
                <w:sz w:val="24"/>
                <w:highlight w:val="none"/>
                <w:lang w:eastAsia="zh-CN"/>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计划2029年对7个老旧小区进行基础设施改造，包括对小区内部进行雨污分流改造、排水管网及附属构筑物提升改造，改造dn400～dn600排水管网约2km，黑化地面4000平方米，地面硬化5000平方米，线路改造、增设充电基础设施等零星工程</w:t>
            </w: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w:t>
            </w:r>
          </w:p>
        </w:tc>
        <w:tc>
          <w:tcPr>
            <w:tcW w:w="488" w:type="pct"/>
            <w:vAlign w:val="center"/>
          </w:tcPr>
          <w:p w14:paraId="11B1F460">
            <w:pPr>
              <w:widowControl/>
              <w:shd w:val="clear"/>
              <w:spacing w:line="320" w:lineRule="exact"/>
              <w:jc w:val="center"/>
              <w:textAlignment w:val="center"/>
              <w:rPr>
                <w:rFonts w:ascii="Times New Roman" w:hAnsi="Times New Roman" w:eastAsia="仿宋_GB2312" w:cs="Times New Roman"/>
                <w:color w:val="0000FF"/>
                <w:sz w:val="24"/>
                <w:highlight w:val="none"/>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阿坝县县城</w:t>
            </w:r>
          </w:p>
        </w:tc>
        <w:tc>
          <w:tcPr>
            <w:tcW w:w="433" w:type="pct"/>
            <w:vAlign w:val="center"/>
          </w:tcPr>
          <w:p w14:paraId="4C85364F">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6000</w:t>
            </w:r>
          </w:p>
        </w:tc>
        <w:tc>
          <w:tcPr>
            <w:tcW w:w="529" w:type="pct"/>
            <w:vAlign w:val="center"/>
          </w:tcPr>
          <w:p w14:paraId="6C34A1B5">
            <w:pPr>
              <w:widowControl/>
              <w:shd w:val="clear"/>
              <w:spacing w:line="320" w:lineRule="exact"/>
              <w:jc w:val="center"/>
              <w:textAlignment w:val="cente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202</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7-</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202</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9</w:t>
            </w:r>
          </w:p>
        </w:tc>
        <w:tc>
          <w:tcPr>
            <w:tcW w:w="653" w:type="pct"/>
            <w:noWrap/>
            <w:vAlign w:val="center"/>
          </w:tcPr>
          <w:p w14:paraId="29F114D8">
            <w:pPr>
              <w:widowControl/>
              <w:shd w:val="clear"/>
              <w:spacing w:line="320" w:lineRule="exact"/>
              <w:jc w:val="center"/>
              <w:textAlignment w:val="center"/>
              <w:rPr>
                <w:rFonts w:hint="eastAsia" w:ascii="Times New Roman" w:hAnsi="Times New Roman" w:eastAsia="仿宋_GB2312" w:cs="Times New Roman"/>
                <w:color w:val="0000FF"/>
                <w:sz w:val="24"/>
                <w:highlight w:val="none"/>
                <w:lang w:eastAsia="zh-CN"/>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w:t>
            </w: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县住房城乡建设局</w:t>
            </w:r>
          </w:p>
        </w:tc>
      </w:tr>
      <w:tr w14:paraId="1EC1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275" w:type="pct"/>
            <w:vMerge w:val="continue"/>
            <w:noWrap/>
            <w:vAlign w:val="center"/>
          </w:tcPr>
          <w:p w14:paraId="0C896873">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50CDC572">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t>56</w:t>
            </w:r>
          </w:p>
        </w:tc>
        <w:tc>
          <w:tcPr>
            <w:tcW w:w="810" w:type="pct"/>
            <w:vAlign w:val="center"/>
          </w:tcPr>
          <w:p w14:paraId="625543ED">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sz w:val="24"/>
                <w:highlight w:val="none"/>
                <w14:textFill>
                  <w14:solidFill>
                    <w14:schemeClr w14:val="tx1"/>
                  </w14:solidFill>
                </w14:textFill>
              </w:rPr>
              <w:t>阿坝县中学建设项目</w:t>
            </w:r>
          </w:p>
        </w:tc>
        <w:tc>
          <w:tcPr>
            <w:tcW w:w="1520" w:type="pct"/>
            <w:vAlign w:val="center"/>
          </w:tcPr>
          <w:p w14:paraId="38B4B865">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新建科创楼2224平方米，新建学生食堂1366平方米，学生宿舍4410平方米及附属，新建体育场地9000平方米及附属，解决阿坝县中学教学用房、宿舍、体育场地不足问题。</w:t>
            </w:r>
          </w:p>
        </w:tc>
        <w:tc>
          <w:tcPr>
            <w:tcW w:w="488" w:type="pct"/>
            <w:noWrap/>
            <w:vAlign w:val="center"/>
          </w:tcPr>
          <w:p w14:paraId="4F1C323E">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阿坝县县城</w:t>
            </w:r>
          </w:p>
        </w:tc>
        <w:tc>
          <w:tcPr>
            <w:tcW w:w="433" w:type="pct"/>
            <w:noWrap/>
            <w:vAlign w:val="center"/>
          </w:tcPr>
          <w:p w14:paraId="291A00EF">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4500</w:t>
            </w:r>
          </w:p>
        </w:tc>
        <w:tc>
          <w:tcPr>
            <w:tcW w:w="529" w:type="pct"/>
            <w:noWrap/>
            <w:vAlign w:val="center"/>
          </w:tcPr>
          <w:p w14:paraId="34F63E5A">
            <w:pPr>
              <w:widowControl/>
              <w:shd w:val="clear"/>
              <w:spacing w:line="320" w:lineRule="exact"/>
              <w:jc w:val="center"/>
              <w:textAlignment w:val="cente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2026</w:t>
            </w:r>
          </w:p>
        </w:tc>
        <w:tc>
          <w:tcPr>
            <w:tcW w:w="653" w:type="pct"/>
            <w:noWrap/>
            <w:vAlign w:val="center"/>
          </w:tcPr>
          <w:p w14:paraId="5FFDAA31">
            <w:pPr>
              <w:widowControl/>
              <w:shd w:val="clear"/>
              <w:spacing w:line="320" w:lineRule="exact"/>
              <w:jc w:val="center"/>
              <w:textAlignment w:val="center"/>
              <w:rPr>
                <w:rFonts w:hint="eastAsia" w:ascii="Times New Roman" w:hAnsi="Times New Roman" w:eastAsia="仿宋_GB2312" w:cs="Times New Roman"/>
                <w:color w:val="0000FF"/>
                <w:sz w:val="24"/>
                <w:highlight w:val="none"/>
                <w:lang w:eastAsia="zh-CN"/>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w:t>
            </w: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县</w:t>
            </w: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教育</w:t>
            </w: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局</w:t>
            </w:r>
          </w:p>
        </w:tc>
      </w:tr>
      <w:tr w14:paraId="5F65E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275" w:type="pct"/>
            <w:vMerge w:val="continue"/>
            <w:noWrap/>
            <w:vAlign w:val="center"/>
          </w:tcPr>
          <w:p w14:paraId="165B9A49">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301C1E1A">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t>57</w:t>
            </w:r>
          </w:p>
        </w:tc>
        <w:tc>
          <w:tcPr>
            <w:tcW w:w="810" w:type="pct"/>
            <w:vAlign w:val="center"/>
          </w:tcPr>
          <w:p w14:paraId="57365619">
            <w:pPr>
              <w:widowControl/>
              <w:shd w:val="clear"/>
              <w:spacing w:line="320" w:lineRule="exact"/>
              <w:jc w:val="center"/>
              <w:textAlignment w:val="center"/>
              <w:rPr>
                <w:rFonts w:ascii="Times New Roman" w:hAnsi="Times New Roman" w:eastAsia="仿宋_GB2312" w:cs="Times New Roman"/>
                <w:color w:val="0000FF"/>
                <w:sz w:val="24"/>
                <w:highlight w:val="none"/>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阿坝县阿坝镇第二幼儿园建设项目</w:t>
            </w:r>
          </w:p>
        </w:tc>
        <w:tc>
          <w:tcPr>
            <w:tcW w:w="1520" w:type="pct"/>
            <w:vAlign w:val="center"/>
          </w:tcPr>
          <w:p w14:paraId="40983441">
            <w:pPr>
              <w:widowControl/>
              <w:shd w:val="clear"/>
              <w:spacing w:line="320" w:lineRule="exact"/>
              <w:jc w:val="center"/>
              <w:textAlignment w:val="center"/>
              <w:rPr>
                <w:rFonts w:hint="eastAsia" w:ascii="Times New Roman" w:hAnsi="Times New Roman" w:eastAsia="仿宋_GB2312" w:cs="Times New Roman"/>
                <w:color w:val="000000" w:themeColor="text1"/>
                <w:sz w:val="24"/>
                <w:highlight w:val="none"/>
                <w:lang w:eastAsia="zh-CN"/>
                <w14:textFill>
                  <w14:solidFill>
                    <w14:schemeClr w14:val="tx1"/>
                  </w14:solidFill>
                </w14:textFill>
              </w:rPr>
            </w:pP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新建幼儿园教学及活动用房7000m</w:t>
            </w:r>
            <w:r>
              <w:rPr>
                <w:rStyle w:val="24"/>
                <w:rFonts w:hint="eastAsia" w:ascii="Times New Roman" w:hAnsi="Times New Roman" w:eastAsia="仿宋_GB2312" w:cs="Times New Roman"/>
                <w:color w:val="000000" w:themeColor="text1"/>
                <w:highlight w:val="none"/>
                <w:vertAlign w:val="superscript"/>
                <w:lang w:val="en-US" w:eastAsia="zh-CN" w:bidi="ar"/>
                <w14:textFill>
                  <w14:solidFill>
                    <w14:schemeClr w14:val="tx1"/>
                  </w14:solidFill>
                </w14:textFill>
              </w:rPr>
              <w:t>2</w:t>
            </w: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，室外游戏场地及活动场地5000m</w:t>
            </w:r>
            <w:r>
              <w:rPr>
                <w:rStyle w:val="24"/>
                <w:rFonts w:hint="eastAsia" w:ascii="Times New Roman" w:hAnsi="Times New Roman" w:eastAsia="仿宋_GB2312" w:cs="Times New Roman"/>
                <w:color w:val="000000" w:themeColor="text1"/>
                <w:highlight w:val="none"/>
                <w:vertAlign w:val="superscript"/>
                <w:lang w:val="en-US" w:eastAsia="zh-CN" w:bidi="ar"/>
                <w14:textFill>
                  <w14:solidFill>
                    <w14:schemeClr w14:val="tx1"/>
                  </w14:solidFill>
                </w14:textFill>
              </w:rPr>
              <w:t>2</w:t>
            </w: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，60套教师周转宿舍3600m</w:t>
            </w:r>
            <w:r>
              <w:rPr>
                <w:rStyle w:val="24"/>
                <w:rFonts w:hint="eastAsia" w:ascii="Times New Roman" w:hAnsi="Times New Roman" w:eastAsia="仿宋_GB2312" w:cs="Times New Roman"/>
                <w:color w:val="000000" w:themeColor="text1"/>
                <w:highlight w:val="none"/>
                <w:vertAlign w:val="superscript"/>
                <w:lang w:val="en-US" w:eastAsia="zh-CN" w:bidi="ar"/>
                <w14:textFill>
                  <w14:solidFill>
                    <w14:schemeClr w14:val="tx1"/>
                  </w14:solidFill>
                </w14:textFill>
              </w:rPr>
              <w:t>2</w:t>
            </w: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，学生食堂1500m</w:t>
            </w:r>
            <w:r>
              <w:rPr>
                <w:rStyle w:val="24"/>
                <w:rFonts w:hint="eastAsia" w:ascii="Times New Roman" w:hAnsi="Times New Roman" w:eastAsia="仿宋_GB2312" w:cs="Times New Roman"/>
                <w:color w:val="000000" w:themeColor="text1"/>
                <w:highlight w:val="none"/>
                <w:vertAlign w:val="superscript"/>
                <w:lang w:val="en-US" w:eastAsia="zh-CN" w:bidi="ar"/>
                <w14:textFill>
                  <w14:solidFill>
                    <w14:schemeClr w14:val="tx1"/>
                  </w14:solidFill>
                </w14:textFill>
              </w:rPr>
              <w:t>2</w:t>
            </w: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，规划新建可容纳1200人风雨球场3000m</w:t>
            </w:r>
            <w:r>
              <w:rPr>
                <w:rStyle w:val="24"/>
                <w:rFonts w:hint="eastAsia" w:ascii="Times New Roman" w:hAnsi="Times New Roman" w:eastAsia="仿宋_GB2312" w:cs="Times New Roman"/>
                <w:color w:val="000000" w:themeColor="text1"/>
                <w:highlight w:val="none"/>
                <w:vertAlign w:val="superscript"/>
                <w:lang w:val="en-US" w:eastAsia="zh-CN" w:bidi="ar"/>
                <w14:textFill>
                  <w14:solidFill>
                    <w14:schemeClr w14:val="tx1"/>
                  </w14:solidFill>
                </w14:textFill>
              </w:rPr>
              <w:t>2</w:t>
            </w:r>
            <w:r>
              <w:rPr>
                <w:rStyle w:val="24"/>
                <w:rFonts w:hint="default" w:ascii="Times New Roman" w:hAnsi="Times New Roman" w:eastAsia="仿宋_GB2312" w:cs="Times New Roman"/>
                <w:color w:val="000000" w:themeColor="text1"/>
                <w:highlight w:val="none"/>
                <w:lang w:bidi="ar"/>
                <w14:textFill>
                  <w14:solidFill>
                    <w14:schemeClr w14:val="tx1"/>
                  </w14:solidFill>
                </w14:textFill>
              </w:rPr>
              <w:t>及配套附属设施，600米围墙及大门及配套附属设施等；幼教设施设备、小学教学仪器设备、寄宿制学生床上用品、食堂设施设备等，增加学位供给，缓解入园压力</w:t>
            </w: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w:t>
            </w:r>
          </w:p>
        </w:tc>
        <w:tc>
          <w:tcPr>
            <w:tcW w:w="488" w:type="pct"/>
            <w:noWrap/>
            <w:vAlign w:val="center"/>
          </w:tcPr>
          <w:p w14:paraId="5662BE5A">
            <w:pPr>
              <w:widowControl/>
              <w:shd w:val="clear"/>
              <w:spacing w:line="320" w:lineRule="exact"/>
              <w:jc w:val="center"/>
              <w:textAlignment w:val="center"/>
              <w:rPr>
                <w:rFonts w:hint="default" w:ascii="Times New Roman" w:hAnsi="Times New Roman" w:eastAsia="仿宋_GB2312" w:cs="Times New Roman"/>
                <w:color w:val="0000FF"/>
                <w:sz w:val="24"/>
                <w:highlight w:val="none"/>
                <w:lang w:val="en-US" w:eastAsia="zh-CN"/>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阿坝县县城</w:t>
            </w:r>
          </w:p>
        </w:tc>
        <w:tc>
          <w:tcPr>
            <w:tcW w:w="433" w:type="pct"/>
            <w:noWrap/>
            <w:vAlign w:val="center"/>
          </w:tcPr>
          <w:p w14:paraId="321405E9">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9065</w:t>
            </w:r>
          </w:p>
        </w:tc>
        <w:tc>
          <w:tcPr>
            <w:tcW w:w="529" w:type="pct"/>
            <w:noWrap/>
            <w:vAlign w:val="center"/>
          </w:tcPr>
          <w:p w14:paraId="67EF2F69">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202</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9</w:t>
            </w:r>
          </w:p>
        </w:tc>
        <w:tc>
          <w:tcPr>
            <w:tcW w:w="653" w:type="pct"/>
            <w:noWrap/>
            <w:vAlign w:val="center"/>
          </w:tcPr>
          <w:p w14:paraId="35DC1F09">
            <w:pPr>
              <w:widowControl/>
              <w:shd w:val="clear"/>
              <w:spacing w:line="320" w:lineRule="exact"/>
              <w:jc w:val="center"/>
              <w:textAlignment w:val="center"/>
              <w:rPr>
                <w:rFonts w:hint="eastAsia" w:ascii="Times New Roman" w:hAnsi="Times New Roman" w:eastAsia="仿宋_GB2312" w:cs="Times New Roman"/>
                <w:color w:val="0000FF"/>
                <w:sz w:val="24"/>
                <w:highlight w:val="none"/>
                <w:lang w:eastAsia="zh-CN"/>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w:t>
            </w: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县</w:t>
            </w: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教育</w:t>
            </w:r>
            <w: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t>局</w:t>
            </w:r>
          </w:p>
        </w:tc>
      </w:tr>
      <w:tr w14:paraId="1647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275" w:type="pct"/>
            <w:vMerge w:val="continue"/>
            <w:noWrap/>
            <w:vAlign w:val="center"/>
          </w:tcPr>
          <w:p w14:paraId="3C7939DC">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658803D5">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t>58</w:t>
            </w:r>
          </w:p>
        </w:tc>
        <w:tc>
          <w:tcPr>
            <w:tcW w:w="810" w:type="pct"/>
            <w:shd w:val="clear" w:color="auto" w:fill="auto"/>
            <w:vAlign w:val="center"/>
          </w:tcPr>
          <w:p w14:paraId="419F1589">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阿坝县县域医共体建设项目</w:t>
            </w:r>
          </w:p>
        </w:tc>
        <w:tc>
          <w:tcPr>
            <w:tcW w:w="1520" w:type="pct"/>
            <w:shd w:val="clear" w:color="auto" w:fill="auto"/>
            <w:vAlign w:val="center"/>
          </w:tcPr>
          <w:p w14:paraId="7BBEC66E">
            <w:pPr>
              <w:widowControl/>
              <w:shd w:val="clear"/>
              <w:spacing w:line="320" w:lineRule="exact"/>
              <w:jc w:val="center"/>
              <w:textAlignment w:val="center"/>
              <w:rPr>
                <w:rStyle w:val="24"/>
                <w:rFonts w:hint="eastAsia" w:ascii="Times New Roman" w:hAnsi="Times New Roman" w:eastAsia="仿宋_GB2312" w:cs="Times New Roman"/>
                <w:color w:val="000000" w:themeColor="text1"/>
                <w:highlight w:val="none"/>
                <w:lang w:eastAsia="zh-CN"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包括：一、医共体影像中心，心电中心，检验中心（覆盖县医院、乡镇卫生院）医疗设备购置及信息化传输建设。二、医共体远程诊疗信息系统建设（覆盖县医院和乡镇卫生院）。三、医共体县医院、乡镇卫生院业务用房维修改造。（1、基建部分：总建筑面积19360平方米，其中牵头医院建筑面积11620平方米/相关基层医疗机构建筑面积7740平方米。2、购置设备明细：牵头医院132台件；各相关基层医疗机构85台(套)。）</w:t>
            </w:r>
          </w:p>
        </w:tc>
        <w:tc>
          <w:tcPr>
            <w:tcW w:w="488" w:type="pct"/>
            <w:shd w:val="clear" w:color="auto" w:fill="auto"/>
            <w:vAlign w:val="center"/>
          </w:tcPr>
          <w:p w14:paraId="7D1D219D">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阿坝县人民医院及17个乡镇卫生院</w:t>
            </w:r>
          </w:p>
        </w:tc>
        <w:tc>
          <w:tcPr>
            <w:tcW w:w="433" w:type="pct"/>
            <w:shd w:val="clear" w:color="auto" w:fill="auto"/>
            <w:vAlign w:val="center"/>
          </w:tcPr>
          <w:p w14:paraId="230E07BE">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49</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00</w:t>
            </w:r>
          </w:p>
        </w:tc>
        <w:tc>
          <w:tcPr>
            <w:tcW w:w="529" w:type="pct"/>
            <w:noWrap/>
            <w:vAlign w:val="center"/>
          </w:tcPr>
          <w:p w14:paraId="58029DF8">
            <w:pPr>
              <w:widowControl/>
              <w:shd w:val="clear"/>
              <w:spacing w:line="320" w:lineRule="exact"/>
              <w:jc w:val="center"/>
              <w:textAlignment w:val="cente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2026</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20</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27</w:t>
            </w:r>
          </w:p>
        </w:tc>
        <w:tc>
          <w:tcPr>
            <w:tcW w:w="653" w:type="pct"/>
            <w:noWrap/>
            <w:vAlign w:val="center"/>
          </w:tcPr>
          <w:p w14:paraId="76808290">
            <w:pPr>
              <w:widowControl/>
              <w:shd w:val="clear"/>
              <w:spacing w:line="320" w:lineRule="exact"/>
              <w:jc w:val="center"/>
              <w:textAlignment w:val="center"/>
              <w:rPr>
                <w:rFonts w:hint="eastAsia" w:ascii="Times New Roman" w:hAnsi="Times New Roman" w:eastAsia="仿宋_GB2312" w:cs="Times New Roman"/>
                <w:color w:val="000000" w:themeColor="text1"/>
                <w:sz w:val="24"/>
                <w:highlight w:val="none"/>
                <w:lang w:eastAsia="zh-CN"/>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阿坝县人民医院</w:t>
            </w:r>
          </w:p>
        </w:tc>
      </w:tr>
      <w:tr w14:paraId="79F3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jc w:val="center"/>
        </w:trPr>
        <w:tc>
          <w:tcPr>
            <w:tcW w:w="275" w:type="pct"/>
            <w:vMerge w:val="continue"/>
            <w:noWrap/>
            <w:vAlign w:val="center"/>
          </w:tcPr>
          <w:p w14:paraId="0C559B5D">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388DC758">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t>59</w:t>
            </w:r>
          </w:p>
        </w:tc>
        <w:tc>
          <w:tcPr>
            <w:tcW w:w="810" w:type="pct"/>
            <w:shd w:val="clear" w:color="auto" w:fill="auto"/>
            <w:vAlign w:val="center"/>
          </w:tcPr>
          <w:p w14:paraId="0C67F86C">
            <w:pPr>
              <w:widowControl/>
              <w:shd w:val="clear"/>
              <w:spacing w:line="320" w:lineRule="exact"/>
              <w:jc w:val="center"/>
              <w:textAlignment w:val="center"/>
              <w:rPr>
                <w:rStyle w:val="24"/>
                <w:rFonts w:hint="default" w:ascii="Times New Roman" w:hAnsi="Times New Roman" w:eastAsia="仿宋_GB2312" w:cs="Times New Roman"/>
                <w:color w:val="000000" w:themeColor="text1"/>
                <w:highlight w:val="none"/>
                <w:lang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阿坝县医疗机构信息化设施改造升级项目</w:t>
            </w:r>
          </w:p>
        </w:tc>
        <w:tc>
          <w:tcPr>
            <w:tcW w:w="1520" w:type="pct"/>
            <w:shd w:val="clear" w:color="auto" w:fill="auto"/>
            <w:vAlign w:val="center"/>
          </w:tcPr>
          <w:p w14:paraId="5341B795">
            <w:pPr>
              <w:widowControl/>
              <w:shd w:val="clear"/>
              <w:spacing w:line="320" w:lineRule="exact"/>
              <w:jc w:val="center"/>
              <w:textAlignment w:val="cente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在标准、安全和运维三大体系支撑下，通过建设县、乡、村一体化的医共体集成平台，实现医共体各成员单位之间的互联互通和业务协同。建设一体化的业务协同系统，建立基本医疗服务、预约诊疗服务、双向转诊服务、远程会诊、区域影像平台、区域检验平台、区域心电平台等协同服务或协同系统，实现县乡村三级医疗协同服务。建设医共体综合管理系统，实现对医共体运营状态监督管理，辅助医共体管理人员决策。</w:t>
            </w:r>
          </w:p>
        </w:tc>
        <w:tc>
          <w:tcPr>
            <w:tcW w:w="488" w:type="pct"/>
            <w:shd w:val="clear" w:color="auto" w:fill="auto"/>
            <w:vAlign w:val="center"/>
          </w:tcPr>
          <w:p w14:paraId="3A94E422">
            <w:pPr>
              <w:widowControl/>
              <w:shd w:val="clear"/>
              <w:spacing w:line="320" w:lineRule="exact"/>
              <w:jc w:val="center"/>
              <w:textAlignment w:val="cente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阿坝县人民医院及17个乡镇卫生院</w:t>
            </w:r>
          </w:p>
        </w:tc>
        <w:tc>
          <w:tcPr>
            <w:tcW w:w="433" w:type="pct"/>
            <w:shd w:val="clear" w:color="auto" w:fill="auto"/>
            <w:vAlign w:val="center"/>
          </w:tcPr>
          <w:p w14:paraId="4FF82CF2">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35</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00</w:t>
            </w:r>
          </w:p>
        </w:tc>
        <w:tc>
          <w:tcPr>
            <w:tcW w:w="529" w:type="pct"/>
            <w:noWrap/>
            <w:vAlign w:val="center"/>
          </w:tcPr>
          <w:p w14:paraId="535D8C4E">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ascii="Times New Roman" w:hAnsi="Times New Roman" w:eastAsia="仿宋_GB2312" w:cs="Times New Roman"/>
                <w:color w:val="000000" w:themeColor="text1"/>
                <w:kern w:val="0"/>
                <w:sz w:val="24"/>
                <w:highlight w:val="none"/>
                <w:lang w:bidi="ar"/>
                <w14:textFill>
                  <w14:solidFill>
                    <w14:schemeClr w14:val="tx1"/>
                  </w14:solidFill>
                </w14:textFill>
              </w:rPr>
              <w:t>202</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7-</w:t>
            </w:r>
            <w:r>
              <w:rPr>
                <w:rFonts w:ascii="Times New Roman" w:hAnsi="Times New Roman" w:eastAsia="仿宋_GB2312" w:cs="Times New Roman"/>
                <w:color w:val="000000" w:themeColor="text1"/>
                <w:kern w:val="0"/>
                <w:sz w:val="24"/>
                <w:highlight w:val="none"/>
                <w:lang w:bidi="ar"/>
                <w14:textFill>
                  <w14:solidFill>
                    <w14:schemeClr w14:val="tx1"/>
                  </w14:solidFill>
                </w14:textFill>
              </w:rPr>
              <w:t>20</w:t>
            </w: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29</w:t>
            </w:r>
          </w:p>
        </w:tc>
        <w:tc>
          <w:tcPr>
            <w:tcW w:w="653" w:type="pct"/>
            <w:noWrap/>
            <w:vAlign w:val="center"/>
          </w:tcPr>
          <w:p w14:paraId="55401C12">
            <w:pPr>
              <w:widowControl/>
              <w:shd w:val="clear"/>
              <w:spacing w:line="320" w:lineRule="exact"/>
              <w:jc w:val="center"/>
              <w:textAlignment w:val="cente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阿坝县人民医院</w:t>
            </w:r>
          </w:p>
        </w:tc>
      </w:tr>
      <w:tr w14:paraId="1A4A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275" w:type="pct"/>
            <w:vMerge w:val="continue"/>
            <w:noWrap/>
            <w:vAlign w:val="center"/>
          </w:tcPr>
          <w:p w14:paraId="0B402AFB">
            <w:pPr>
              <w:widowControl/>
              <w:shd w:val="clear"/>
              <w:spacing w:line="320" w:lineRule="exact"/>
              <w:rPr>
                <w:rFonts w:ascii="Times New Roman" w:hAnsi="Times New Roman" w:eastAsia="仿宋_GB2312" w:cs="Times New Roman"/>
                <w:color w:val="0000FF"/>
                <w:sz w:val="24"/>
                <w:highlight w:val="none"/>
              </w:rPr>
            </w:pPr>
          </w:p>
        </w:tc>
        <w:tc>
          <w:tcPr>
            <w:tcW w:w="288" w:type="pct"/>
            <w:shd w:val="clear" w:color="auto" w:fill="auto"/>
            <w:vAlign w:val="center"/>
          </w:tcPr>
          <w:p w14:paraId="78C12EED">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t>60</w:t>
            </w:r>
          </w:p>
        </w:tc>
        <w:tc>
          <w:tcPr>
            <w:tcW w:w="810" w:type="pct"/>
            <w:shd w:val="clear" w:color="auto" w:fill="auto"/>
            <w:vAlign w:val="center"/>
          </w:tcPr>
          <w:p w14:paraId="4C27B156">
            <w:pPr>
              <w:widowControl/>
              <w:shd w:val="clear"/>
              <w:spacing w:line="320" w:lineRule="exact"/>
              <w:jc w:val="center"/>
              <w:textAlignment w:val="center"/>
              <w:rPr>
                <w:rStyle w:val="24"/>
                <w:rFonts w:hint="default" w:ascii="Times New Roman" w:hAnsi="Times New Roman" w:eastAsia="仿宋_GB2312" w:cs="Times New Roman"/>
                <w:color w:val="000000" w:themeColor="text1"/>
                <w:highlight w:val="none"/>
                <w:lang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阿坝县社会福利服务中心维修改造项目</w:t>
            </w:r>
          </w:p>
        </w:tc>
        <w:tc>
          <w:tcPr>
            <w:tcW w:w="1520" w:type="pct"/>
            <w:shd w:val="clear" w:color="auto" w:fill="auto"/>
            <w:vAlign w:val="center"/>
          </w:tcPr>
          <w:p w14:paraId="6D4920FF">
            <w:pPr>
              <w:widowControl/>
              <w:shd w:val="clear"/>
              <w:spacing w:line="320" w:lineRule="exact"/>
              <w:jc w:val="center"/>
              <w:textAlignment w:val="cente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按照每张床位2万元的标准进行水电、室内维修改造等；按照每张床位1万元的标准采购护理型床、桌椅、衣柜、相关配套电器等。</w:t>
            </w:r>
          </w:p>
        </w:tc>
        <w:tc>
          <w:tcPr>
            <w:tcW w:w="488" w:type="pct"/>
            <w:shd w:val="clear" w:color="auto" w:fill="auto"/>
            <w:vAlign w:val="center"/>
          </w:tcPr>
          <w:p w14:paraId="64460A86">
            <w:pPr>
              <w:widowControl/>
              <w:shd w:val="clear"/>
              <w:spacing w:line="320" w:lineRule="exact"/>
              <w:jc w:val="center"/>
              <w:textAlignment w:val="cente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阿坝县县城</w:t>
            </w:r>
          </w:p>
        </w:tc>
        <w:tc>
          <w:tcPr>
            <w:tcW w:w="433" w:type="pct"/>
            <w:shd w:val="clear" w:color="auto" w:fill="auto"/>
            <w:vAlign w:val="center"/>
          </w:tcPr>
          <w:p w14:paraId="739A2ABA">
            <w:pPr>
              <w:widowControl/>
              <w:shd w:val="clear"/>
              <w:spacing w:line="320" w:lineRule="exact"/>
              <w:jc w:val="center"/>
              <w:textAlignment w:val="center"/>
              <w:rPr>
                <w:rFonts w:ascii="Times New Roman" w:hAnsi="Times New Roman" w:eastAsia="仿宋_GB2312" w:cs="Times New Roman"/>
                <w:color w:val="000000" w:themeColor="text1"/>
                <w:sz w:val="24"/>
                <w:highlight w:val="none"/>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450</w:t>
            </w:r>
          </w:p>
        </w:tc>
        <w:tc>
          <w:tcPr>
            <w:tcW w:w="529" w:type="pct"/>
            <w:noWrap/>
            <w:vAlign w:val="center"/>
          </w:tcPr>
          <w:p w14:paraId="6D462CBD">
            <w:pPr>
              <w:widowControl/>
              <w:shd w:val="clear"/>
              <w:spacing w:line="320" w:lineRule="exact"/>
              <w:jc w:val="center"/>
              <w:textAlignment w:val="center"/>
              <w:rPr>
                <w:rFonts w:hint="default" w:ascii="Times New Roman" w:hAnsi="Times New Roman" w:eastAsia="仿宋_GB2312"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2027-2028</w:t>
            </w:r>
          </w:p>
        </w:tc>
        <w:tc>
          <w:tcPr>
            <w:tcW w:w="653" w:type="pct"/>
            <w:noWrap/>
            <w:vAlign w:val="center"/>
          </w:tcPr>
          <w:p w14:paraId="1BA9E6D1">
            <w:pPr>
              <w:widowControl/>
              <w:shd w:val="clear"/>
              <w:spacing w:line="320" w:lineRule="exact"/>
              <w:jc w:val="center"/>
              <w:textAlignment w:val="cente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pPr>
            <w: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阿坝县民政局</w:t>
            </w:r>
          </w:p>
        </w:tc>
      </w:tr>
      <w:tr w14:paraId="25C2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75" w:type="pct"/>
            <w:vMerge w:val="restart"/>
            <w:noWrap/>
            <w:vAlign w:val="center"/>
          </w:tcPr>
          <w:p w14:paraId="010BB543">
            <w:pPr>
              <w:widowControl/>
              <w:shd w:val="clear"/>
              <w:spacing w:line="320" w:lineRule="exact"/>
              <w:rPr>
                <w:rFonts w:hint="default" w:ascii="Times New Roman" w:hAnsi="Times New Roman" w:eastAsia="仿宋_GB2312" w:cs="Times New Roman"/>
                <w:color w:val="0000FF"/>
                <w:sz w:val="24"/>
                <w:highlight w:val="none"/>
                <w:lang w:val="en-US" w:eastAsia="zh-CN"/>
              </w:rPr>
            </w:pPr>
            <w:r>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t>宜人安全环境</w:t>
            </w:r>
          </w:p>
        </w:tc>
        <w:tc>
          <w:tcPr>
            <w:tcW w:w="288" w:type="pct"/>
            <w:shd w:val="clear" w:color="auto" w:fill="auto"/>
            <w:vAlign w:val="center"/>
          </w:tcPr>
          <w:p w14:paraId="2F64195A">
            <w:pPr>
              <w:widowControl/>
              <w:shd w:val="clear"/>
              <w:spacing w:line="320" w:lineRule="exact"/>
              <w:jc w:val="center"/>
              <w:textAlignment w:val="center"/>
              <w:rPr>
                <w:rFonts w:hint="default"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24"/>
                <w:szCs w:val="24"/>
                <w:highlight w:val="none"/>
                <w:lang w:val="en-US" w:eastAsia="zh-CN" w:bidi="ar-SA"/>
                <w14:textFill>
                  <w14:solidFill>
                    <w14:schemeClr w14:val="tx1"/>
                  </w14:solidFill>
                </w14:textFill>
              </w:rPr>
              <w:t>61</w:t>
            </w:r>
          </w:p>
        </w:tc>
        <w:tc>
          <w:tcPr>
            <w:tcW w:w="810" w:type="pct"/>
            <w:shd w:val="clear" w:color="auto" w:fill="auto"/>
            <w:vAlign w:val="center"/>
          </w:tcPr>
          <w:p w14:paraId="3966F8B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阿坝县湿地生态监测感知设备建设项目</w:t>
            </w:r>
          </w:p>
        </w:tc>
        <w:tc>
          <w:tcPr>
            <w:tcW w:w="1520" w:type="pct"/>
            <w:shd w:val="clear" w:color="auto" w:fill="auto"/>
            <w:vAlign w:val="center"/>
          </w:tcPr>
          <w:p w14:paraId="2809F053">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1）租用遥感卫星监测服务，以高清影像、倾斜摄影、高光谱卫星影像等多种方式，采集湿地全域生态情况，通过周期性采集掌握全域整体生态变化情况。（2）购买特种无人机设备2套，无人机车载平台一套，用于监测重点区域内生态变化情况及日常巡护，如生态修复工作过程中的周期巡护，生态旅游景区内的生态监测。（3）新建多套感知设备，包括水文监测8套、生物多样性监测11套、大气环境监测7套、气象监测7套等各类型设备，其中水文、生物多样性监测设备中包括视频监控摄像头共计19套。（4）黑颈鹤监测平台建设及维护。</w:t>
            </w:r>
          </w:p>
        </w:tc>
        <w:tc>
          <w:tcPr>
            <w:tcW w:w="488" w:type="pct"/>
            <w:shd w:val="clear" w:color="auto" w:fill="auto"/>
            <w:vAlign w:val="center"/>
          </w:tcPr>
          <w:p w14:paraId="193D9A3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Style w:val="24"/>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保护区内</w:t>
            </w:r>
          </w:p>
        </w:tc>
        <w:tc>
          <w:tcPr>
            <w:tcW w:w="433" w:type="pct"/>
            <w:shd w:val="clear" w:color="auto" w:fill="auto"/>
            <w:vAlign w:val="center"/>
          </w:tcPr>
          <w:p w14:paraId="288D5CD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7500</w:t>
            </w:r>
          </w:p>
        </w:tc>
        <w:tc>
          <w:tcPr>
            <w:tcW w:w="529" w:type="pct"/>
            <w:shd w:val="clear" w:color="auto" w:fill="auto"/>
            <w:noWrap/>
            <w:vAlign w:val="center"/>
          </w:tcPr>
          <w:p w14:paraId="093722B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2028-2030</w:t>
            </w:r>
          </w:p>
        </w:tc>
        <w:tc>
          <w:tcPr>
            <w:tcW w:w="653" w:type="pct"/>
            <w:shd w:val="clear" w:color="auto" w:fill="auto"/>
            <w:noWrap/>
            <w:vAlign w:val="center"/>
          </w:tcPr>
          <w:p w14:paraId="42E23003">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Style w:val="24"/>
                <w:rFonts w:hint="default" w:ascii="Times New Roman" w:hAnsi="Times New Roman" w:eastAsia="仿宋_GB2312" w:cs="Times New Roman"/>
                <w:color w:val="000000" w:themeColor="text1"/>
                <w:highlight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52A5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75" w:type="pct"/>
            <w:vMerge w:val="continue"/>
            <w:noWrap/>
            <w:vAlign w:val="center"/>
          </w:tcPr>
          <w:p w14:paraId="11DA747C">
            <w:pPr>
              <w:widowControl/>
              <w:shd w:val="clear"/>
              <w:spacing w:line="320" w:lineRule="exact"/>
              <w:rPr>
                <w:rFonts w:hint="default" w:ascii="Times New Roman" w:hAnsi="Times New Roman" w:eastAsia="仿宋_GB2312" w:cs="Times New Roman"/>
                <w:color w:val="0000FF"/>
                <w:sz w:val="24"/>
                <w:highlight w:val="none"/>
                <w:lang w:val="en-US" w:eastAsia="zh-CN"/>
              </w:rPr>
            </w:pPr>
          </w:p>
        </w:tc>
        <w:tc>
          <w:tcPr>
            <w:tcW w:w="288" w:type="pct"/>
            <w:shd w:val="clear" w:color="auto" w:fill="auto"/>
            <w:vAlign w:val="center"/>
          </w:tcPr>
          <w:p w14:paraId="3036331F">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62</w:t>
            </w:r>
          </w:p>
        </w:tc>
        <w:tc>
          <w:tcPr>
            <w:tcW w:w="810" w:type="pct"/>
            <w:shd w:val="clear" w:color="auto" w:fill="auto"/>
            <w:vAlign w:val="center"/>
          </w:tcPr>
          <w:p w14:paraId="1B5FE56C">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阿坝县森林草原防灭火通道建设项目</w:t>
            </w:r>
          </w:p>
        </w:tc>
        <w:tc>
          <w:tcPr>
            <w:tcW w:w="1520" w:type="pct"/>
            <w:shd w:val="clear" w:color="auto" w:fill="auto"/>
            <w:vAlign w:val="center"/>
          </w:tcPr>
          <w:p w14:paraId="5289E7B7">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森林草原防灭火通道建设60公里。</w:t>
            </w:r>
          </w:p>
        </w:tc>
        <w:tc>
          <w:tcPr>
            <w:tcW w:w="488" w:type="pct"/>
            <w:shd w:val="clear" w:color="auto" w:fill="auto"/>
            <w:vAlign w:val="center"/>
          </w:tcPr>
          <w:p w14:paraId="37F05C2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shd w:val="clear" w:color="auto" w:fill="auto"/>
            <w:vAlign w:val="center"/>
          </w:tcPr>
          <w:p w14:paraId="6519681A">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1800</w:t>
            </w:r>
          </w:p>
        </w:tc>
        <w:tc>
          <w:tcPr>
            <w:tcW w:w="529" w:type="pct"/>
            <w:shd w:val="clear" w:color="auto" w:fill="auto"/>
            <w:noWrap/>
            <w:vAlign w:val="center"/>
          </w:tcPr>
          <w:p w14:paraId="4BA7E04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2028-2029</w:t>
            </w:r>
          </w:p>
        </w:tc>
        <w:tc>
          <w:tcPr>
            <w:tcW w:w="653" w:type="pct"/>
            <w:shd w:val="clear" w:color="auto" w:fill="auto"/>
            <w:noWrap/>
            <w:vAlign w:val="center"/>
          </w:tcPr>
          <w:p w14:paraId="62D64BDD">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2DCD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75" w:type="pct"/>
            <w:vMerge w:val="continue"/>
            <w:noWrap/>
            <w:vAlign w:val="center"/>
          </w:tcPr>
          <w:p w14:paraId="3FDF47EC">
            <w:pPr>
              <w:widowControl/>
              <w:shd w:val="clear"/>
              <w:spacing w:line="320" w:lineRule="exact"/>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pPr>
          </w:p>
        </w:tc>
        <w:tc>
          <w:tcPr>
            <w:tcW w:w="288" w:type="pct"/>
            <w:shd w:val="clear" w:color="auto" w:fill="auto"/>
            <w:vAlign w:val="center"/>
          </w:tcPr>
          <w:p w14:paraId="721A7549">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63</w:t>
            </w:r>
          </w:p>
        </w:tc>
        <w:tc>
          <w:tcPr>
            <w:tcW w:w="810" w:type="pct"/>
            <w:shd w:val="clear" w:color="auto" w:fill="auto"/>
            <w:vAlign w:val="center"/>
          </w:tcPr>
          <w:p w14:paraId="3BB3432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阿坝县森林草原防灭火通道建设</w:t>
            </w:r>
          </w:p>
        </w:tc>
        <w:tc>
          <w:tcPr>
            <w:tcW w:w="1520" w:type="pct"/>
            <w:shd w:val="clear" w:color="auto" w:fill="auto"/>
            <w:vAlign w:val="center"/>
          </w:tcPr>
          <w:p w14:paraId="6932BCA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阿坝镇七村森林草原防灭火通道40公里、查理乡新建防火通道11公里。</w:t>
            </w:r>
          </w:p>
        </w:tc>
        <w:tc>
          <w:tcPr>
            <w:tcW w:w="488" w:type="pct"/>
            <w:shd w:val="clear" w:color="auto" w:fill="auto"/>
            <w:vAlign w:val="center"/>
          </w:tcPr>
          <w:p w14:paraId="2631439D">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阿坝镇、查理乡</w:t>
            </w:r>
          </w:p>
        </w:tc>
        <w:tc>
          <w:tcPr>
            <w:tcW w:w="433" w:type="pct"/>
            <w:shd w:val="clear" w:color="auto" w:fill="auto"/>
            <w:vAlign w:val="center"/>
          </w:tcPr>
          <w:p w14:paraId="7C203582">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688</w:t>
            </w:r>
          </w:p>
        </w:tc>
        <w:tc>
          <w:tcPr>
            <w:tcW w:w="529" w:type="pct"/>
            <w:shd w:val="clear" w:color="auto" w:fill="auto"/>
            <w:noWrap/>
            <w:vAlign w:val="center"/>
          </w:tcPr>
          <w:p w14:paraId="5EE384A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2027-2028</w:t>
            </w:r>
          </w:p>
        </w:tc>
        <w:tc>
          <w:tcPr>
            <w:tcW w:w="653" w:type="pct"/>
            <w:shd w:val="clear" w:color="auto" w:fill="auto"/>
            <w:noWrap/>
            <w:vAlign w:val="center"/>
          </w:tcPr>
          <w:p w14:paraId="012146ED">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5B9A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75" w:type="pct"/>
            <w:vMerge w:val="continue"/>
            <w:noWrap/>
            <w:vAlign w:val="center"/>
          </w:tcPr>
          <w:p w14:paraId="1F225F00">
            <w:pPr>
              <w:widowControl/>
              <w:shd w:val="clear"/>
              <w:spacing w:line="320" w:lineRule="exact"/>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pPr>
          </w:p>
        </w:tc>
        <w:tc>
          <w:tcPr>
            <w:tcW w:w="288" w:type="pct"/>
            <w:shd w:val="clear" w:color="auto" w:fill="auto"/>
            <w:vAlign w:val="center"/>
          </w:tcPr>
          <w:p w14:paraId="0B469B7C">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64</w:t>
            </w:r>
          </w:p>
        </w:tc>
        <w:tc>
          <w:tcPr>
            <w:tcW w:w="810" w:type="pct"/>
            <w:shd w:val="clear" w:color="auto" w:fill="auto"/>
            <w:vAlign w:val="center"/>
          </w:tcPr>
          <w:p w14:paraId="4F99DC07">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阿坝县林火监测系统建设项目</w:t>
            </w:r>
          </w:p>
        </w:tc>
        <w:tc>
          <w:tcPr>
            <w:tcW w:w="1520" w:type="pct"/>
            <w:shd w:val="clear" w:color="auto" w:fill="auto"/>
            <w:vAlign w:val="center"/>
          </w:tcPr>
          <w:p w14:paraId="0A39E2D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拟新建15个乡（镇）45处建设、安装林火监测系统。</w:t>
            </w:r>
          </w:p>
        </w:tc>
        <w:tc>
          <w:tcPr>
            <w:tcW w:w="488" w:type="pct"/>
            <w:shd w:val="clear" w:color="auto" w:fill="auto"/>
            <w:vAlign w:val="center"/>
          </w:tcPr>
          <w:p w14:paraId="07674D4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阿坝县15个乡镇</w:t>
            </w:r>
          </w:p>
        </w:tc>
        <w:tc>
          <w:tcPr>
            <w:tcW w:w="433" w:type="pct"/>
            <w:shd w:val="clear" w:color="auto" w:fill="auto"/>
            <w:vAlign w:val="center"/>
          </w:tcPr>
          <w:p w14:paraId="2D0A1EF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4000</w:t>
            </w:r>
          </w:p>
        </w:tc>
        <w:tc>
          <w:tcPr>
            <w:tcW w:w="529" w:type="pct"/>
            <w:shd w:val="clear" w:color="auto" w:fill="auto"/>
            <w:noWrap/>
            <w:vAlign w:val="center"/>
          </w:tcPr>
          <w:p w14:paraId="4A03BF71">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2027-2030</w:t>
            </w:r>
          </w:p>
        </w:tc>
        <w:tc>
          <w:tcPr>
            <w:tcW w:w="653" w:type="pct"/>
            <w:shd w:val="clear" w:color="auto" w:fill="auto"/>
            <w:noWrap/>
            <w:vAlign w:val="center"/>
          </w:tcPr>
          <w:p w14:paraId="27DD509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阿坝县林业和草原局</w:t>
            </w:r>
          </w:p>
        </w:tc>
      </w:tr>
      <w:tr w14:paraId="6A467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75" w:type="pct"/>
            <w:vMerge w:val="continue"/>
            <w:noWrap/>
            <w:vAlign w:val="center"/>
          </w:tcPr>
          <w:p w14:paraId="3961845D">
            <w:pPr>
              <w:widowControl/>
              <w:shd w:val="clear"/>
              <w:spacing w:line="320" w:lineRule="exact"/>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pPr>
          </w:p>
        </w:tc>
        <w:tc>
          <w:tcPr>
            <w:tcW w:w="288" w:type="pct"/>
            <w:shd w:val="clear" w:color="auto" w:fill="auto"/>
            <w:vAlign w:val="center"/>
          </w:tcPr>
          <w:p w14:paraId="48486535">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65</w:t>
            </w:r>
          </w:p>
        </w:tc>
        <w:tc>
          <w:tcPr>
            <w:tcW w:w="810" w:type="pct"/>
            <w:shd w:val="clear" w:color="auto" w:fill="auto"/>
            <w:vAlign w:val="center"/>
          </w:tcPr>
          <w:p w14:paraId="7B61C164">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阿坝县环境监测能力提升项目</w:t>
            </w:r>
          </w:p>
        </w:tc>
        <w:tc>
          <w:tcPr>
            <w:tcW w:w="1520" w:type="pct"/>
            <w:shd w:val="clear" w:color="auto" w:fill="auto"/>
            <w:vAlign w:val="center"/>
          </w:tcPr>
          <w:p w14:paraId="0B86A907">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新建实验室，取得CMA认证资质，购买仪器设备、耗材、试剂、药品等。</w:t>
            </w:r>
          </w:p>
        </w:tc>
        <w:tc>
          <w:tcPr>
            <w:tcW w:w="488" w:type="pct"/>
            <w:shd w:val="clear" w:color="auto" w:fill="auto"/>
            <w:vAlign w:val="center"/>
          </w:tcPr>
          <w:p w14:paraId="63F818BC">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阿坝镇</w:t>
            </w:r>
          </w:p>
        </w:tc>
        <w:tc>
          <w:tcPr>
            <w:tcW w:w="433" w:type="pct"/>
            <w:shd w:val="clear" w:color="auto" w:fill="auto"/>
            <w:vAlign w:val="center"/>
          </w:tcPr>
          <w:p w14:paraId="67BDBFAF">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default"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400</w:t>
            </w:r>
          </w:p>
        </w:tc>
        <w:tc>
          <w:tcPr>
            <w:tcW w:w="529" w:type="pct"/>
            <w:shd w:val="clear" w:color="auto" w:fill="auto"/>
            <w:noWrap/>
            <w:vAlign w:val="center"/>
          </w:tcPr>
          <w:p w14:paraId="18A472E5">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w:t>
            </w:r>
          </w:p>
        </w:tc>
        <w:tc>
          <w:tcPr>
            <w:tcW w:w="653" w:type="pct"/>
            <w:shd w:val="clear" w:color="auto" w:fill="auto"/>
            <w:noWrap/>
            <w:vAlign w:val="center"/>
          </w:tcPr>
          <w:p w14:paraId="467BAD6B">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阿坝州阿坝生态环境局</w:t>
            </w:r>
          </w:p>
        </w:tc>
      </w:tr>
      <w:tr w14:paraId="4C8A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75" w:type="pct"/>
            <w:vMerge w:val="continue"/>
            <w:noWrap/>
            <w:vAlign w:val="center"/>
          </w:tcPr>
          <w:p w14:paraId="63CD7EA3">
            <w:pPr>
              <w:widowControl/>
              <w:shd w:val="clear"/>
              <w:spacing w:line="320" w:lineRule="exact"/>
              <w:rPr>
                <w:rFonts w:hint="eastAsia" w:ascii="Times New Roman" w:hAnsi="Times New Roman" w:eastAsia="仿宋_GB2312" w:cs="Times New Roman"/>
                <w:color w:val="000000" w:themeColor="text1"/>
                <w:sz w:val="24"/>
                <w:highlight w:val="none"/>
                <w:lang w:val="en-US" w:eastAsia="zh-CN"/>
                <w14:textFill>
                  <w14:solidFill>
                    <w14:schemeClr w14:val="tx1"/>
                  </w14:solidFill>
                </w14:textFill>
              </w:rPr>
            </w:pPr>
          </w:p>
        </w:tc>
        <w:tc>
          <w:tcPr>
            <w:tcW w:w="288" w:type="pct"/>
            <w:shd w:val="clear" w:color="auto" w:fill="auto"/>
            <w:vAlign w:val="center"/>
          </w:tcPr>
          <w:p w14:paraId="059FEFFC">
            <w:pPr>
              <w:widowControl/>
              <w:shd w:val="clear"/>
              <w:spacing w:line="320" w:lineRule="exact"/>
              <w:jc w:val="center"/>
              <w:textAlignment w:val="center"/>
              <w:rPr>
                <w:rFonts w:hint="default" w:ascii="Times New Roman" w:hAnsi="Times New Roman" w:eastAsia="仿宋_GB2312"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24"/>
                <w:highlight w:val="none"/>
                <w:lang w:val="en-US" w:eastAsia="zh-CN" w:bidi="ar"/>
                <w14:textFill>
                  <w14:solidFill>
                    <w14:schemeClr w14:val="tx1"/>
                  </w14:solidFill>
                </w14:textFill>
              </w:rPr>
              <w:t>66</w:t>
            </w:r>
          </w:p>
        </w:tc>
        <w:tc>
          <w:tcPr>
            <w:tcW w:w="810" w:type="pct"/>
            <w:shd w:val="clear" w:color="auto" w:fill="auto"/>
            <w:vAlign w:val="center"/>
          </w:tcPr>
          <w:p w14:paraId="06B2F178">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水旱灾害防御非工程措施</w:t>
            </w:r>
          </w:p>
        </w:tc>
        <w:tc>
          <w:tcPr>
            <w:tcW w:w="1520" w:type="pct"/>
            <w:shd w:val="clear" w:color="auto" w:fill="auto"/>
            <w:vAlign w:val="center"/>
          </w:tcPr>
          <w:p w14:paraId="568AC75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新建自动监测站点64处，超期服役自动雨量站更新改造26处。12条小流域四预能力建设。124处危险区的山洪灾害群策群防体系建设。</w:t>
            </w:r>
          </w:p>
        </w:tc>
        <w:tc>
          <w:tcPr>
            <w:tcW w:w="488" w:type="pct"/>
            <w:shd w:val="clear" w:color="auto" w:fill="auto"/>
            <w:vAlign w:val="center"/>
          </w:tcPr>
          <w:p w14:paraId="48BFEFA8">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w:t>
            </w:r>
          </w:p>
        </w:tc>
        <w:tc>
          <w:tcPr>
            <w:tcW w:w="433" w:type="pct"/>
            <w:shd w:val="clear" w:color="auto" w:fill="auto"/>
            <w:vAlign w:val="center"/>
          </w:tcPr>
          <w:p w14:paraId="46E48F70">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520</w:t>
            </w:r>
          </w:p>
        </w:tc>
        <w:tc>
          <w:tcPr>
            <w:tcW w:w="529" w:type="pct"/>
            <w:shd w:val="clear" w:color="auto" w:fill="auto"/>
            <w:noWrap/>
            <w:vAlign w:val="center"/>
          </w:tcPr>
          <w:p w14:paraId="7919647C">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2026-2030</w:t>
            </w:r>
          </w:p>
        </w:tc>
        <w:tc>
          <w:tcPr>
            <w:tcW w:w="653" w:type="pct"/>
            <w:shd w:val="clear" w:color="auto" w:fill="auto"/>
            <w:noWrap/>
            <w:vAlign w:val="center"/>
          </w:tcPr>
          <w:p w14:paraId="51017579">
            <w:pPr>
              <w:keepNext w:val="0"/>
              <w:keepLines w:val="0"/>
              <w:pageBreakBefore w:val="0"/>
              <w:widowControl/>
              <w:suppressLineNumbers w:val="0"/>
              <w:shd w:val="clear"/>
              <w:kinsoku/>
              <w:wordWrap/>
              <w:overflowPunct/>
              <w:topLinePunct w:val="0"/>
              <w:autoSpaceDE/>
              <w:autoSpaceDN/>
              <w:bidi w:val="0"/>
              <w:adjustRightInd/>
              <w:snapToGrid/>
              <w:spacing w:line="320" w:lineRule="exact"/>
              <w:jc w:val="center"/>
              <w:textAlignment w:val="cente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Times New Roman" w:hAnsi="Times New Roman" w:eastAsia="仿宋_GB2312" w:cs="Times New Roman"/>
                <w:i w:val="0"/>
                <w:iCs w:val="0"/>
                <w:color w:val="000000" w:themeColor="text1"/>
                <w:kern w:val="0"/>
                <w:sz w:val="24"/>
                <w:szCs w:val="24"/>
                <w:highlight w:val="none"/>
                <w:u w:val="none"/>
                <w:lang w:val="en-US" w:eastAsia="zh-CN" w:bidi="ar"/>
                <w14:textFill>
                  <w14:solidFill>
                    <w14:schemeClr w14:val="tx1"/>
                  </w14:solidFill>
                </w14:textFill>
              </w:rPr>
              <w:t>阿坝县科学技术和农业畜牧水务局</w:t>
            </w:r>
          </w:p>
        </w:tc>
      </w:tr>
    </w:tbl>
    <w:p w14:paraId="559E5C03">
      <w:pPr>
        <w:shd w:val="clear"/>
        <w:rPr>
          <w:rFonts w:hint="eastAsia"/>
          <w:color w:val="0000FF"/>
          <w:highlight w:val="none"/>
          <w:lang w:eastAsia="zh-CN"/>
        </w:rPr>
      </w:pPr>
    </w:p>
    <w:p w14:paraId="743DDD67">
      <w:pPr>
        <w:rPr>
          <w:rFonts w:hint="eastAsia" w:ascii="Times New Roman" w:hAnsi="Times New Roman" w:eastAsia="黑体" w:cs="Times New Roman"/>
          <w:bCs/>
          <w:color w:val="000000" w:themeColor="text1"/>
          <w:sz w:val="32"/>
          <w:szCs w:val="48"/>
          <w:highlight w:val="none"/>
          <w:lang w:val="en-US" w:eastAsia="zh-CN"/>
          <w14:textFill>
            <w14:solidFill>
              <w14:schemeClr w14:val="tx1"/>
            </w14:solidFill>
          </w14:textFill>
        </w:rPr>
      </w:pPr>
      <w:r>
        <w:rPr>
          <w:rFonts w:hint="eastAsia" w:ascii="Times New Roman" w:hAnsi="Times New Roman" w:eastAsia="黑体" w:cs="Times New Roman"/>
          <w:bCs/>
          <w:color w:val="000000" w:themeColor="text1"/>
          <w:sz w:val="32"/>
          <w:szCs w:val="48"/>
          <w:highlight w:val="none"/>
          <w:lang w:val="en-US" w:eastAsia="zh-CN"/>
          <w14:textFill>
            <w14:solidFill>
              <w14:schemeClr w14:val="tx1"/>
            </w14:solidFill>
          </w14:textFill>
        </w:rPr>
        <w:br w:type="page"/>
      </w:r>
    </w:p>
    <w:p w14:paraId="7D052677">
      <w:pPr>
        <w:pStyle w:val="2"/>
        <w:keepNext w:val="0"/>
        <w:keepLines w:val="0"/>
        <w:shd w:val="clear"/>
        <w:topLinePunct/>
        <w:spacing w:before="0" w:after="0" w:line="576" w:lineRule="exact"/>
        <w:jc w:val="left"/>
        <w:rPr>
          <w:rFonts w:ascii="Times New Roman" w:hAnsi="Times New Roman" w:eastAsia="黑体" w:cs="Times New Roman"/>
          <w:bCs/>
          <w:color w:val="000000" w:themeColor="text1"/>
          <w:sz w:val="32"/>
          <w:szCs w:val="48"/>
          <w:highlight w:val="none"/>
          <w14:textFill>
            <w14:solidFill>
              <w14:schemeClr w14:val="tx1"/>
            </w14:solidFill>
          </w14:textFill>
        </w:rPr>
      </w:pPr>
      <w:bookmarkStart w:id="99" w:name="_Toc7435"/>
      <w:r>
        <w:rPr>
          <w:rFonts w:hint="eastAsia" w:ascii="Times New Roman" w:hAnsi="Times New Roman" w:eastAsia="黑体" w:cs="Times New Roman"/>
          <w:bCs/>
          <w:color w:val="000000" w:themeColor="text1"/>
          <w:sz w:val="32"/>
          <w:szCs w:val="48"/>
          <w:highlight w:val="none"/>
          <w:lang w:val="en-US" w:eastAsia="zh-CN"/>
          <w14:textFill>
            <w14:solidFill>
              <w14:schemeClr w14:val="tx1"/>
            </w14:solidFill>
          </w14:textFill>
        </w:rPr>
        <w:t>六、</w:t>
      </w:r>
      <w:r>
        <w:rPr>
          <w:rFonts w:hint="eastAsia" w:ascii="Times New Roman" w:hAnsi="Times New Roman" w:eastAsia="黑体" w:cs="Times New Roman"/>
          <w:bCs/>
          <w:color w:val="000000" w:themeColor="text1"/>
          <w:sz w:val="32"/>
          <w:szCs w:val="48"/>
          <w:highlight w:val="none"/>
          <w14:textFill>
            <w14:solidFill>
              <w14:schemeClr w14:val="tx1"/>
            </w14:solidFill>
          </w14:textFill>
        </w:rPr>
        <w:t>美丽</w:t>
      </w:r>
      <w:r>
        <w:rPr>
          <w:rFonts w:hint="eastAsia" w:ascii="Times New Roman" w:hAnsi="Times New Roman" w:eastAsia="黑体" w:cs="Times New Roman"/>
          <w:bCs/>
          <w:color w:val="000000" w:themeColor="text1"/>
          <w:sz w:val="32"/>
          <w:szCs w:val="48"/>
          <w:highlight w:val="none"/>
          <w:lang w:eastAsia="zh-CN"/>
          <w14:textFill>
            <w14:solidFill>
              <w14:schemeClr w14:val="tx1"/>
            </w14:solidFill>
          </w14:textFill>
        </w:rPr>
        <w:t>阿坝</w:t>
      </w:r>
      <w:r>
        <w:rPr>
          <w:rFonts w:hint="eastAsia" w:ascii="Times New Roman" w:hAnsi="Times New Roman" w:eastAsia="黑体" w:cs="Times New Roman"/>
          <w:bCs/>
          <w:color w:val="000000" w:themeColor="text1"/>
          <w:sz w:val="32"/>
          <w:szCs w:val="48"/>
          <w:highlight w:val="none"/>
          <w14:textFill>
            <w14:solidFill>
              <w14:schemeClr w14:val="tx1"/>
            </w14:solidFill>
          </w14:textFill>
        </w:rPr>
        <w:t>建设指标体系</w:t>
      </w:r>
      <w:bookmarkEnd w:id="99"/>
    </w:p>
    <w:tbl>
      <w:tblPr>
        <w:tblStyle w:val="16"/>
        <w:tblW w:w="14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37"/>
        <w:gridCol w:w="1179"/>
        <w:gridCol w:w="2660"/>
        <w:gridCol w:w="1577"/>
        <w:gridCol w:w="2296"/>
        <w:gridCol w:w="2015"/>
        <w:gridCol w:w="2012"/>
        <w:gridCol w:w="2040"/>
      </w:tblGrid>
      <w:tr w14:paraId="42EE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tblHeader/>
          <w:jc w:val="center"/>
        </w:trPr>
        <w:tc>
          <w:tcPr>
            <w:tcW w:w="737" w:type="dxa"/>
            <w:tcMar>
              <w:top w:w="60" w:type="dxa"/>
              <w:left w:w="120" w:type="dxa"/>
              <w:bottom w:w="30" w:type="dxa"/>
              <w:right w:w="120" w:type="dxa"/>
            </w:tcMar>
            <w:vAlign w:val="center"/>
          </w:tcPr>
          <w:p w14:paraId="01AE6F68">
            <w:pPr>
              <w:spacing w:before="120" w:after="120" w:line="240" w:lineRule="auto"/>
              <w:ind w:left="0"/>
              <w:jc w:val="center"/>
              <w:rPr>
                <w:rFonts w:hint="default" w:ascii="Times New Roman" w:hAnsi="Times New Roman" w:eastAsia="仿宋_GB2312" w:cs="Times New Roman"/>
                <w:b/>
                <w:bCs/>
                <w:sz w:val="20"/>
                <w:szCs w:val="21"/>
              </w:rPr>
            </w:pPr>
            <w:r>
              <w:rPr>
                <w:rFonts w:hint="default" w:ascii="Times New Roman" w:hAnsi="Times New Roman" w:eastAsia="仿宋_GB2312" w:cs="Times New Roman"/>
                <w:b/>
                <w:bCs/>
                <w:sz w:val="21"/>
                <w:szCs w:val="21"/>
              </w:rPr>
              <w:t>序号</w:t>
            </w:r>
          </w:p>
        </w:tc>
        <w:tc>
          <w:tcPr>
            <w:tcW w:w="1179" w:type="dxa"/>
            <w:tcMar>
              <w:top w:w="60" w:type="dxa"/>
              <w:left w:w="120" w:type="dxa"/>
              <w:bottom w:w="30" w:type="dxa"/>
              <w:right w:w="120" w:type="dxa"/>
            </w:tcMar>
            <w:vAlign w:val="center"/>
          </w:tcPr>
          <w:p w14:paraId="36E64C5C">
            <w:pPr>
              <w:spacing w:before="120" w:after="120" w:line="240" w:lineRule="auto"/>
              <w:ind w:left="0"/>
              <w:jc w:val="center"/>
              <w:rPr>
                <w:rFonts w:hint="default" w:ascii="Times New Roman" w:hAnsi="Times New Roman" w:eastAsia="仿宋_GB2312" w:cs="Times New Roman"/>
                <w:b/>
                <w:bCs/>
                <w:sz w:val="20"/>
                <w:szCs w:val="21"/>
              </w:rPr>
            </w:pPr>
            <w:r>
              <w:rPr>
                <w:rFonts w:hint="default" w:ascii="Times New Roman" w:hAnsi="Times New Roman" w:eastAsia="仿宋_GB2312" w:cs="Times New Roman"/>
                <w:b/>
                <w:bCs/>
                <w:sz w:val="21"/>
                <w:szCs w:val="21"/>
              </w:rPr>
              <w:t>指标板块</w:t>
            </w:r>
          </w:p>
        </w:tc>
        <w:tc>
          <w:tcPr>
            <w:tcW w:w="2660" w:type="dxa"/>
            <w:tcMar>
              <w:top w:w="60" w:type="dxa"/>
              <w:left w:w="120" w:type="dxa"/>
              <w:bottom w:w="30" w:type="dxa"/>
              <w:right w:w="120" w:type="dxa"/>
            </w:tcMar>
            <w:vAlign w:val="center"/>
          </w:tcPr>
          <w:p w14:paraId="0221D5E2">
            <w:pPr>
              <w:spacing w:before="120" w:after="120" w:line="240" w:lineRule="auto"/>
              <w:ind w:left="0"/>
              <w:jc w:val="center"/>
              <w:rPr>
                <w:rFonts w:hint="default" w:ascii="Times New Roman" w:hAnsi="Times New Roman" w:eastAsia="仿宋_GB2312" w:cs="Times New Roman"/>
                <w:b/>
                <w:bCs/>
                <w:sz w:val="20"/>
                <w:szCs w:val="21"/>
              </w:rPr>
            </w:pPr>
            <w:r>
              <w:rPr>
                <w:rFonts w:hint="default" w:ascii="Times New Roman" w:hAnsi="Times New Roman" w:eastAsia="仿宋_GB2312" w:cs="Times New Roman"/>
                <w:b/>
                <w:bCs/>
                <w:sz w:val="21"/>
                <w:szCs w:val="21"/>
              </w:rPr>
              <w:t>指标名称</w:t>
            </w:r>
          </w:p>
        </w:tc>
        <w:tc>
          <w:tcPr>
            <w:tcW w:w="1577" w:type="dxa"/>
            <w:tcMar>
              <w:top w:w="60" w:type="dxa"/>
              <w:left w:w="120" w:type="dxa"/>
              <w:bottom w:w="30" w:type="dxa"/>
              <w:right w:w="120" w:type="dxa"/>
            </w:tcMar>
            <w:vAlign w:val="center"/>
          </w:tcPr>
          <w:p w14:paraId="7861A905">
            <w:pPr>
              <w:spacing w:before="120" w:after="120" w:line="240" w:lineRule="auto"/>
              <w:ind w:left="0"/>
              <w:jc w:val="center"/>
              <w:rPr>
                <w:rFonts w:hint="default" w:ascii="Times New Roman" w:hAnsi="Times New Roman" w:eastAsia="仿宋_GB2312" w:cs="Times New Roman"/>
                <w:b/>
                <w:bCs/>
                <w:sz w:val="20"/>
                <w:szCs w:val="21"/>
              </w:rPr>
            </w:pPr>
            <w:r>
              <w:rPr>
                <w:rFonts w:hint="default" w:ascii="Times New Roman" w:hAnsi="Times New Roman" w:eastAsia="仿宋_GB2312" w:cs="Times New Roman"/>
                <w:b/>
                <w:bCs/>
                <w:sz w:val="21"/>
                <w:szCs w:val="21"/>
              </w:rPr>
              <w:t>指标属性</w:t>
            </w:r>
          </w:p>
        </w:tc>
        <w:tc>
          <w:tcPr>
            <w:tcW w:w="2296" w:type="dxa"/>
            <w:tcMar>
              <w:top w:w="60" w:type="dxa"/>
              <w:left w:w="120" w:type="dxa"/>
              <w:bottom w:w="30" w:type="dxa"/>
              <w:right w:w="120" w:type="dxa"/>
            </w:tcMar>
            <w:vAlign w:val="center"/>
          </w:tcPr>
          <w:p w14:paraId="798B1D38">
            <w:pPr>
              <w:spacing w:before="120" w:after="120" w:line="240" w:lineRule="auto"/>
              <w:ind w:left="0"/>
              <w:jc w:val="center"/>
              <w:rPr>
                <w:rFonts w:hint="default" w:ascii="Times New Roman" w:hAnsi="Times New Roman" w:eastAsia="仿宋_GB2312" w:cs="Times New Roman"/>
                <w:b/>
                <w:bCs/>
                <w:sz w:val="20"/>
                <w:szCs w:val="21"/>
                <w:lang w:val="en-US" w:eastAsia="zh-CN"/>
              </w:rPr>
            </w:pPr>
            <w:r>
              <w:rPr>
                <w:rFonts w:hint="default" w:ascii="Times New Roman" w:hAnsi="Times New Roman" w:eastAsia="仿宋_GB2312" w:cs="Times New Roman"/>
                <w:b/>
                <w:bCs/>
                <w:sz w:val="21"/>
                <w:szCs w:val="21"/>
                <w:highlight w:val="none"/>
                <w:lang w:val="en-US" w:eastAsia="zh-CN"/>
              </w:rPr>
              <w:t>2025年现状</w:t>
            </w:r>
          </w:p>
        </w:tc>
        <w:tc>
          <w:tcPr>
            <w:tcW w:w="2015" w:type="dxa"/>
            <w:shd w:val="clear" w:color="auto" w:fill="auto"/>
            <w:tcMar>
              <w:top w:w="60" w:type="dxa"/>
              <w:left w:w="120" w:type="dxa"/>
              <w:bottom w:w="30" w:type="dxa"/>
              <w:right w:w="120" w:type="dxa"/>
            </w:tcMar>
            <w:vAlign w:val="center"/>
          </w:tcPr>
          <w:p w14:paraId="11265F51">
            <w:pPr>
              <w:spacing w:before="120" w:after="120" w:line="240" w:lineRule="auto"/>
              <w:ind w:left="0" w:leftChars="0"/>
              <w:jc w:val="center"/>
              <w:rPr>
                <w:rFonts w:hint="default" w:ascii="Times New Roman" w:hAnsi="Times New Roman" w:eastAsia="仿宋_GB2312" w:cs="Times New Roman"/>
                <w:b/>
                <w:bCs/>
                <w:sz w:val="20"/>
                <w:szCs w:val="21"/>
              </w:rPr>
            </w:pPr>
            <w:r>
              <w:rPr>
                <w:rFonts w:hint="default" w:ascii="Times New Roman" w:hAnsi="Times New Roman" w:eastAsia="仿宋_GB2312" w:cs="Times New Roman"/>
                <w:b/>
                <w:bCs/>
                <w:sz w:val="21"/>
                <w:szCs w:val="21"/>
              </w:rPr>
              <w:t>2027年目标（中期）</w:t>
            </w:r>
          </w:p>
        </w:tc>
        <w:tc>
          <w:tcPr>
            <w:tcW w:w="2012" w:type="dxa"/>
            <w:shd w:val="clear" w:color="auto" w:fill="auto"/>
            <w:tcMar>
              <w:top w:w="60" w:type="dxa"/>
              <w:left w:w="120" w:type="dxa"/>
              <w:bottom w:w="30" w:type="dxa"/>
              <w:right w:w="120" w:type="dxa"/>
            </w:tcMar>
            <w:vAlign w:val="center"/>
          </w:tcPr>
          <w:p w14:paraId="4843F225">
            <w:pPr>
              <w:spacing w:before="120" w:after="120" w:line="240" w:lineRule="auto"/>
              <w:ind w:left="0" w:leftChars="0"/>
              <w:jc w:val="center"/>
              <w:rPr>
                <w:rFonts w:hint="default" w:ascii="Times New Roman" w:hAnsi="Times New Roman" w:eastAsia="仿宋_GB2312" w:cs="Times New Roman"/>
                <w:b/>
                <w:bCs/>
                <w:sz w:val="20"/>
                <w:szCs w:val="21"/>
              </w:rPr>
            </w:pPr>
            <w:r>
              <w:rPr>
                <w:rFonts w:hint="default" w:ascii="Times New Roman" w:hAnsi="Times New Roman" w:eastAsia="仿宋_GB2312" w:cs="Times New Roman"/>
                <w:b/>
                <w:bCs/>
                <w:sz w:val="21"/>
                <w:szCs w:val="21"/>
              </w:rPr>
              <w:t>203</w:t>
            </w:r>
            <w:r>
              <w:rPr>
                <w:rFonts w:hint="default" w:ascii="Times New Roman" w:hAnsi="Times New Roman" w:eastAsia="仿宋_GB2312" w:cs="Times New Roman"/>
                <w:b/>
                <w:bCs/>
                <w:sz w:val="21"/>
                <w:szCs w:val="21"/>
                <w:lang w:val="en-US" w:eastAsia="zh-CN"/>
              </w:rPr>
              <w:t>0</w:t>
            </w:r>
            <w:r>
              <w:rPr>
                <w:rFonts w:hint="default" w:ascii="Times New Roman" w:hAnsi="Times New Roman" w:eastAsia="仿宋_GB2312" w:cs="Times New Roman"/>
                <w:b/>
                <w:bCs/>
                <w:sz w:val="21"/>
                <w:szCs w:val="21"/>
              </w:rPr>
              <w:t>年目标（远景）</w:t>
            </w:r>
          </w:p>
        </w:tc>
        <w:tc>
          <w:tcPr>
            <w:tcW w:w="2040" w:type="dxa"/>
            <w:shd w:val="clear" w:color="auto" w:fill="auto"/>
            <w:tcMar>
              <w:top w:w="60" w:type="dxa"/>
              <w:left w:w="120" w:type="dxa"/>
              <w:bottom w:w="30" w:type="dxa"/>
              <w:right w:w="120" w:type="dxa"/>
            </w:tcMar>
            <w:vAlign w:val="center"/>
          </w:tcPr>
          <w:p w14:paraId="44A3F127">
            <w:pPr>
              <w:spacing w:before="120" w:after="120" w:line="240" w:lineRule="auto"/>
              <w:ind w:left="0" w:leftChars="0"/>
              <w:jc w:val="center"/>
              <w:rPr>
                <w:rFonts w:hint="default" w:ascii="Times New Roman" w:hAnsi="Times New Roman" w:eastAsia="仿宋_GB2312" w:cs="Times New Roman"/>
                <w:b/>
                <w:bCs/>
                <w:sz w:val="20"/>
                <w:szCs w:val="21"/>
              </w:rPr>
            </w:pPr>
            <w:r>
              <w:rPr>
                <w:rFonts w:hint="default" w:ascii="Times New Roman" w:hAnsi="Times New Roman" w:eastAsia="仿宋_GB2312" w:cs="Times New Roman"/>
                <w:b/>
                <w:bCs/>
                <w:sz w:val="21"/>
                <w:szCs w:val="21"/>
              </w:rPr>
              <w:t>责任单位</w:t>
            </w:r>
          </w:p>
        </w:tc>
      </w:tr>
      <w:tr w14:paraId="0275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14516" w:type="dxa"/>
            <w:gridSpan w:val="8"/>
            <w:tcMar>
              <w:top w:w="60" w:type="dxa"/>
              <w:left w:w="120" w:type="dxa"/>
              <w:bottom w:w="30" w:type="dxa"/>
              <w:right w:w="120" w:type="dxa"/>
            </w:tcMar>
          </w:tcPr>
          <w:p w14:paraId="1F650925">
            <w:pPr>
              <w:spacing w:before="120" w:after="120" w:line="240" w:lineRule="auto"/>
              <w:ind w:left="0"/>
              <w:jc w:val="left"/>
              <w:rPr>
                <w:rFonts w:hint="default" w:ascii="Times New Roman" w:hAnsi="Times New Roman" w:eastAsia="仿宋_GB2312" w:cs="Times New Roman"/>
                <w:sz w:val="20"/>
                <w:szCs w:val="21"/>
              </w:rPr>
            </w:pPr>
            <w:r>
              <w:rPr>
                <w:rFonts w:hint="default" w:ascii="Times New Roman" w:hAnsi="Times New Roman" w:eastAsia="仿宋_GB2312" w:cs="Times New Roman"/>
                <w:b/>
                <w:sz w:val="21"/>
                <w:szCs w:val="21"/>
              </w:rPr>
              <w:t>第一板块：美丽山川（筑牢高原生态安全屏障）</w:t>
            </w:r>
          </w:p>
        </w:tc>
      </w:tr>
      <w:tr w14:paraId="4FD1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737" w:type="dxa"/>
            <w:tcMar>
              <w:top w:w="60" w:type="dxa"/>
              <w:left w:w="120" w:type="dxa"/>
              <w:bottom w:w="30" w:type="dxa"/>
              <w:right w:w="120" w:type="dxa"/>
            </w:tcMar>
            <w:vAlign w:val="center"/>
          </w:tcPr>
          <w:p w14:paraId="051B7DC1">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w:t>
            </w:r>
          </w:p>
        </w:tc>
        <w:tc>
          <w:tcPr>
            <w:tcW w:w="1179" w:type="dxa"/>
            <w:tcMar>
              <w:top w:w="60" w:type="dxa"/>
              <w:left w:w="120" w:type="dxa"/>
              <w:bottom w:w="30" w:type="dxa"/>
              <w:right w:w="120" w:type="dxa"/>
            </w:tcMar>
            <w:vAlign w:val="center"/>
          </w:tcPr>
          <w:p w14:paraId="632D0C92">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美丽山川</w:t>
            </w:r>
          </w:p>
        </w:tc>
        <w:tc>
          <w:tcPr>
            <w:tcW w:w="2660" w:type="dxa"/>
            <w:tcMar>
              <w:top w:w="60" w:type="dxa"/>
              <w:left w:w="120" w:type="dxa"/>
              <w:bottom w:w="30" w:type="dxa"/>
              <w:right w:w="120" w:type="dxa"/>
            </w:tcMar>
            <w:vAlign w:val="center"/>
          </w:tcPr>
          <w:p w14:paraId="23965624">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森林覆盖率</w:t>
            </w:r>
          </w:p>
        </w:tc>
        <w:tc>
          <w:tcPr>
            <w:tcW w:w="1577" w:type="dxa"/>
            <w:tcMar>
              <w:top w:w="60" w:type="dxa"/>
              <w:left w:w="120" w:type="dxa"/>
              <w:bottom w:w="30" w:type="dxa"/>
              <w:right w:w="120" w:type="dxa"/>
            </w:tcMar>
            <w:vAlign w:val="center"/>
          </w:tcPr>
          <w:p w14:paraId="2979920C">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55CB5B42">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9.01%</w:t>
            </w:r>
          </w:p>
        </w:tc>
        <w:tc>
          <w:tcPr>
            <w:tcW w:w="2015" w:type="dxa"/>
            <w:shd w:val="clear" w:color="auto" w:fill="auto"/>
            <w:tcMar>
              <w:top w:w="60" w:type="dxa"/>
              <w:left w:w="120" w:type="dxa"/>
              <w:bottom w:w="30" w:type="dxa"/>
              <w:right w:w="120" w:type="dxa"/>
            </w:tcMar>
            <w:vAlign w:val="center"/>
          </w:tcPr>
          <w:p w14:paraId="0D9FF278">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稳步提升</w:t>
            </w:r>
          </w:p>
        </w:tc>
        <w:tc>
          <w:tcPr>
            <w:tcW w:w="2012" w:type="dxa"/>
            <w:shd w:val="clear" w:color="auto" w:fill="auto"/>
            <w:tcMar>
              <w:top w:w="60" w:type="dxa"/>
              <w:left w:w="120" w:type="dxa"/>
              <w:bottom w:w="30" w:type="dxa"/>
              <w:right w:w="120" w:type="dxa"/>
            </w:tcMar>
            <w:vAlign w:val="center"/>
          </w:tcPr>
          <w:p w14:paraId="0DF74134">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持续稳定优化</w:t>
            </w:r>
          </w:p>
        </w:tc>
        <w:tc>
          <w:tcPr>
            <w:tcW w:w="2040" w:type="dxa"/>
            <w:shd w:val="clear" w:color="auto" w:fill="auto"/>
            <w:tcMar>
              <w:top w:w="60" w:type="dxa"/>
              <w:left w:w="120" w:type="dxa"/>
              <w:bottom w:w="30" w:type="dxa"/>
              <w:right w:w="120" w:type="dxa"/>
            </w:tcMar>
            <w:vAlign w:val="center"/>
          </w:tcPr>
          <w:p w14:paraId="75D1BF79">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县林草局、各乡镇</w:t>
            </w:r>
          </w:p>
        </w:tc>
      </w:tr>
      <w:tr w14:paraId="200F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40" w:hRule="atLeast"/>
          <w:jc w:val="center"/>
        </w:trPr>
        <w:tc>
          <w:tcPr>
            <w:tcW w:w="737" w:type="dxa"/>
            <w:tcMar>
              <w:top w:w="60" w:type="dxa"/>
              <w:left w:w="120" w:type="dxa"/>
              <w:bottom w:w="30" w:type="dxa"/>
              <w:right w:w="120" w:type="dxa"/>
            </w:tcMar>
            <w:vAlign w:val="center"/>
          </w:tcPr>
          <w:p w14:paraId="4DF5E9CC">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2</w:t>
            </w:r>
          </w:p>
        </w:tc>
        <w:tc>
          <w:tcPr>
            <w:tcW w:w="1179" w:type="dxa"/>
            <w:tcMar>
              <w:top w:w="60" w:type="dxa"/>
              <w:left w:w="120" w:type="dxa"/>
              <w:bottom w:w="30" w:type="dxa"/>
              <w:right w:w="120" w:type="dxa"/>
            </w:tcMar>
            <w:vAlign w:val="center"/>
          </w:tcPr>
          <w:p w14:paraId="1E55AC27">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美丽山川</w:t>
            </w:r>
          </w:p>
        </w:tc>
        <w:tc>
          <w:tcPr>
            <w:tcW w:w="2660" w:type="dxa"/>
            <w:tcMar>
              <w:top w:w="60" w:type="dxa"/>
              <w:left w:w="120" w:type="dxa"/>
              <w:bottom w:w="30" w:type="dxa"/>
              <w:right w:w="120" w:type="dxa"/>
            </w:tcMar>
            <w:vAlign w:val="center"/>
          </w:tcPr>
          <w:p w14:paraId="4D60E5C2">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草原综合植被盖度</w:t>
            </w:r>
          </w:p>
        </w:tc>
        <w:tc>
          <w:tcPr>
            <w:tcW w:w="1577" w:type="dxa"/>
            <w:tcMar>
              <w:top w:w="60" w:type="dxa"/>
              <w:left w:w="120" w:type="dxa"/>
              <w:bottom w:w="30" w:type="dxa"/>
              <w:right w:w="120" w:type="dxa"/>
            </w:tcMar>
            <w:vAlign w:val="center"/>
          </w:tcPr>
          <w:p w14:paraId="02574000">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50636958">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85.24%</w:t>
            </w:r>
          </w:p>
        </w:tc>
        <w:tc>
          <w:tcPr>
            <w:tcW w:w="2015" w:type="dxa"/>
            <w:shd w:val="clear" w:color="auto" w:fill="auto"/>
            <w:tcMar>
              <w:top w:w="60" w:type="dxa"/>
              <w:left w:w="120" w:type="dxa"/>
              <w:bottom w:w="30" w:type="dxa"/>
              <w:right w:w="120" w:type="dxa"/>
            </w:tcMar>
            <w:vAlign w:val="center"/>
          </w:tcPr>
          <w:p w14:paraId="6A8692A8">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稳步提升</w:t>
            </w:r>
          </w:p>
        </w:tc>
        <w:tc>
          <w:tcPr>
            <w:tcW w:w="2012" w:type="dxa"/>
            <w:shd w:val="clear" w:color="auto" w:fill="auto"/>
            <w:tcMar>
              <w:top w:w="60" w:type="dxa"/>
              <w:left w:w="120" w:type="dxa"/>
              <w:bottom w:w="30" w:type="dxa"/>
              <w:right w:w="120" w:type="dxa"/>
            </w:tcMar>
            <w:vAlign w:val="center"/>
          </w:tcPr>
          <w:p w14:paraId="21580625">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维持高位稳定</w:t>
            </w:r>
          </w:p>
        </w:tc>
        <w:tc>
          <w:tcPr>
            <w:tcW w:w="2040" w:type="dxa"/>
            <w:shd w:val="clear" w:color="auto" w:fill="auto"/>
            <w:tcMar>
              <w:top w:w="60" w:type="dxa"/>
              <w:left w:w="120" w:type="dxa"/>
              <w:bottom w:w="30" w:type="dxa"/>
              <w:right w:w="120" w:type="dxa"/>
            </w:tcMar>
            <w:vAlign w:val="center"/>
          </w:tcPr>
          <w:p w14:paraId="544B2620">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县林草局、县科学技术和农业畜牧水务局</w:t>
            </w:r>
          </w:p>
        </w:tc>
      </w:tr>
      <w:tr w14:paraId="3F84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40" w:hRule="atLeast"/>
          <w:jc w:val="center"/>
        </w:trPr>
        <w:tc>
          <w:tcPr>
            <w:tcW w:w="737" w:type="dxa"/>
            <w:tcMar>
              <w:top w:w="60" w:type="dxa"/>
              <w:left w:w="120" w:type="dxa"/>
              <w:bottom w:w="30" w:type="dxa"/>
              <w:right w:w="120" w:type="dxa"/>
            </w:tcMar>
            <w:vAlign w:val="center"/>
          </w:tcPr>
          <w:p w14:paraId="0143913E">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3</w:t>
            </w:r>
          </w:p>
        </w:tc>
        <w:tc>
          <w:tcPr>
            <w:tcW w:w="1179" w:type="dxa"/>
            <w:tcMar>
              <w:top w:w="60" w:type="dxa"/>
              <w:left w:w="120" w:type="dxa"/>
              <w:bottom w:w="30" w:type="dxa"/>
              <w:right w:w="120" w:type="dxa"/>
            </w:tcMar>
            <w:vAlign w:val="center"/>
          </w:tcPr>
          <w:p w14:paraId="608666E2">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美丽山川</w:t>
            </w:r>
          </w:p>
        </w:tc>
        <w:tc>
          <w:tcPr>
            <w:tcW w:w="2660" w:type="dxa"/>
            <w:tcMar>
              <w:top w:w="60" w:type="dxa"/>
              <w:left w:w="120" w:type="dxa"/>
              <w:bottom w:w="30" w:type="dxa"/>
              <w:right w:w="120" w:type="dxa"/>
            </w:tcMar>
            <w:vAlign w:val="center"/>
          </w:tcPr>
          <w:p w14:paraId="53F16864">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年度水土流失治理面积</w:t>
            </w:r>
          </w:p>
        </w:tc>
        <w:tc>
          <w:tcPr>
            <w:tcW w:w="1577" w:type="dxa"/>
            <w:tcMar>
              <w:top w:w="60" w:type="dxa"/>
              <w:left w:w="120" w:type="dxa"/>
              <w:bottom w:w="30" w:type="dxa"/>
              <w:right w:w="120" w:type="dxa"/>
            </w:tcMar>
            <w:vAlign w:val="center"/>
          </w:tcPr>
          <w:p w14:paraId="6E70B648">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7DD4EDC7">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137平方千米</w:t>
            </w:r>
          </w:p>
        </w:tc>
        <w:tc>
          <w:tcPr>
            <w:tcW w:w="2015" w:type="dxa"/>
            <w:shd w:val="clear" w:color="auto" w:fill="auto"/>
            <w:tcMar>
              <w:top w:w="60" w:type="dxa"/>
              <w:left w:w="120" w:type="dxa"/>
              <w:bottom w:w="30" w:type="dxa"/>
              <w:right w:w="120" w:type="dxa"/>
            </w:tcMar>
            <w:vAlign w:val="center"/>
          </w:tcPr>
          <w:p w14:paraId="07A95407">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完成州下达任务</w:t>
            </w:r>
          </w:p>
        </w:tc>
        <w:tc>
          <w:tcPr>
            <w:tcW w:w="2012" w:type="dxa"/>
            <w:shd w:val="clear" w:color="auto" w:fill="auto"/>
            <w:tcMar>
              <w:top w:w="60" w:type="dxa"/>
              <w:left w:w="120" w:type="dxa"/>
              <w:bottom w:w="30" w:type="dxa"/>
              <w:right w:w="120" w:type="dxa"/>
            </w:tcMar>
            <w:vAlign w:val="center"/>
          </w:tcPr>
          <w:p w14:paraId="2FAEFE87">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全域水土流失有效管控</w:t>
            </w:r>
          </w:p>
        </w:tc>
        <w:tc>
          <w:tcPr>
            <w:tcW w:w="2040" w:type="dxa"/>
            <w:shd w:val="clear" w:color="auto" w:fill="auto"/>
            <w:tcMar>
              <w:top w:w="60" w:type="dxa"/>
              <w:left w:w="120" w:type="dxa"/>
              <w:bottom w:w="30" w:type="dxa"/>
              <w:right w:w="120" w:type="dxa"/>
            </w:tcMar>
            <w:vAlign w:val="center"/>
          </w:tcPr>
          <w:p w14:paraId="2855408B">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县科学技术和农业畜牧水务局、</w:t>
            </w:r>
            <w:r>
              <w:rPr>
                <w:rFonts w:hint="eastAsia" w:ascii="Times New Roman" w:hAnsi="Times New Roman" w:eastAsia="仿宋_GB2312" w:cs="Times New Roman"/>
                <w:sz w:val="21"/>
                <w:szCs w:val="21"/>
                <w:lang w:val="en-US" w:eastAsia="zh-CN"/>
              </w:rPr>
              <w:t>阿坝</w:t>
            </w:r>
            <w:r>
              <w:rPr>
                <w:rFonts w:hint="default" w:ascii="Times New Roman" w:hAnsi="Times New Roman" w:eastAsia="仿宋_GB2312" w:cs="Times New Roman"/>
                <w:sz w:val="21"/>
                <w:szCs w:val="21"/>
              </w:rPr>
              <w:t>生态环境局</w:t>
            </w:r>
          </w:p>
        </w:tc>
      </w:tr>
      <w:tr w14:paraId="4951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31123BB4">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4</w:t>
            </w:r>
          </w:p>
        </w:tc>
        <w:tc>
          <w:tcPr>
            <w:tcW w:w="1179" w:type="dxa"/>
            <w:tcMar>
              <w:top w:w="60" w:type="dxa"/>
              <w:left w:w="120" w:type="dxa"/>
              <w:bottom w:w="30" w:type="dxa"/>
              <w:right w:w="120" w:type="dxa"/>
            </w:tcMar>
            <w:vAlign w:val="center"/>
          </w:tcPr>
          <w:p w14:paraId="4087C359">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美丽山川</w:t>
            </w:r>
          </w:p>
        </w:tc>
        <w:tc>
          <w:tcPr>
            <w:tcW w:w="2660" w:type="dxa"/>
            <w:tcMar>
              <w:top w:w="60" w:type="dxa"/>
              <w:left w:w="120" w:type="dxa"/>
              <w:bottom w:w="30" w:type="dxa"/>
              <w:right w:w="120" w:type="dxa"/>
            </w:tcMar>
            <w:vAlign w:val="center"/>
          </w:tcPr>
          <w:p w14:paraId="7F5562DD">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历史遗留</w:t>
            </w:r>
            <w:r>
              <w:rPr>
                <w:rFonts w:hint="eastAsia" w:ascii="Times New Roman" w:hAnsi="Times New Roman" w:eastAsia="仿宋_GB2312" w:cs="Times New Roman"/>
                <w:sz w:val="21"/>
                <w:szCs w:val="21"/>
                <w:lang w:val="en-US" w:eastAsia="zh-CN"/>
              </w:rPr>
              <w:t>废弃</w:t>
            </w:r>
            <w:r>
              <w:rPr>
                <w:rFonts w:hint="default" w:ascii="Times New Roman" w:hAnsi="Times New Roman" w:eastAsia="仿宋_GB2312" w:cs="Times New Roman"/>
                <w:sz w:val="21"/>
                <w:szCs w:val="21"/>
              </w:rPr>
              <w:t>矿山生态修复治理率</w:t>
            </w:r>
          </w:p>
        </w:tc>
        <w:tc>
          <w:tcPr>
            <w:tcW w:w="1577" w:type="dxa"/>
            <w:tcMar>
              <w:top w:w="60" w:type="dxa"/>
              <w:left w:w="120" w:type="dxa"/>
              <w:bottom w:w="30" w:type="dxa"/>
              <w:right w:w="120" w:type="dxa"/>
            </w:tcMar>
            <w:vAlign w:val="center"/>
          </w:tcPr>
          <w:p w14:paraId="73AEAECA">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5B08A175">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default" w:ascii="Times New Roman" w:hAnsi="Times New Roman" w:eastAsia="仿宋_GB2312" w:cs="Times New Roman"/>
                <w:sz w:val="21"/>
                <w:szCs w:val="21"/>
              </w:rPr>
              <w:t>完成年度治理任务</w:t>
            </w:r>
          </w:p>
        </w:tc>
        <w:tc>
          <w:tcPr>
            <w:tcW w:w="2015" w:type="dxa"/>
            <w:shd w:val="clear" w:color="auto" w:fill="auto"/>
            <w:tcMar>
              <w:top w:w="60" w:type="dxa"/>
              <w:left w:w="120" w:type="dxa"/>
              <w:bottom w:w="30" w:type="dxa"/>
              <w:right w:w="120" w:type="dxa"/>
            </w:tcMar>
            <w:vAlign w:val="center"/>
          </w:tcPr>
          <w:p w14:paraId="7AB7B3C4">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完成年度治理任务</w:t>
            </w:r>
          </w:p>
        </w:tc>
        <w:tc>
          <w:tcPr>
            <w:tcW w:w="2012" w:type="dxa"/>
            <w:shd w:val="clear" w:color="auto" w:fill="auto"/>
            <w:tcMar>
              <w:top w:w="60" w:type="dxa"/>
              <w:left w:w="120" w:type="dxa"/>
              <w:bottom w:w="30" w:type="dxa"/>
              <w:right w:w="120" w:type="dxa"/>
            </w:tcMar>
            <w:vAlign w:val="center"/>
          </w:tcPr>
          <w:p w14:paraId="595F7BA8">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存量矿山问题清零</w:t>
            </w:r>
          </w:p>
        </w:tc>
        <w:tc>
          <w:tcPr>
            <w:tcW w:w="2040" w:type="dxa"/>
            <w:shd w:val="clear" w:color="auto" w:fill="auto"/>
            <w:tcMar>
              <w:top w:w="60" w:type="dxa"/>
              <w:left w:w="120" w:type="dxa"/>
              <w:bottom w:w="30" w:type="dxa"/>
              <w:right w:w="120" w:type="dxa"/>
            </w:tcMar>
            <w:vAlign w:val="center"/>
          </w:tcPr>
          <w:p w14:paraId="23AF3471">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县自然资源局</w:t>
            </w:r>
          </w:p>
        </w:tc>
      </w:tr>
      <w:tr w14:paraId="584B1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1832D36C">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5</w:t>
            </w:r>
          </w:p>
        </w:tc>
        <w:tc>
          <w:tcPr>
            <w:tcW w:w="1179" w:type="dxa"/>
            <w:tcMar>
              <w:top w:w="60" w:type="dxa"/>
              <w:left w:w="120" w:type="dxa"/>
              <w:bottom w:w="30" w:type="dxa"/>
              <w:right w:w="120" w:type="dxa"/>
            </w:tcMar>
            <w:vAlign w:val="center"/>
          </w:tcPr>
          <w:p w14:paraId="4CF4D25B">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美丽山川</w:t>
            </w:r>
          </w:p>
        </w:tc>
        <w:tc>
          <w:tcPr>
            <w:tcW w:w="2660" w:type="dxa"/>
            <w:tcMar>
              <w:top w:w="60" w:type="dxa"/>
              <w:left w:w="120" w:type="dxa"/>
              <w:bottom w:w="30" w:type="dxa"/>
              <w:right w:w="120" w:type="dxa"/>
            </w:tcMar>
            <w:vAlign w:val="center"/>
          </w:tcPr>
          <w:p w14:paraId="287BC51C">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生态保护红线面积管控达标率</w:t>
            </w:r>
          </w:p>
        </w:tc>
        <w:tc>
          <w:tcPr>
            <w:tcW w:w="1577" w:type="dxa"/>
            <w:tcMar>
              <w:top w:w="60" w:type="dxa"/>
              <w:left w:w="120" w:type="dxa"/>
              <w:bottom w:w="30" w:type="dxa"/>
              <w:right w:w="120" w:type="dxa"/>
            </w:tcMar>
            <w:vAlign w:val="center"/>
          </w:tcPr>
          <w:p w14:paraId="0058B470">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6A97FFAA">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default" w:ascii="Times New Roman" w:hAnsi="Times New Roman" w:eastAsia="仿宋_GB2312" w:cs="Times New Roman"/>
                <w:sz w:val="21"/>
                <w:szCs w:val="21"/>
              </w:rPr>
              <w:t>100%</w:t>
            </w:r>
          </w:p>
        </w:tc>
        <w:tc>
          <w:tcPr>
            <w:tcW w:w="2015" w:type="dxa"/>
            <w:shd w:val="clear" w:color="auto" w:fill="auto"/>
            <w:tcMar>
              <w:top w:w="60" w:type="dxa"/>
              <w:left w:w="120" w:type="dxa"/>
              <w:bottom w:w="30" w:type="dxa"/>
              <w:right w:w="120" w:type="dxa"/>
            </w:tcMar>
            <w:vAlign w:val="center"/>
          </w:tcPr>
          <w:p w14:paraId="74DA8401">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12" w:type="dxa"/>
            <w:shd w:val="clear" w:color="auto" w:fill="auto"/>
            <w:tcMar>
              <w:top w:w="60" w:type="dxa"/>
              <w:left w:w="120" w:type="dxa"/>
              <w:bottom w:w="30" w:type="dxa"/>
              <w:right w:w="120" w:type="dxa"/>
            </w:tcMar>
            <w:vAlign w:val="center"/>
          </w:tcPr>
          <w:p w14:paraId="34A52D85">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40" w:type="dxa"/>
            <w:shd w:val="clear" w:color="auto" w:fill="auto"/>
            <w:tcMar>
              <w:top w:w="60" w:type="dxa"/>
              <w:left w:w="120" w:type="dxa"/>
              <w:bottom w:w="30" w:type="dxa"/>
              <w:right w:w="120" w:type="dxa"/>
            </w:tcMar>
            <w:vAlign w:val="center"/>
          </w:tcPr>
          <w:p w14:paraId="270474CC">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县自然资源局、</w:t>
            </w:r>
            <w:r>
              <w:rPr>
                <w:rFonts w:hint="eastAsia" w:ascii="Times New Roman" w:hAnsi="Times New Roman" w:eastAsia="仿宋_GB2312" w:cs="Times New Roman"/>
                <w:sz w:val="21"/>
                <w:szCs w:val="21"/>
                <w:lang w:val="en-US" w:eastAsia="zh-CN"/>
              </w:rPr>
              <w:t>阿坝</w:t>
            </w:r>
            <w:r>
              <w:rPr>
                <w:rFonts w:hint="default" w:ascii="Times New Roman" w:hAnsi="Times New Roman" w:eastAsia="仿宋_GB2312" w:cs="Times New Roman"/>
                <w:sz w:val="21"/>
                <w:szCs w:val="21"/>
              </w:rPr>
              <w:t>生态环境局</w:t>
            </w:r>
          </w:p>
        </w:tc>
      </w:tr>
      <w:tr w14:paraId="4BE8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7ECD786A">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6</w:t>
            </w:r>
          </w:p>
        </w:tc>
        <w:tc>
          <w:tcPr>
            <w:tcW w:w="1179" w:type="dxa"/>
            <w:tcMar>
              <w:top w:w="60" w:type="dxa"/>
              <w:left w:w="120" w:type="dxa"/>
              <w:bottom w:w="30" w:type="dxa"/>
              <w:right w:w="120" w:type="dxa"/>
            </w:tcMar>
            <w:vAlign w:val="center"/>
          </w:tcPr>
          <w:p w14:paraId="41D0E56A">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美丽山川</w:t>
            </w:r>
          </w:p>
        </w:tc>
        <w:tc>
          <w:tcPr>
            <w:tcW w:w="2660" w:type="dxa"/>
            <w:tcMar>
              <w:top w:w="60" w:type="dxa"/>
              <w:left w:w="120" w:type="dxa"/>
              <w:bottom w:w="30" w:type="dxa"/>
              <w:right w:w="120" w:type="dxa"/>
            </w:tcMar>
            <w:vAlign w:val="center"/>
          </w:tcPr>
          <w:p w14:paraId="74FAB5FB">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自然保护地规范化建设达标率</w:t>
            </w:r>
          </w:p>
        </w:tc>
        <w:tc>
          <w:tcPr>
            <w:tcW w:w="1577" w:type="dxa"/>
            <w:tcMar>
              <w:top w:w="60" w:type="dxa"/>
              <w:left w:w="120" w:type="dxa"/>
              <w:bottom w:w="30" w:type="dxa"/>
              <w:right w:w="120" w:type="dxa"/>
            </w:tcMar>
            <w:vAlign w:val="center"/>
          </w:tcPr>
          <w:p w14:paraId="409E32AD">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vAlign w:val="center"/>
          </w:tcPr>
          <w:p w14:paraId="459DC4F5">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w:t>
            </w:r>
          </w:p>
        </w:tc>
        <w:tc>
          <w:tcPr>
            <w:tcW w:w="2015" w:type="dxa"/>
            <w:shd w:val="clear" w:color="auto" w:fill="auto"/>
            <w:tcMar>
              <w:top w:w="60" w:type="dxa"/>
              <w:left w:w="120" w:type="dxa"/>
              <w:bottom w:w="30" w:type="dxa"/>
              <w:right w:w="120" w:type="dxa"/>
            </w:tcMar>
            <w:vAlign w:val="center"/>
          </w:tcPr>
          <w:p w14:paraId="636067B5">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显著提升</w:t>
            </w:r>
          </w:p>
        </w:tc>
        <w:tc>
          <w:tcPr>
            <w:tcW w:w="2012" w:type="dxa"/>
            <w:shd w:val="clear" w:color="auto" w:fill="auto"/>
            <w:tcMar>
              <w:top w:w="60" w:type="dxa"/>
              <w:left w:w="120" w:type="dxa"/>
              <w:bottom w:w="30" w:type="dxa"/>
              <w:right w:w="120" w:type="dxa"/>
            </w:tcMar>
            <w:vAlign w:val="center"/>
          </w:tcPr>
          <w:p w14:paraId="50602C55">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全面规范化管护</w:t>
            </w:r>
          </w:p>
        </w:tc>
        <w:tc>
          <w:tcPr>
            <w:tcW w:w="2040" w:type="dxa"/>
            <w:shd w:val="clear" w:color="auto" w:fill="auto"/>
            <w:tcMar>
              <w:top w:w="60" w:type="dxa"/>
              <w:left w:w="120" w:type="dxa"/>
              <w:bottom w:w="30" w:type="dxa"/>
              <w:right w:w="120" w:type="dxa"/>
            </w:tcMar>
            <w:vAlign w:val="center"/>
          </w:tcPr>
          <w:p w14:paraId="0496AE58">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县林草局、</w:t>
            </w:r>
            <w:r>
              <w:rPr>
                <w:rFonts w:hint="eastAsia" w:ascii="Times New Roman" w:hAnsi="Times New Roman" w:eastAsia="仿宋_GB2312" w:cs="Times New Roman"/>
                <w:sz w:val="21"/>
                <w:szCs w:val="21"/>
                <w:lang w:val="en-US" w:eastAsia="zh-CN"/>
              </w:rPr>
              <w:t>阿坝</w:t>
            </w:r>
            <w:r>
              <w:rPr>
                <w:rFonts w:hint="default" w:ascii="Times New Roman" w:hAnsi="Times New Roman" w:eastAsia="仿宋_GB2312" w:cs="Times New Roman"/>
                <w:sz w:val="21"/>
                <w:szCs w:val="21"/>
              </w:rPr>
              <w:t>生态环境局</w:t>
            </w:r>
          </w:p>
        </w:tc>
      </w:tr>
      <w:tr w14:paraId="525B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14516" w:type="dxa"/>
            <w:gridSpan w:val="8"/>
            <w:tcMar>
              <w:top w:w="60" w:type="dxa"/>
              <w:left w:w="120" w:type="dxa"/>
              <w:bottom w:w="30" w:type="dxa"/>
              <w:right w:w="120" w:type="dxa"/>
            </w:tcMar>
          </w:tcPr>
          <w:p w14:paraId="18037EB0">
            <w:pPr>
              <w:spacing w:before="120" w:after="120" w:line="240" w:lineRule="auto"/>
              <w:ind w:left="0"/>
              <w:jc w:val="left"/>
              <w:rPr>
                <w:rFonts w:hint="default" w:ascii="Times New Roman" w:hAnsi="Times New Roman" w:eastAsia="仿宋_GB2312" w:cs="Times New Roman"/>
                <w:sz w:val="20"/>
                <w:szCs w:val="21"/>
              </w:rPr>
            </w:pPr>
            <w:r>
              <w:rPr>
                <w:rFonts w:hint="default" w:ascii="Times New Roman" w:hAnsi="Times New Roman" w:eastAsia="仿宋_GB2312" w:cs="Times New Roman"/>
                <w:b/>
                <w:sz w:val="21"/>
                <w:szCs w:val="21"/>
              </w:rPr>
              <w:t>第二板块：美丽河湖（守护高原水生态环境）</w:t>
            </w:r>
          </w:p>
        </w:tc>
      </w:tr>
      <w:tr w14:paraId="7682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737" w:type="dxa"/>
            <w:tcMar>
              <w:top w:w="60" w:type="dxa"/>
              <w:left w:w="120" w:type="dxa"/>
              <w:bottom w:w="30" w:type="dxa"/>
              <w:right w:w="120" w:type="dxa"/>
            </w:tcMar>
            <w:vAlign w:val="center"/>
          </w:tcPr>
          <w:p w14:paraId="66987C23">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7</w:t>
            </w:r>
          </w:p>
        </w:tc>
        <w:tc>
          <w:tcPr>
            <w:tcW w:w="1179" w:type="dxa"/>
            <w:tcMar>
              <w:top w:w="60" w:type="dxa"/>
              <w:left w:w="120" w:type="dxa"/>
              <w:bottom w:w="30" w:type="dxa"/>
              <w:right w:w="120" w:type="dxa"/>
            </w:tcMar>
            <w:vAlign w:val="center"/>
          </w:tcPr>
          <w:p w14:paraId="21B37C3C">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美丽河湖</w:t>
            </w:r>
          </w:p>
        </w:tc>
        <w:tc>
          <w:tcPr>
            <w:tcW w:w="2660" w:type="dxa"/>
            <w:tcMar>
              <w:top w:w="60" w:type="dxa"/>
              <w:left w:w="120" w:type="dxa"/>
              <w:bottom w:w="30" w:type="dxa"/>
              <w:right w:w="120" w:type="dxa"/>
            </w:tcMar>
            <w:vAlign w:val="center"/>
          </w:tcPr>
          <w:p w14:paraId="34B72194">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县域地表水水质优良比例</w:t>
            </w:r>
          </w:p>
        </w:tc>
        <w:tc>
          <w:tcPr>
            <w:tcW w:w="1577" w:type="dxa"/>
            <w:tcMar>
              <w:top w:w="60" w:type="dxa"/>
              <w:left w:w="120" w:type="dxa"/>
              <w:bottom w:w="30" w:type="dxa"/>
              <w:right w:w="120" w:type="dxa"/>
            </w:tcMar>
            <w:vAlign w:val="center"/>
          </w:tcPr>
          <w:p w14:paraId="599D4393">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749B26B3">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15" w:type="dxa"/>
            <w:shd w:val="clear" w:color="auto" w:fill="auto"/>
            <w:tcMar>
              <w:top w:w="60" w:type="dxa"/>
              <w:left w:w="120" w:type="dxa"/>
              <w:bottom w:w="30" w:type="dxa"/>
              <w:right w:w="120" w:type="dxa"/>
            </w:tcMar>
            <w:vAlign w:val="center"/>
          </w:tcPr>
          <w:p w14:paraId="0AFFD42F">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12" w:type="dxa"/>
            <w:shd w:val="clear" w:color="auto" w:fill="auto"/>
            <w:tcMar>
              <w:top w:w="60" w:type="dxa"/>
              <w:left w:w="120" w:type="dxa"/>
              <w:bottom w:w="30" w:type="dxa"/>
              <w:right w:w="120" w:type="dxa"/>
            </w:tcMar>
            <w:vAlign w:val="center"/>
          </w:tcPr>
          <w:p w14:paraId="4AC8D294">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稳定100%</w:t>
            </w:r>
          </w:p>
        </w:tc>
        <w:tc>
          <w:tcPr>
            <w:tcW w:w="2040" w:type="dxa"/>
            <w:shd w:val="clear" w:color="auto" w:fill="auto"/>
            <w:tcMar>
              <w:top w:w="60" w:type="dxa"/>
              <w:left w:w="120" w:type="dxa"/>
              <w:bottom w:w="30" w:type="dxa"/>
              <w:right w:w="120" w:type="dxa"/>
            </w:tcMar>
            <w:vAlign w:val="center"/>
          </w:tcPr>
          <w:p w14:paraId="7BFBFEFF">
            <w:pPr>
              <w:spacing w:before="120" w:after="120" w:line="240" w:lineRule="auto"/>
              <w:ind w:left="0" w:leftChars="0"/>
              <w:jc w:val="center"/>
              <w:rPr>
                <w:rFonts w:hint="default" w:ascii="Times New Roman" w:hAnsi="Times New Roman" w:eastAsia="仿宋_GB2312" w:cs="Times New Roman"/>
                <w:sz w:val="20"/>
                <w:szCs w:val="21"/>
              </w:rPr>
            </w:pPr>
            <w:r>
              <w:rPr>
                <w:rFonts w:hint="eastAsia" w:ascii="Times New Roman" w:hAnsi="Times New Roman" w:eastAsia="仿宋_GB2312" w:cs="Times New Roman"/>
                <w:sz w:val="21"/>
                <w:szCs w:val="21"/>
                <w:lang w:val="en-US" w:eastAsia="zh-CN"/>
              </w:rPr>
              <w:t>阿坝</w:t>
            </w:r>
            <w:r>
              <w:rPr>
                <w:rFonts w:hint="default" w:ascii="Times New Roman" w:hAnsi="Times New Roman" w:eastAsia="仿宋_GB2312" w:cs="Times New Roman"/>
                <w:sz w:val="21"/>
                <w:szCs w:val="21"/>
              </w:rPr>
              <w:t>生态环境局</w:t>
            </w:r>
          </w:p>
        </w:tc>
      </w:tr>
      <w:tr w14:paraId="14FC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40" w:hRule="atLeast"/>
          <w:jc w:val="center"/>
        </w:trPr>
        <w:tc>
          <w:tcPr>
            <w:tcW w:w="737" w:type="dxa"/>
            <w:tcMar>
              <w:top w:w="60" w:type="dxa"/>
              <w:left w:w="120" w:type="dxa"/>
              <w:bottom w:w="30" w:type="dxa"/>
              <w:right w:w="120" w:type="dxa"/>
            </w:tcMar>
            <w:vAlign w:val="center"/>
          </w:tcPr>
          <w:p w14:paraId="0A236390">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8</w:t>
            </w:r>
          </w:p>
        </w:tc>
        <w:tc>
          <w:tcPr>
            <w:tcW w:w="1179" w:type="dxa"/>
            <w:tcMar>
              <w:top w:w="60" w:type="dxa"/>
              <w:left w:w="120" w:type="dxa"/>
              <w:bottom w:w="30" w:type="dxa"/>
              <w:right w:w="120" w:type="dxa"/>
            </w:tcMar>
            <w:vAlign w:val="center"/>
          </w:tcPr>
          <w:p w14:paraId="00564E28">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美丽河湖</w:t>
            </w:r>
          </w:p>
        </w:tc>
        <w:tc>
          <w:tcPr>
            <w:tcW w:w="2660" w:type="dxa"/>
            <w:tcMar>
              <w:top w:w="60" w:type="dxa"/>
              <w:left w:w="120" w:type="dxa"/>
              <w:bottom w:w="30" w:type="dxa"/>
              <w:right w:w="120" w:type="dxa"/>
            </w:tcMar>
            <w:vAlign w:val="center"/>
          </w:tcPr>
          <w:p w14:paraId="4F11DDD2">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集中式饮用水水源地水质达标率</w:t>
            </w:r>
          </w:p>
        </w:tc>
        <w:tc>
          <w:tcPr>
            <w:tcW w:w="1577" w:type="dxa"/>
            <w:tcMar>
              <w:top w:w="60" w:type="dxa"/>
              <w:left w:w="120" w:type="dxa"/>
              <w:bottom w:w="30" w:type="dxa"/>
              <w:right w:w="120" w:type="dxa"/>
            </w:tcMar>
            <w:vAlign w:val="center"/>
          </w:tcPr>
          <w:p w14:paraId="1B305E5A">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7DD17644">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15" w:type="dxa"/>
            <w:shd w:val="clear" w:color="auto" w:fill="auto"/>
            <w:tcMar>
              <w:top w:w="60" w:type="dxa"/>
              <w:left w:w="120" w:type="dxa"/>
              <w:bottom w:w="30" w:type="dxa"/>
              <w:right w:w="120" w:type="dxa"/>
            </w:tcMar>
            <w:vAlign w:val="center"/>
          </w:tcPr>
          <w:p w14:paraId="3D318E7B">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12" w:type="dxa"/>
            <w:shd w:val="clear" w:color="auto" w:fill="auto"/>
            <w:tcMar>
              <w:top w:w="60" w:type="dxa"/>
              <w:left w:w="120" w:type="dxa"/>
              <w:bottom w:w="30" w:type="dxa"/>
              <w:right w:w="120" w:type="dxa"/>
            </w:tcMar>
            <w:vAlign w:val="center"/>
          </w:tcPr>
          <w:p w14:paraId="333A1AA0">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40" w:type="dxa"/>
            <w:shd w:val="clear" w:color="auto" w:fill="auto"/>
            <w:tcMar>
              <w:top w:w="60" w:type="dxa"/>
              <w:left w:w="120" w:type="dxa"/>
              <w:bottom w:w="30" w:type="dxa"/>
              <w:right w:w="120" w:type="dxa"/>
            </w:tcMar>
            <w:vAlign w:val="center"/>
          </w:tcPr>
          <w:p w14:paraId="3B71649D">
            <w:pPr>
              <w:spacing w:before="120" w:after="120" w:line="240" w:lineRule="auto"/>
              <w:ind w:left="0" w:leftChars="0"/>
              <w:jc w:val="center"/>
              <w:rPr>
                <w:rFonts w:hint="default" w:ascii="Times New Roman" w:hAnsi="Times New Roman" w:eastAsia="仿宋_GB2312" w:cs="Times New Roman"/>
                <w:sz w:val="20"/>
                <w:szCs w:val="21"/>
              </w:rPr>
            </w:pPr>
            <w:r>
              <w:rPr>
                <w:rFonts w:hint="eastAsia" w:ascii="Times New Roman" w:hAnsi="Times New Roman" w:eastAsia="仿宋_GB2312" w:cs="Times New Roman"/>
                <w:sz w:val="21"/>
                <w:szCs w:val="21"/>
                <w:lang w:val="en-US" w:eastAsia="zh-CN"/>
              </w:rPr>
              <w:t>阿坝</w:t>
            </w:r>
            <w:r>
              <w:rPr>
                <w:rFonts w:hint="default" w:ascii="Times New Roman" w:hAnsi="Times New Roman" w:eastAsia="仿宋_GB2312" w:cs="Times New Roman"/>
                <w:sz w:val="21"/>
                <w:szCs w:val="21"/>
              </w:rPr>
              <w:t>生态环境局、县科学技术和农业畜牧水务局</w:t>
            </w:r>
          </w:p>
        </w:tc>
      </w:tr>
      <w:tr w14:paraId="11FE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40" w:hRule="atLeast"/>
          <w:jc w:val="center"/>
        </w:trPr>
        <w:tc>
          <w:tcPr>
            <w:tcW w:w="737" w:type="dxa"/>
            <w:tcMar>
              <w:top w:w="60" w:type="dxa"/>
              <w:left w:w="120" w:type="dxa"/>
              <w:bottom w:w="30" w:type="dxa"/>
              <w:right w:w="120" w:type="dxa"/>
            </w:tcMar>
            <w:vAlign w:val="center"/>
          </w:tcPr>
          <w:p w14:paraId="577C3463">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9</w:t>
            </w:r>
          </w:p>
        </w:tc>
        <w:tc>
          <w:tcPr>
            <w:tcW w:w="1179" w:type="dxa"/>
            <w:tcMar>
              <w:top w:w="60" w:type="dxa"/>
              <w:left w:w="120" w:type="dxa"/>
              <w:bottom w:w="30" w:type="dxa"/>
              <w:right w:w="120" w:type="dxa"/>
            </w:tcMar>
            <w:vAlign w:val="center"/>
          </w:tcPr>
          <w:p w14:paraId="551B7F8D">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美丽河湖</w:t>
            </w:r>
          </w:p>
        </w:tc>
        <w:tc>
          <w:tcPr>
            <w:tcW w:w="2660" w:type="dxa"/>
            <w:tcMar>
              <w:top w:w="60" w:type="dxa"/>
              <w:left w:w="120" w:type="dxa"/>
              <w:bottom w:w="30" w:type="dxa"/>
              <w:right w:w="120" w:type="dxa"/>
            </w:tcMar>
            <w:vAlign w:val="center"/>
          </w:tcPr>
          <w:p w14:paraId="17207962">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县城生活污水处理率</w:t>
            </w:r>
          </w:p>
        </w:tc>
        <w:tc>
          <w:tcPr>
            <w:tcW w:w="1577" w:type="dxa"/>
            <w:tcMar>
              <w:top w:w="60" w:type="dxa"/>
              <w:left w:w="120" w:type="dxa"/>
              <w:bottom w:w="30" w:type="dxa"/>
              <w:right w:w="120" w:type="dxa"/>
            </w:tcMar>
            <w:vAlign w:val="center"/>
          </w:tcPr>
          <w:p w14:paraId="4909C85D">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2D0AA6F0">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99.93%</w:t>
            </w:r>
          </w:p>
        </w:tc>
        <w:tc>
          <w:tcPr>
            <w:tcW w:w="2015" w:type="dxa"/>
            <w:shd w:val="clear" w:color="auto" w:fill="auto"/>
            <w:tcMar>
              <w:top w:w="60" w:type="dxa"/>
              <w:left w:w="120" w:type="dxa"/>
              <w:bottom w:w="30" w:type="dxa"/>
              <w:right w:w="120" w:type="dxa"/>
            </w:tcMar>
            <w:vAlign w:val="center"/>
          </w:tcPr>
          <w:p w14:paraId="0C2064EE">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达标提升</w:t>
            </w:r>
          </w:p>
        </w:tc>
        <w:tc>
          <w:tcPr>
            <w:tcW w:w="2012" w:type="dxa"/>
            <w:shd w:val="clear" w:color="auto" w:fill="auto"/>
            <w:tcMar>
              <w:top w:w="60" w:type="dxa"/>
              <w:left w:w="120" w:type="dxa"/>
              <w:bottom w:w="30" w:type="dxa"/>
              <w:right w:w="120" w:type="dxa"/>
            </w:tcMar>
            <w:vAlign w:val="center"/>
          </w:tcPr>
          <w:p w14:paraId="555F8B6F">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稳定高标准运行</w:t>
            </w:r>
          </w:p>
        </w:tc>
        <w:tc>
          <w:tcPr>
            <w:tcW w:w="2040" w:type="dxa"/>
            <w:shd w:val="clear" w:color="auto" w:fill="auto"/>
            <w:tcMar>
              <w:top w:w="60" w:type="dxa"/>
              <w:left w:w="120" w:type="dxa"/>
              <w:bottom w:w="30" w:type="dxa"/>
              <w:right w:w="120" w:type="dxa"/>
            </w:tcMar>
            <w:vAlign w:val="center"/>
          </w:tcPr>
          <w:p w14:paraId="27936063">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县住建局、县科学技术和农业畜牧水务局</w:t>
            </w:r>
          </w:p>
        </w:tc>
      </w:tr>
      <w:tr w14:paraId="4896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2CB7FFC7">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w:t>
            </w:r>
          </w:p>
        </w:tc>
        <w:tc>
          <w:tcPr>
            <w:tcW w:w="1179" w:type="dxa"/>
            <w:tcMar>
              <w:top w:w="60" w:type="dxa"/>
              <w:left w:w="120" w:type="dxa"/>
              <w:bottom w:w="30" w:type="dxa"/>
              <w:right w:w="120" w:type="dxa"/>
            </w:tcMar>
            <w:vAlign w:val="center"/>
          </w:tcPr>
          <w:p w14:paraId="52F3F227">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美丽河湖</w:t>
            </w:r>
          </w:p>
        </w:tc>
        <w:tc>
          <w:tcPr>
            <w:tcW w:w="2660" w:type="dxa"/>
            <w:tcMar>
              <w:top w:w="60" w:type="dxa"/>
              <w:left w:w="120" w:type="dxa"/>
              <w:bottom w:w="30" w:type="dxa"/>
              <w:right w:w="120" w:type="dxa"/>
            </w:tcMar>
            <w:vAlign w:val="center"/>
          </w:tcPr>
          <w:p w14:paraId="458896DD">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农村生活污水有效治理率</w:t>
            </w:r>
          </w:p>
        </w:tc>
        <w:tc>
          <w:tcPr>
            <w:tcW w:w="1577" w:type="dxa"/>
            <w:tcMar>
              <w:top w:w="60" w:type="dxa"/>
              <w:left w:w="120" w:type="dxa"/>
              <w:bottom w:w="30" w:type="dxa"/>
              <w:right w:w="120" w:type="dxa"/>
            </w:tcMar>
            <w:vAlign w:val="center"/>
          </w:tcPr>
          <w:p w14:paraId="7379327B">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vAlign w:val="center"/>
          </w:tcPr>
          <w:p w14:paraId="1EC9F787">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65%</w:t>
            </w:r>
          </w:p>
        </w:tc>
        <w:tc>
          <w:tcPr>
            <w:tcW w:w="2015" w:type="dxa"/>
            <w:shd w:val="clear" w:color="auto" w:fill="auto"/>
            <w:tcMar>
              <w:top w:w="60" w:type="dxa"/>
              <w:left w:w="120" w:type="dxa"/>
              <w:bottom w:w="30" w:type="dxa"/>
              <w:right w:w="120" w:type="dxa"/>
            </w:tcMar>
            <w:vAlign w:val="center"/>
          </w:tcPr>
          <w:p w14:paraId="0A7D332A">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稳步提升</w:t>
            </w:r>
          </w:p>
        </w:tc>
        <w:tc>
          <w:tcPr>
            <w:tcW w:w="2012" w:type="dxa"/>
            <w:shd w:val="clear" w:color="auto" w:fill="auto"/>
            <w:tcMar>
              <w:top w:w="60" w:type="dxa"/>
              <w:left w:w="120" w:type="dxa"/>
              <w:bottom w:w="30" w:type="dxa"/>
              <w:right w:w="120" w:type="dxa"/>
            </w:tcMar>
            <w:vAlign w:val="center"/>
          </w:tcPr>
          <w:p w14:paraId="37B80411">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全域有效治理</w:t>
            </w:r>
          </w:p>
        </w:tc>
        <w:tc>
          <w:tcPr>
            <w:tcW w:w="2040" w:type="dxa"/>
            <w:shd w:val="clear" w:color="auto" w:fill="auto"/>
            <w:tcMar>
              <w:top w:w="60" w:type="dxa"/>
              <w:left w:w="120" w:type="dxa"/>
              <w:bottom w:w="30" w:type="dxa"/>
              <w:right w:w="120" w:type="dxa"/>
            </w:tcMar>
            <w:vAlign w:val="center"/>
          </w:tcPr>
          <w:p w14:paraId="5C821C3B">
            <w:pPr>
              <w:spacing w:before="120" w:after="120" w:line="240" w:lineRule="auto"/>
              <w:ind w:left="0" w:leftChars="0"/>
              <w:jc w:val="center"/>
              <w:rPr>
                <w:rFonts w:hint="default" w:ascii="Times New Roman" w:hAnsi="Times New Roman" w:eastAsia="仿宋_GB2312" w:cs="Times New Roman"/>
                <w:sz w:val="20"/>
                <w:szCs w:val="21"/>
              </w:rPr>
            </w:pPr>
            <w:r>
              <w:rPr>
                <w:rFonts w:hint="eastAsia" w:ascii="Times New Roman" w:hAnsi="Times New Roman" w:eastAsia="仿宋_GB2312" w:cs="Times New Roman"/>
                <w:sz w:val="21"/>
                <w:szCs w:val="21"/>
                <w:lang w:val="en-US" w:eastAsia="zh-CN"/>
              </w:rPr>
              <w:t>阿坝</w:t>
            </w:r>
            <w:r>
              <w:rPr>
                <w:rFonts w:hint="default" w:ascii="Times New Roman" w:hAnsi="Times New Roman" w:eastAsia="仿宋_GB2312" w:cs="Times New Roman"/>
                <w:sz w:val="21"/>
                <w:szCs w:val="21"/>
              </w:rPr>
              <w:t>生态环境局、各乡镇</w:t>
            </w:r>
          </w:p>
        </w:tc>
      </w:tr>
      <w:tr w14:paraId="2E1D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40" w:hRule="atLeast"/>
          <w:jc w:val="center"/>
        </w:trPr>
        <w:tc>
          <w:tcPr>
            <w:tcW w:w="737" w:type="dxa"/>
            <w:tcMar>
              <w:top w:w="60" w:type="dxa"/>
              <w:left w:w="120" w:type="dxa"/>
              <w:bottom w:w="30" w:type="dxa"/>
              <w:right w:w="120" w:type="dxa"/>
            </w:tcMar>
            <w:vAlign w:val="center"/>
          </w:tcPr>
          <w:p w14:paraId="5A68802E">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11</w:t>
            </w:r>
          </w:p>
        </w:tc>
        <w:tc>
          <w:tcPr>
            <w:tcW w:w="1179" w:type="dxa"/>
            <w:tcMar>
              <w:top w:w="60" w:type="dxa"/>
              <w:left w:w="120" w:type="dxa"/>
              <w:bottom w:w="30" w:type="dxa"/>
              <w:right w:w="120" w:type="dxa"/>
            </w:tcMar>
            <w:vAlign w:val="center"/>
          </w:tcPr>
          <w:p w14:paraId="5C68BF8F">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美丽河湖</w:t>
            </w:r>
          </w:p>
        </w:tc>
        <w:tc>
          <w:tcPr>
            <w:tcW w:w="2660" w:type="dxa"/>
            <w:tcMar>
              <w:top w:w="60" w:type="dxa"/>
              <w:left w:w="120" w:type="dxa"/>
              <w:bottom w:w="30" w:type="dxa"/>
              <w:right w:w="120" w:type="dxa"/>
            </w:tcMar>
            <w:vAlign w:val="center"/>
          </w:tcPr>
          <w:p w14:paraId="3A9D5CCF">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美丽幸福河湖创建数量</w:t>
            </w:r>
          </w:p>
        </w:tc>
        <w:tc>
          <w:tcPr>
            <w:tcW w:w="1577" w:type="dxa"/>
            <w:tcMar>
              <w:top w:w="60" w:type="dxa"/>
              <w:left w:w="120" w:type="dxa"/>
              <w:bottom w:w="30" w:type="dxa"/>
              <w:right w:w="120" w:type="dxa"/>
            </w:tcMar>
            <w:vAlign w:val="center"/>
          </w:tcPr>
          <w:p w14:paraId="0CEBB098">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vAlign w:val="center"/>
          </w:tcPr>
          <w:p w14:paraId="18AF6AFD">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2条</w:t>
            </w:r>
          </w:p>
        </w:tc>
        <w:tc>
          <w:tcPr>
            <w:tcW w:w="2015" w:type="dxa"/>
            <w:shd w:val="clear" w:color="auto" w:fill="auto"/>
            <w:tcMar>
              <w:top w:w="60" w:type="dxa"/>
              <w:left w:w="120" w:type="dxa"/>
              <w:bottom w:w="30" w:type="dxa"/>
              <w:right w:w="120" w:type="dxa"/>
            </w:tcMar>
            <w:vAlign w:val="center"/>
          </w:tcPr>
          <w:p w14:paraId="4C18C1E2">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完成州下达创建任务</w:t>
            </w:r>
          </w:p>
        </w:tc>
        <w:tc>
          <w:tcPr>
            <w:tcW w:w="2012" w:type="dxa"/>
            <w:shd w:val="clear" w:color="auto" w:fill="auto"/>
            <w:tcMar>
              <w:top w:w="60" w:type="dxa"/>
              <w:left w:w="120" w:type="dxa"/>
              <w:bottom w:w="30" w:type="dxa"/>
              <w:right w:w="120" w:type="dxa"/>
            </w:tcMar>
            <w:vAlign w:val="center"/>
          </w:tcPr>
          <w:p w14:paraId="18F1D0A3">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重点河湖全部达标创建</w:t>
            </w:r>
          </w:p>
        </w:tc>
        <w:tc>
          <w:tcPr>
            <w:tcW w:w="2040" w:type="dxa"/>
            <w:shd w:val="clear" w:color="auto" w:fill="auto"/>
            <w:tcMar>
              <w:top w:w="60" w:type="dxa"/>
              <w:left w:w="120" w:type="dxa"/>
              <w:bottom w:w="30" w:type="dxa"/>
              <w:right w:w="120" w:type="dxa"/>
            </w:tcMar>
            <w:vAlign w:val="center"/>
          </w:tcPr>
          <w:p w14:paraId="7C1B8334">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县科学技术和农业畜牧水务局、</w:t>
            </w:r>
            <w:r>
              <w:rPr>
                <w:rFonts w:hint="eastAsia" w:ascii="Times New Roman" w:hAnsi="Times New Roman" w:eastAsia="仿宋_GB2312" w:cs="Times New Roman"/>
                <w:sz w:val="21"/>
                <w:szCs w:val="21"/>
                <w:lang w:val="en-US" w:eastAsia="zh-CN"/>
              </w:rPr>
              <w:t>阿坝</w:t>
            </w:r>
            <w:r>
              <w:rPr>
                <w:rFonts w:hint="default" w:ascii="Times New Roman" w:hAnsi="Times New Roman" w:eastAsia="仿宋_GB2312" w:cs="Times New Roman"/>
                <w:sz w:val="21"/>
                <w:szCs w:val="21"/>
              </w:rPr>
              <w:t>生态环境局</w:t>
            </w:r>
          </w:p>
        </w:tc>
      </w:tr>
      <w:tr w14:paraId="64EC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14516" w:type="dxa"/>
            <w:gridSpan w:val="8"/>
            <w:tcMar>
              <w:top w:w="60" w:type="dxa"/>
              <w:left w:w="120" w:type="dxa"/>
              <w:bottom w:w="30" w:type="dxa"/>
              <w:right w:w="120" w:type="dxa"/>
            </w:tcMar>
          </w:tcPr>
          <w:p w14:paraId="432E39D4">
            <w:pPr>
              <w:spacing w:before="120" w:after="120" w:line="240" w:lineRule="auto"/>
              <w:ind w:left="0"/>
              <w:jc w:val="left"/>
              <w:rPr>
                <w:rFonts w:hint="default" w:ascii="Times New Roman" w:hAnsi="Times New Roman" w:eastAsia="仿宋_GB2312" w:cs="Times New Roman"/>
                <w:sz w:val="20"/>
                <w:szCs w:val="21"/>
              </w:rPr>
            </w:pPr>
            <w:r>
              <w:rPr>
                <w:rFonts w:hint="default" w:ascii="Times New Roman" w:hAnsi="Times New Roman" w:eastAsia="仿宋_GB2312" w:cs="Times New Roman"/>
                <w:b/>
                <w:sz w:val="21"/>
                <w:szCs w:val="21"/>
              </w:rPr>
              <w:t>第三板块：美丽城市（提升县城宜居品质）</w:t>
            </w:r>
          </w:p>
        </w:tc>
      </w:tr>
      <w:tr w14:paraId="2C56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21427997">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12</w:t>
            </w:r>
          </w:p>
        </w:tc>
        <w:tc>
          <w:tcPr>
            <w:tcW w:w="1179" w:type="dxa"/>
            <w:tcMar>
              <w:top w:w="60" w:type="dxa"/>
              <w:left w:w="120" w:type="dxa"/>
              <w:bottom w:w="30" w:type="dxa"/>
              <w:right w:w="120" w:type="dxa"/>
            </w:tcMar>
            <w:vAlign w:val="center"/>
          </w:tcPr>
          <w:p w14:paraId="1C9C3424">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美丽城市</w:t>
            </w:r>
          </w:p>
        </w:tc>
        <w:tc>
          <w:tcPr>
            <w:tcW w:w="2660" w:type="dxa"/>
            <w:tcMar>
              <w:top w:w="60" w:type="dxa"/>
              <w:left w:w="120" w:type="dxa"/>
              <w:bottom w:w="30" w:type="dxa"/>
              <w:right w:w="120" w:type="dxa"/>
            </w:tcMar>
            <w:vAlign w:val="center"/>
          </w:tcPr>
          <w:p w14:paraId="48139884">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环境空气质量优良天数比率</w:t>
            </w:r>
          </w:p>
        </w:tc>
        <w:tc>
          <w:tcPr>
            <w:tcW w:w="1577" w:type="dxa"/>
            <w:tcMar>
              <w:top w:w="60" w:type="dxa"/>
              <w:left w:w="120" w:type="dxa"/>
              <w:bottom w:w="30" w:type="dxa"/>
              <w:right w:w="120" w:type="dxa"/>
            </w:tcMar>
            <w:vAlign w:val="center"/>
          </w:tcPr>
          <w:p w14:paraId="5BD6DDB0">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085AAF43">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100%</w:t>
            </w:r>
          </w:p>
        </w:tc>
        <w:tc>
          <w:tcPr>
            <w:tcW w:w="2015" w:type="dxa"/>
            <w:shd w:val="clear" w:color="auto" w:fill="auto"/>
            <w:tcMar>
              <w:top w:w="60" w:type="dxa"/>
              <w:left w:w="120" w:type="dxa"/>
              <w:bottom w:w="30" w:type="dxa"/>
              <w:right w:w="120" w:type="dxa"/>
            </w:tcMar>
            <w:vAlign w:val="center"/>
          </w:tcPr>
          <w:p w14:paraId="772D0CFB">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稳定高位运行</w:t>
            </w:r>
          </w:p>
        </w:tc>
        <w:tc>
          <w:tcPr>
            <w:tcW w:w="2012" w:type="dxa"/>
            <w:shd w:val="clear" w:color="auto" w:fill="auto"/>
            <w:tcMar>
              <w:top w:w="60" w:type="dxa"/>
              <w:left w:w="120" w:type="dxa"/>
              <w:bottom w:w="30" w:type="dxa"/>
              <w:right w:w="120" w:type="dxa"/>
            </w:tcMar>
            <w:vAlign w:val="center"/>
          </w:tcPr>
          <w:p w14:paraId="239CCE5E">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持续保持优良水平</w:t>
            </w:r>
          </w:p>
        </w:tc>
        <w:tc>
          <w:tcPr>
            <w:tcW w:w="2040" w:type="dxa"/>
            <w:shd w:val="clear" w:color="auto" w:fill="auto"/>
            <w:tcMar>
              <w:top w:w="60" w:type="dxa"/>
              <w:left w:w="120" w:type="dxa"/>
              <w:bottom w:w="30" w:type="dxa"/>
              <w:right w:w="120" w:type="dxa"/>
            </w:tcMar>
            <w:vAlign w:val="center"/>
          </w:tcPr>
          <w:p w14:paraId="5090B11F">
            <w:pPr>
              <w:spacing w:before="120" w:after="120" w:line="240" w:lineRule="auto"/>
              <w:ind w:left="0" w:leftChars="0"/>
              <w:jc w:val="center"/>
              <w:rPr>
                <w:rFonts w:hint="default" w:ascii="Times New Roman" w:hAnsi="Times New Roman" w:eastAsia="仿宋_GB2312" w:cs="Times New Roman"/>
                <w:sz w:val="20"/>
                <w:szCs w:val="21"/>
              </w:rPr>
            </w:pPr>
            <w:r>
              <w:rPr>
                <w:rFonts w:hint="eastAsia" w:ascii="Times New Roman" w:hAnsi="Times New Roman" w:eastAsia="仿宋_GB2312" w:cs="Times New Roman"/>
                <w:sz w:val="21"/>
                <w:szCs w:val="21"/>
                <w:lang w:val="en-US" w:eastAsia="zh-CN"/>
              </w:rPr>
              <w:t>阿坝</w:t>
            </w:r>
            <w:r>
              <w:rPr>
                <w:rFonts w:hint="default" w:ascii="Times New Roman" w:hAnsi="Times New Roman" w:eastAsia="仿宋_GB2312" w:cs="Times New Roman"/>
                <w:sz w:val="21"/>
                <w:szCs w:val="21"/>
              </w:rPr>
              <w:t>生态环境局</w:t>
            </w:r>
          </w:p>
        </w:tc>
      </w:tr>
      <w:tr w14:paraId="2092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737" w:type="dxa"/>
            <w:tcMar>
              <w:top w:w="60" w:type="dxa"/>
              <w:left w:w="120" w:type="dxa"/>
              <w:bottom w:w="30" w:type="dxa"/>
              <w:right w:w="120" w:type="dxa"/>
            </w:tcMar>
            <w:vAlign w:val="center"/>
          </w:tcPr>
          <w:p w14:paraId="2FDBA4BF">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13</w:t>
            </w:r>
          </w:p>
        </w:tc>
        <w:tc>
          <w:tcPr>
            <w:tcW w:w="1179" w:type="dxa"/>
            <w:tcMar>
              <w:top w:w="60" w:type="dxa"/>
              <w:left w:w="120" w:type="dxa"/>
              <w:bottom w:w="30" w:type="dxa"/>
              <w:right w:w="120" w:type="dxa"/>
            </w:tcMar>
            <w:vAlign w:val="center"/>
          </w:tcPr>
          <w:p w14:paraId="2C00C6E9">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美丽城市</w:t>
            </w:r>
          </w:p>
        </w:tc>
        <w:tc>
          <w:tcPr>
            <w:tcW w:w="2660" w:type="dxa"/>
            <w:tcMar>
              <w:top w:w="60" w:type="dxa"/>
              <w:left w:w="120" w:type="dxa"/>
              <w:bottom w:w="30" w:type="dxa"/>
              <w:right w:w="120" w:type="dxa"/>
            </w:tcMar>
            <w:vAlign w:val="center"/>
          </w:tcPr>
          <w:p w14:paraId="2508AAFA">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县城生活垃圾无害化处理率</w:t>
            </w:r>
          </w:p>
        </w:tc>
        <w:tc>
          <w:tcPr>
            <w:tcW w:w="1577" w:type="dxa"/>
            <w:tcMar>
              <w:top w:w="60" w:type="dxa"/>
              <w:left w:w="120" w:type="dxa"/>
              <w:bottom w:w="30" w:type="dxa"/>
              <w:right w:w="120" w:type="dxa"/>
            </w:tcMar>
            <w:vAlign w:val="center"/>
          </w:tcPr>
          <w:p w14:paraId="4F9F54A6">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1CB6B41C">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15" w:type="dxa"/>
            <w:shd w:val="clear" w:color="auto" w:fill="auto"/>
            <w:tcMar>
              <w:top w:w="60" w:type="dxa"/>
              <w:left w:w="120" w:type="dxa"/>
              <w:bottom w:w="30" w:type="dxa"/>
              <w:right w:w="120" w:type="dxa"/>
            </w:tcMar>
            <w:vAlign w:val="center"/>
          </w:tcPr>
          <w:p w14:paraId="776BDD34">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12" w:type="dxa"/>
            <w:shd w:val="clear" w:color="auto" w:fill="auto"/>
            <w:tcMar>
              <w:top w:w="60" w:type="dxa"/>
              <w:left w:w="120" w:type="dxa"/>
              <w:bottom w:w="30" w:type="dxa"/>
              <w:right w:w="120" w:type="dxa"/>
            </w:tcMar>
            <w:vAlign w:val="center"/>
          </w:tcPr>
          <w:p w14:paraId="512AFBE8">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40" w:type="dxa"/>
            <w:shd w:val="clear" w:color="auto" w:fill="auto"/>
            <w:tcMar>
              <w:top w:w="60" w:type="dxa"/>
              <w:left w:w="120" w:type="dxa"/>
              <w:bottom w:w="30" w:type="dxa"/>
              <w:right w:w="120" w:type="dxa"/>
            </w:tcMar>
            <w:vAlign w:val="center"/>
          </w:tcPr>
          <w:p w14:paraId="30C012D2">
            <w:pPr>
              <w:spacing w:before="120" w:after="120" w:line="240" w:lineRule="auto"/>
              <w:ind w:left="0" w:leftChars="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1"/>
                <w:szCs w:val="21"/>
                <w:lang w:val="en-US" w:eastAsia="zh-CN"/>
              </w:rPr>
              <w:t>阿坝</w:t>
            </w:r>
            <w:r>
              <w:rPr>
                <w:rFonts w:hint="default" w:ascii="Times New Roman" w:hAnsi="Times New Roman" w:eastAsia="仿宋_GB2312" w:cs="Times New Roman"/>
                <w:sz w:val="21"/>
                <w:szCs w:val="21"/>
              </w:rPr>
              <w:t>县</w:t>
            </w:r>
            <w:r>
              <w:rPr>
                <w:rFonts w:hint="eastAsia" w:ascii="Times New Roman" w:hAnsi="Times New Roman" w:eastAsia="仿宋_GB2312" w:cs="Times New Roman"/>
                <w:sz w:val="21"/>
                <w:szCs w:val="21"/>
                <w:lang w:val="en-US" w:eastAsia="zh-CN"/>
              </w:rPr>
              <w:t>公共事业服务中心</w:t>
            </w:r>
          </w:p>
        </w:tc>
      </w:tr>
      <w:tr w14:paraId="67FF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20DFFA47">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14</w:t>
            </w:r>
          </w:p>
        </w:tc>
        <w:tc>
          <w:tcPr>
            <w:tcW w:w="1179" w:type="dxa"/>
            <w:tcMar>
              <w:top w:w="60" w:type="dxa"/>
              <w:left w:w="120" w:type="dxa"/>
              <w:bottom w:w="30" w:type="dxa"/>
              <w:right w:w="120" w:type="dxa"/>
            </w:tcMar>
            <w:vAlign w:val="center"/>
          </w:tcPr>
          <w:p w14:paraId="4D0DB5A4">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美丽城市</w:t>
            </w:r>
          </w:p>
        </w:tc>
        <w:tc>
          <w:tcPr>
            <w:tcW w:w="2660" w:type="dxa"/>
            <w:tcMar>
              <w:top w:w="60" w:type="dxa"/>
              <w:left w:w="120" w:type="dxa"/>
              <w:bottom w:w="30" w:type="dxa"/>
              <w:right w:w="120" w:type="dxa"/>
            </w:tcMar>
            <w:vAlign w:val="center"/>
          </w:tcPr>
          <w:p w14:paraId="166BF908">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建成区绿地率</w:t>
            </w:r>
          </w:p>
        </w:tc>
        <w:tc>
          <w:tcPr>
            <w:tcW w:w="1577" w:type="dxa"/>
            <w:tcMar>
              <w:top w:w="60" w:type="dxa"/>
              <w:left w:w="120" w:type="dxa"/>
              <w:bottom w:w="30" w:type="dxa"/>
              <w:right w:w="120" w:type="dxa"/>
            </w:tcMar>
            <w:vAlign w:val="center"/>
          </w:tcPr>
          <w:p w14:paraId="71B198BA">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vAlign w:val="center"/>
          </w:tcPr>
          <w:p w14:paraId="04BAEF4D">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7.01%</w:t>
            </w:r>
          </w:p>
        </w:tc>
        <w:tc>
          <w:tcPr>
            <w:tcW w:w="2015" w:type="dxa"/>
            <w:shd w:val="clear" w:color="auto" w:fill="auto"/>
            <w:tcMar>
              <w:top w:w="60" w:type="dxa"/>
              <w:left w:w="120" w:type="dxa"/>
              <w:bottom w:w="30" w:type="dxa"/>
              <w:right w:w="120" w:type="dxa"/>
            </w:tcMar>
            <w:vAlign w:val="center"/>
          </w:tcPr>
          <w:p w14:paraId="45C267BE">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逐年提升</w:t>
            </w:r>
          </w:p>
        </w:tc>
        <w:tc>
          <w:tcPr>
            <w:tcW w:w="2012" w:type="dxa"/>
            <w:shd w:val="clear" w:color="auto" w:fill="auto"/>
            <w:tcMar>
              <w:top w:w="60" w:type="dxa"/>
              <w:left w:w="120" w:type="dxa"/>
              <w:bottom w:w="30" w:type="dxa"/>
              <w:right w:w="120" w:type="dxa"/>
            </w:tcMar>
            <w:vAlign w:val="center"/>
          </w:tcPr>
          <w:p w14:paraId="7EE05C95">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达到高原城市优良标准</w:t>
            </w:r>
          </w:p>
        </w:tc>
        <w:tc>
          <w:tcPr>
            <w:tcW w:w="2040" w:type="dxa"/>
            <w:shd w:val="clear" w:color="auto" w:fill="auto"/>
            <w:tcMar>
              <w:top w:w="60" w:type="dxa"/>
              <w:left w:w="120" w:type="dxa"/>
              <w:bottom w:w="30" w:type="dxa"/>
              <w:right w:w="120" w:type="dxa"/>
            </w:tcMar>
            <w:vAlign w:val="top"/>
          </w:tcPr>
          <w:p w14:paraId="225E90EA">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县住建局</w:t>
            </w:r>
          </w:p>
        </w:tc>
      </w:tr>
      <w:tr w14:paraId="1CA8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737" w:type="dxa"/>
            <w:tcMar>
              <w:top w:w="60" w:type="dxa"/>
              <w:left w:w="120" w:type="dxa"/>
              <w:bottom w:w="30" w:type="dxa"/>
              <w:right w:w="120" w:type="dxa"/>
            </w:tcMar>
            <w:vAlign w:val="center"/>
          </w:tcPr>
          <w:p w14:paraId="41741656">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15</w:t>
            </w:r>
          </w:p>
        </w:tc>
        <w:tc>
          <w:tcPr>
            <w:tcW w:w="1179" w:type="dxa"/>
            <w:tcMar>
              <w:top w:w="60" w:type="dxa"/>
              <w:left w:w="120" w:type="dxa"/>
              <w:bottom w:w="30" w:type="dxa"/>
              <w:right w:w="120" w:type="dxa"/>
            </w:tcMar>
            <w:vAlign w:val="center"/>
          </w:tcPr>
          <w:p w14:paraId="224280F0">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美丽城市</w:t>
            </w:r>
          </w:p>
        </w:tc>
        <w:tc>
          <w:tcPr>
            <w:tcW w:w="2660" w:type="dxa"/>
            <w:tcMar>
              <w:top w:w="60" w:type="dxa"/>
              <w:left w:w="120" w:type="dxa"/>
              <w:bottom w:w="30" w:type="dxa"/>
              <w:right w:w="120" w:type="dxa"/>
            </w:tcMar>
            <w:vAlign w:val="center"/>
          </w:tcPr>
          <w:p w14:paraId="45BDC4DC">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绿色建筑占新建建筑比例</w:t>
            </w:r>
          </w:p>
        </w:tc>
        <w:tc>
          <w:tcPr>
            <w:tcW w:w="1577" w:type="dxa"/>
            <w:tcMar>
              <w:top w:w="60" w:type="dxa"/>
              <w:left w:w="120" w:type="dxa"/>
              <w:bottom w:w="30" w:type="dxa"/>
              <w:right w:w="120" w:type="dxa"/>
            </w:tcMar>
            <w:vAlign w:val="center"/>
          </w:tcPr>
          <w:p w14:paraId="422006DB">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vAlign w:val="center"/>
          </w:tcPr>
          <w:p w14:paraId="7E179242">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100%</w:t>
            </w:r>
          </w:p>
        </w:tc>
        <w:tc>
          <w:tcPr>
            <w:tcW w:w="2015" w:type="dxa"/>
            <w:shd w:val="clear" w:color="auto" w:fill="auto"/>
            <w:tcMar>
              <w:top w:w="60" w:type="dxa"/>
              <w:left w:w="120" w:type="dxa"/>
              <w:bottom w:w="30" w:type="dxa"/>
              <w:right w:w="120" w:type="dxa"/>
            </w:tcMar>
            <w:vAlign w:val="center"/>
          </w:tcPr>
          <w:p w14:paraId="4E91FB37">
            <w:pPr>
              <w:spacing w:before="120" w:after="120" w:line="240" w:lineRule="auto"/>
              <w:ind w:left="0" w:leftChars="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1"/>
                <w:szCs w:val="21"/>
                <w:lang w:val="en-US" w:eastAsia="zh-CN"/>
              </w:rPr>
              <w:t>100%</w:t>
            </w:r>
          </w:p>
        </w:tc>
        <w:tc>
          <w:tcPr>
            <w:tcW w:w="2012" w:type="dxa"/>
            <w:shd w:val="clear" w:color="auto" w:fill="auto"/>
            <w:tcMar>
              <w:top w:w="60" w:type="dxa"/>
              <w:left w:w="120" w:type="dxa"/>
              <w:bottom w:w="30" w:type="dxa"/>
              <w:right w:w="120" w:type="dxa"/>
            </w:tcMar>
            <w:vAlign w:val="center"/>
          </w:tcPr>
          <w:p w14:paraId="7A995CDE">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全面实现绿色建造</w:t>
            </w:r>
          </w:p>
        </w:tc>
        <w:tc>
          <w:tcPr>
            <w:tcW w:w="2040" w:type="dxa"/>
            <w:shd w:val="clear" w:color="auto" w:fill="auto"/>
            <w:tcMar>
              <w:top w:w="60" w:type="dxa"/>
              <w:left w:w="120" w:type="dxa"/>
              <w:bottom w:w="30" w:type="dxa"/>
              <w:right w:w="120" w:type="dxa"/>
            </w:tcMar>
            <w:vAlign w:val="top"/>
          </w:tcPr>
          <w:p w14:paraId="152E4ABF">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县住建局</w:t>
            </w:r>
          </w:p>
        </w:tc>
      </w:tr>
      <w:tr w14:paraId="07C6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737" w:type="dxa"/>
            <w:tcMar>
              <w:top w:w="60" w:type="dxa"/>
              <w:left w:w="120" w:type="dxa"/>
              <w:bottom w:w="30" w:type="dxa"/>
              <w:right w:w="120" w:type="dxa"/>
            </w:tcMar>
            <w:vAlign w:val="center"/>
          </w:tcPr>
          <w:p w14:paraId="452F30D9">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16</w:t>
            </w:r>
          </w:p>
        </w:tc>
        <w:tc>
          <w:tcPr>
            <w:tcW w:w="1179" w:type="dxa"/>
            <w:tcMar>
              <w:top w:w="60" w:type="dxa"/>
              <w:left w:w="120" w:type="dxa"/>
              <w:bottom w:w="30" w:type="dxa"/>
              <w:right w:w="120" w:type="dxa"/>
            </w:tcMar>
            <w:vAlign w:val="center"/>
          </w:tcPr>
          <w:p w14:paraId="783ED990">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美丽城市</w:t>
            </w:r>
          </w:p>
        </w:tc>
        <w:tc>
          <w:tcPr>
            <w:tcW w:w="2660" w:type="dxa"/>
            <w:tcMar>
              <w:top w:w="60" w:type="dxa"/>
              <w:left w:w="120" w:type="dxa"/>
              <w:bottom w:w="30" w:type="dxa"/>
              <w:right w:w="120" w:type="dxa"/>
            </w:tcMar>
            <w:vAlign w:val="center"/>
          </w:tcPr>
          <w:p w14:paraId="7EA1CB7F">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市政供水管网漏损率</w:t>
            </w:r>
          </w:p>
        </w:tc>
        <w:tc>
          <w:tcPr>
            <w:tcW w:w="1577" w:type="dxa"/>
            <w:tcMar>
              <w:top w:w="60" w:type="dxa"/>
              <w:left w:w="120" w:type="dxa"/>
              <w:bottom w:w="30" w:type="dxa"/>
              <w:right w:w="120" w:type="dxa"/>
            </w:tcMar>
            <w:vAlign w:val="center"/>
          </w:tcPr>
          <w:p w14:paraId="3B917488">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vAlign w:val="center"/>
          </w:tcPr>
          <w:p w14:paraId="379947D6">
            <w:pPr>
              <w:spacing w:before="120" w:after="120" w:line="240" w:lineRule="auto"/>
              <w:ind w:left="0"/>
              <w:jc w:val="center"/>
              <w:rPr>
                <w:rFonts w:hint="default" w:ascii="Times New Roman" w:hAnsi="Times New Roman" w:eastAsia="仿宋_GB2312" w:cs="Times New Roman"/>
                <w:sz w:val="20"/>
                <w:szCs w:val="21"/>
              </w:rPr>
            </w:pPr>
            <w:r>
              <w:rPr>
                <w:rFonts w:hint="eastAsia" w:ascii="Times New Roman" w:hAnsi="Times New Roman" w:eastAsia="仿宋_GB2312" w:cs="Times New Roman"/>
                <w:sz w:val="20"/>
                <w:szCs w:val="21"/>
                <w:lang w:val="en-US" w:eastAsia="zh-CN"/>
              </w:rPr>
              <w:t>—</w:t>
            </w:r>
          </w:p>
        </w:tc>
        <w:tc>
          <w:tcPr>
            <w:tcW w:w="2015" w:type="dxa"/>
            <w:shd w:val="clear" w:color="auto" w:fill="auto"/>
            <w:tcMar>
              <w:top w:w="60" w:type="dxa"/>
              <w:left w:w="120" w:type="dxa"/>
              <w:bottom w:w="30" w:type="dxa"/>
              <w:right w:w="120" w:type="dxa"/>
            </w:tcMar>
            <w:vAlign w:val="center"/>
          </w:tcPr>
          <w:p w14:paraId="57BB4F82">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持续下降</w:t>
            </w:r>
          </w:p>
        </w:tc>
        <w:tc>
          <w:tcPr>
            <w:tcW w:w="2012" w:type="dxa"/>
            <w:shd w:val="clear" w:color="auto" w:fill="auto"/>
            <w:tcMar>
              <w:top w:w="60" w:type="dxa"/>
              <w:left w:w="120" w:type="dxa"/>
              <w:bottom w:w="30" w:type="dxa"/>
              <w:right w:w="120" w:type="dxa"/>
            </w:tcMar>
            <w:vAlign w:val="center"/>
          </w:tcPr>
          <w:p w14:paraId="2027ECAC">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控制在低位区间</w:t>
            </w:r>
          </w:p>
        </w:tc>
        <w:tc>
          <w:tcPr>
            <w:tcW w:w="2040" w:type="dxa"/>
            <w:shd w:val="clear" w:color="auto" w:fill="auto"/>
            <w:tcMar>
              <w:top w:w="60" w:type="dxa"/>
              <w:left w:w="120" w:type="dxa"/>
              <w:bottom w:w="30" w:type="dxa"/>
              <w:right w:w="120" w:type="dxa"/>
            </w:tcMar>
            <w:vAlign w:val="top"/>
          </w:tcPr>
          <w:p w14:paraId="689A2B27">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县住建局</w:t>
            </w:r>
          </w:p>
        </w:tc>
      </w:tr>
      <w:tr w14:paraId="659B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14516" w:type="dxa"/>
            <w:gridSpan w:val="8"/>
            <w:tcMar>
              <w:top w:w="60" w:type="dxa"/>
              <w:left w:w="120" w:type="dxa"/>
              <w:bottom w:w="30" w:type="dxa"/>
              <w:right w:w="120" w:type="dxa"/>
            </w:tcMar>
          </w:tcPr>
          <w:p w14:paraId="29CD6918">
            <w:pPr>
              <w:spacing w:before="120" w:after="120" w:line="240" w:lineRule="auto"/>
              <w:ind w:left="0"/>
              <w:jc w:val="left"/>
              <w:rPr>
                <w:rFonts w:hint="default" w:ascii="Times New Roman" w:hAnsi="Times New Roman" w:eastAsia="仿宋_GB2312" w:cs="Times New Roman"/>
                <w:sz w:val="20"/>
                <w:szCs w:val="21"/>
              </w:rPr>
            </w:pPr>
            <w:r>
              <w:rPr>
                <w:rFonts w:hint="default" w:ascii="Times New Roman" w:hAnsi="Times New Roman" w:eastAsia="仿宋_GB2312" w:cs="Times New Roman"/>
                <w:b/>
                <w:sz w:val="21"/>
                <w:szCs w:val="21"/>
              </w:rPr>
              <w:t>第四板块：美丽乡村（建设和美宜居牧区乡村）</w:t>
            </w:r>
          </w:p>
        </w:tc>
      </w:tr>
      <w:tr w14:paraId="5DFA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0397317A">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17</w:t>
            </w:r>
          </w:p>
        </w:tc>
        <w:tc>
          <w:tcPr>
            <w:tcW w:w="1179" w:type="dxa"/>
            <w:tcMar>
              <w:top w:w="60" w:type="dxa"/>
              <w:left w:w="120" w:type="dxa"/>
              <w:bottom w:w="30" w:type="dxa"/>
              <w:right w:w="120" w:type="dxa"/>
            </w:tcMar>
            <w:vAlign w:val="center"/>
          </w:tcPr>
          <w:p w14:paraId="7CDF80E0">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美丽乡村</w:t>
            </w:r>
          </w:p>
        </w:tc>
        <w:tc>
          <w:tcPr>
            <w:tcW w:w="2660" w:type="dxa"/>
            <w:tcMar>
              <w:top w:w="60" w:type="dxa"/>
              <w:left w:w="120" w:type="dxa"/>
              <w:bottom w:w="30" w:type="dxa"/>
              <w:right w:w="120" w:type="dxa"/>
            </w:tcMar>
            <w:vAlign w:val="center"/>
          </w:tcPr>
          <w:p w14:paraId="041BC57B">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农村生活垃圾收运处置体系覆盖率</w:t>
            </w:r>
          </w:p>
        </w:tc>
        <w:tc>
          <w:tcPr>
            <w:tcW w:w="1577" w:type="dxa"/>
            <w:tcMar>
              <w:top w:w="60" w:type="dxa"/>
              <w:left w:w="120" w:type="dxa"/>
              <w:bottom w:w="30" w:type="dxa"/>
              <w:right w:w="120" w:type="dxa"/>
            </w:tcMar>
            <w:vAlign w:val="center"/>
          </w:tcPr>
          <w:p w14:paraId="754A7C4F">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6150BCD0">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100%</w:t>
            </w:r>
          </w:p>
        </w:tc>
        <w:tc>
          <w:tcPr>
            <w:tcW w:w="2015" w:type="dxa"/>
            <w:shd w:val="clear" w:color="auto" w:fill="auto"/>
            <w:tcMar>
              <w:top w:w="60" w:type="dxa"/>
              <w:left w:w="120" w:type="dxa"/>
              <w:bottom w:w="30" w:type="dxa"/>
              <w:right w:w="120" w:type="dxa"/>
            </w:tcMar>
            <w:vAlign w:val="center"/>
          </w:tcPr>
          <w:p w14:paraId="2B02F5C9">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12" w:type="dxa"/>
            <w:shd w:val="clear" w:color="auto" w:fill="auto"/>
            <w:tcMar>
              <w:top w:w="60" w:type="dxa"/>
              <w:left w:w="120" w:type="dxa"/>
              <w:bottom w:w="30" w:type="dxa"/>
              <w:right w:w="120" w:type="dxa"/>
            </w:tcMar>
            <w:vAlign w:val="center"/>
          </w:tcPr>
          <w:p w14:paraId="4FFAF1EA">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40" w:type="dxa"/>
            <w:shd w:val="clear" w:color="auto" w:fill="auto"/>
            <w:tcMar>
              <w:top w:w="60" w:type="dxa"/>
              <w:left w:w="120" w:type="dxa"/>
              <w:bottom w:w="30" w:type="dxa"/>
              <w:right w:w="120" w:type="dxa"/>
            </w:tcMar>
            <w:vAlign w:val="center"/>
          </w:tcPr>
          <w:p w14:paraId="3392B19F">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县科学技术和农业畜牧水务局、各乡镇</w:t>
            </w:r>
          </w:p>
        </w:tc>
      </w:tr>
      <w:tr w14:paraId="520E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40" w:hRule="atLeast"/>
          <w:jc w:val="center"/>
        </w:trPr>
        <w:tc>
          <w:tcPr>
            <w:tcW w:w="737" w:type="dxa"/>
            <w:tcMar>
              <w:top w:w="60" w:type="dxa"/>
              <w:left w:w="120" w:type="dxa"/>
              <w:bottom w:w="30" w:type="dxa"/>
              <w:right w:w="120" w:type="dxa"/>
            </w:tcMar>
            <w:vAlign w:val="center"/>
          </w:tcPr>
          <w:p w14:paraId="5747C3E5">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18</w:t>
            </w:r>
          </w:p>
        </w:tc>
        <w:tc>
          <w:tcPr>
            <w:tcW w:w="1179" w:type="dxa"/>
            <w:tcMar>
              <w:top w:w="60" w:type="dxa"/>
              <w:left w:w="120" w:type="dxa"/>
              <w:bottom w:w="30" w:type="dxa"/>
              <w:right w:w="120" w:type="dxa"/>
            </w:tcMar>
            <w:vAlign w:val="center"/>
          </w:tcPr>
          <w:p w14:paraId="406DC5B3">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美丽乡村</w:t>
            </w:r>
          </w:p>
        </w:tc>
        <w:tc>
          <w:tcPr>
            <w:tcW w:w="2660" w:type="dxa"/>
            <w:tcMar>
              <w:top w:w="60" w:type="dxa"/>
              <w:left w:w="120" w:type="dxa"/>
              <w:bottom w:w="30" w:type="dxa"/>
              <w:right w:w="120" w:type="dxa"/>
            </w:tcMar>
            <w:vAlign w:val="center"/>
          </w:tcPr>
          <w:p w14:paraId="23303BF1">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农村卫生厕所普及率</w:t>
            </w:r>
          </w:p>
        </w:tc>
        <w:tc>
          <w:tcPr>
            <w:tcW w:w="1577" w:type="dxa"/>
            <w:tcMar>
              <w:top w:w="60" w:type="dxa"/>
              <w:left w:w="120" w:type="dxa"/>
              <w:bottom w:w="30" w:type="dxa"/>
              <w:right w:w="120" w:type="dxa"/>
            </w:tcMar>
            <w:vAlign w:val="center"/>
          </w:tcPr>
          <w:p w14:paraId="08644288">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19C8B809">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100%</w:t>
            </w:r>
          </w:p>
        </w:tc>
        <w:tc>
          <w:tcPr>
            <w:tcW w:w="2015" w:type="dxa"/>
            <w:shd w:val="clear" w:color="auto" w:fill="auto"/>
            <w:tcMar>
              <w:top w:w="60" w:type="dxa"/>
              <w:left w:w="120" w:type="dxa"/>
              <w:bottom w:w="30" w:type="dxa"/>
              <w:right w:w="120" w:type="dxa"/>
            </w:tcMar>
            <w:vAlign w:val="center"/>
          </w:tcPr>
          <w:p w14:paraId="049C3341">
            <w:pPr>
              <w:spacing w:before="120" w:after="120" w:line="240" w:lineRule="auto"/>
              <w:ind w:left="0" w:leftChars="0"/>
              <w:jc w:val="center"/>
              <w:rPr>
                <w:rFonts w:hint="default" w:ascii="Times New Roman" w:hAnsi="Times New Roman" w:eastAsia="仿宋_GB2312" w:cs="Times New Roman"/>
                <w:sz w:val="20"/>
                <w:szCs w:val="21"/>
              </w:rPr>
            </w:pPr>
            <w:r>
              <w:rPr>
                <w:rFonts w:hint="eastAsia" w:ascii="Times New Roman" w:hAnsi="Times New Roman" w:eastAsia="仿宋_GB2312" w:cs="Times New Roman"/>
                <w:sz w:val="20"/>
                <w:szCs w:val="21"/>
                <w:lang w:val="en-US" w:eastAsia="zh-CN"/>
              </w:rPr>
              <w:t>100%</w:t>
            </w:r>
          </w:p>
        </w:tc>
        <w:tc>
          <w:tcPr>
            <w:tcW w:w="2012" w:type="dxa"/>
            <w:shd w:val="clear" w:color="auto" w:fill="auto"/>
            <w:tcMar>
              <w:top w:w="60" w:type="dxa"/>
              <w:left w:w="120" w:type="dxa"/>
              <w:bottom w:w="30" w:type="dxa"/>
              <w:right w:w="120" w:type="dxa"/>
            </w:tcMar>
            <w:vAlign w:val="center"/>
          </w:tcPr>
          <w:p w14:paraId="0D887D8A">
            <w:pPr>
              <w:spacing w:before="120" w:after="120" w:line="240" w:lineRule="auto"/>
              <w:ind w:left="0" w:leftChars="0"/>
              <w:jc w:val="center"/>
              <w:rPr>
                <w:rFonts w:hint="default" w:ascii="Times New Roman" w:hAnsi="Times New Roman" w:eastAsia="仿宋_GB2312" w:cs="Times New Roman"/>
                <w:sz w:val="20"/>
                <w:szCs w:val="21"/>
              </w:rPr>
            </w:pPr>
            <w:r>
              <w:rPr>
                <w:rFonts w:hint="eastAsia" w:ascii="Times New Roman" w:hAnsi="Times New Roman" w:eastAsia="仿宋_GB2312" w:cs="Times New Roman"/>
                <w:sz w:val="20"/>
                <w:szCs w:val="21"/>
                <w:lang w:val="en-US" w:eastAsia="zh-CN"/>
              </w:rPr>
              <w:t>100%</w:t>
            </w:r>
          </w:p>
        </w:tc>
        <w:tc>
          <w:tcPr>
            <w:tcW w:w="2040" w:type="dxa"/>
            <w:shd w:val="clear" w:color="auto" w:fill="auto"/>
            <w:tcMar>
              <w:top w:w="60" w:type="dxa"/>
              <w:left w:w="120" w:type="dxa"/>
              <w:bottom w:w="30" w:type="dxa"/>
              <w:right w:w="120" w:type="dxa"/>
            </w:tcMar>
            <w:vAlign w:val="center"/>
          </w:tcPr>
          <w:p w14:paraId="35C7861A">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县卫健局、县科学技术和农业畜牧水务局</w:t>
            </w:r>
          </w:p>
        </w:tc>
      </w:tr>
      <w:tr w14:paraId="6EBB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043F6FD6">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19</w:t>
            </w:r>
          </w:p>
        </w:tc>
        <w:tc>
          <w:tcPr>
            <w:tcW w:w="1179" w:type="dxa"/>
            <w:tcMar>
              <w:top w:w="60" w:type="dxa"/>
              <w:left w:w="120" w:type="dxa"/>
              <w:bottom w:w="30" w:type="dxa"/>
              <w:right w:w="120" w:type="dxa"/>
            </w:tcMar>
            <w:vAlign w:val="center"/>
          </w:tcPr>
          <w:p w14:paraId="2C41569D">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美丽乡村</w:t>
            </w:r>
          </w:p>
        </w:tc>
        <w:tc>
          <w:tcPr>
            <w:tcW w:w="2660" w:type="dxa"/>
            <w:tcMar>
              <w:top w:w="60" w:type="dxa"/>
              <w:left w:w="120" w:type="dxa"/>
              <w:bottom w:w="30" w:type="dxa"/>
              <w:right w:w="120" w:type="dxa"/>
            </w:tcMar>
            <w:vAlign w:val="center"/>
          </w:tcPr>
          <w:p w14:paraId="0DCBF50D">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州级、县级美丽示范村建成数量</w:t>
            </w:r>
          </w:p>
        </w:tc>
        <w:tc>
          <w:tcPr>
            <w:tcW w:w="1577" w:type="dxa"/>
            <w:tcMar>
              <w:top w:w="60" w:type="dxa"/>
              <w:left w:w="120" w:type="dxa"/>
              <w:bottom w:w="30" w:type="dxa"/>
              <w:right w:w="120" w:type="dxa"/>
            </w:tcMar>
            <w:vAlign w:val="center"/>
          </w:tcPr>
          <w:p w14:paraId="3FD1B12C">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vAlign w:val="center"/>
          </w:tcPr>
          <w:p w14:paraId="6037F079">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截至2025年共建成宜居宜业和美乡村27个</w:t>
            </w:r>
          </w:p>
        </w:tc>
        <w:tc>
          <w:tcPr>
            <w:tcW w:w="2015" w:type="dxa"/>
            <w:shd w:val="clear" w:color="auto" w:fill="auto"/>
            <w:tcMar>
              <w:top w:w="60" w:type="dxa"/>
              <w:left w:w="120" w:type="dxa"/>
              <w:bottom w:w="30" w:type="dxa"/>
              <w:right w:w="120" w:type="dxa"/>
            </w:tcMar>
            <w:vAlign w:val="center"/>
          </w:tcPr>
          <w:p w14:paraId="4B54E523">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逐年递增</w:t>
            </w:r>
          </w:p>
        </w:tc>
        <w:tc>
          <w:tcPr>
            <w:tcW w:w="2012" w:type="dxa"/>
            <w:shd w:val="clear" w:color="auto" w:fill="auto"/>
            <w:tcMar>
              <w:top w:w="60" w:type="dxa"/>
              <w:left w:w="120" w:type="dxa"/>
              <w:bottom w:w="30" w:type="dxa"/>
              <w:right w:w="120" w:type="dxa"/>
            </w:tcMar>
            <w:vAlign w:val="center"/>
          </w:tcPr>
          <w:p w14:paraId="296E6D9A">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重点村全域示范达标</w:t>
            </w:r>
          </w:p>
        </w:tc>
        <w:tc>
          <w:tcPr>
            <w:tcW w:w="2040" w:type="dxa"/>
            <w:shd w:val="clear" w:color="auto" w:fill="auto"/>
            <w:tcMar>
              <w:top w:w="60" w:type="dxa"/>
              <w:left w:w="120" w:type="dxa"/>
              <w:bottom w:w="30" w:type="dxa"/>
              <w:right w:w="120" w:type="dxa"/>
            </w:tcMar>
            <w:vAlign w:val="center"/>
          </w:tcPr>
          <w:p w14:paraId="2BFEEB71">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县科学技术和农业畜牧水务局</w:t>
            </w:r>
          </w:p>
        </w:tc>
      </w:tr>
      <w:tr w14:paraId="0C41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36C8563D">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20</w:t>
            </w:r>
          </w:p>
        </w:tc>
        <w:tc>
          <w:tcPr>
            <w:tcW w:w="1179" w:type="dxa"/>
            <w:tcMar>
              <w:top w:w="60" w:type="dxa"/>
              <w:left w:w="120" w:type="dxa"/>
              <w:bottom w:w="30" w:type="dxa"/>
              <w:right w:w="120" w:type="dxa"/>
            </w:tcMar>
            <w:vAlign w:val="center"/>
          </w:tcPr>
          <w:p w14:paraId="1FB60E21">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美丽乡村</w:t>
            </w:r>
          </w:p>
        </w:tc>
        <w:tc>
          <w:tcPr>
            <w:tcW w:w="2660" w:type="dxa"/>
            <w:tcMar>
              <w:top w:w="60" w:type="dxa"/>
              <w:left w:w="120" w:type="dxa"/>
              <w:bottom w:w="30" w:type="dxa"/>
              <w:right w:w="120" w:type="dxa"/>
            </w:tcMar>
            <w:vAlign w:val="center"/>
          </w:tcPr>
          <w:p w14:paraId="6A5D0C98">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特色村寨、传统村落保护完好率</w:t>
            </w:r>
          </w:p>
        </w:tc>
        <w:tc>
          <w:tcPr>
            <w:tcW w:w="1577" w:type="dxa"/>
            <w:tcMar>
              <w:top w:w="60" w:type="dxa"/>
              <w:left w:w="120" w:type="dxa"/>
              <w:bottom w:w="30" w:type="dxa"/>
              <w:right w:w="120" w:type="dxa"/>
            </w:tcMar>
            <w:vAlign w:val="center"/>
          </w:tcPr>
          <w:p w14:paraId="33585C42">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vAlign w:val="center"/>
          </w:tcPr>
          <w:p w14:paraId="62C22C02">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100%</w:t>
            </w:r>
          </w:p>
        </w:tc>
        <w:tc>
          <w:tcPr>
            <w:tcW w:w="2015" w:type="dxa"/>
            <w:shd w:val="clear" w:color="auto" w:fill="auto"/>
            <w:tcMar>
              <w:top w:w="60" w:type="dxa"/>
              <w:left w:w="120" w:type="dxa"/>
              <w:bottom w:w="30" w:type="dxa"/>
              <w:right w:w="120" w:type="dxa"/>
            </w:tcMar>
            <w:vAlign w:val="center"/>
          </w:tcPr>
          <w:p w14:paraId="5F38FE3A">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12" w:type="dxa"/>
            <w:shd w:val="clear" w:color="auto" w:fill="auto"/>
            <w:tcMar>
              <w:top w:w="60" w:type="dxa"/>
              <w:left w:w="120" w:type="dxa"/>
              <w:bottom w:w="30" w:type="dxa"/>
              <w:right w:w="120" w:type="dxa"/>
            </w:tcMar>
            <w:vAlign w:val="center"/>
          </w:tcPr>
          <w:p w14:paraId="7476AC52">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40" w:type="dxa"/>
            <w:shd w:val="clear" w:color="auto" w:fill="auto"/>
            <w:tcMar>
              <w:top w:w="60" w:type="dxa"/>
              <w:left w:w="120" w:type="dxa"/>
              <w:bottom w:w="30" w:type="dxa"/>
              <w:right w:w="120" w:type="dxa"/>
            </w:tcMar>
            <w:vAlign w:val="center"/>
          </w:tcPr>
          <w:p w14:paraId="183C01D6">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县住建局、县文</w:t>
            </w:r>
            <w:r>
              <w:rPr>
                <w:rFonts w:hint="eastAsia" w:ascii="Times New Roman" w:hAnsi="Times New Roman" w:eastAsia="仿宋_GB2312" w:cs="Times New Roman"/>
                <w:sz w:val="21"/>
                <w:szCs w:val="21"/>
                <w:lang w:val="en-US" w:eastAsia="zh-CN"/>
              </w:rPr>
              <w:t>广</w:t>
            </w:r>
            <w:r>
              <w:rPr>
                <w:rFonts w:hint="default" w:ascii="Times New Roman" w:hAnsi="Times New Roman" w:eastAsia="仿宋_GB2312" w:cs="Times New Roman"/>
                <w:sz w:val="21"/>
                <w:szCs w:val="21"/>
              </w:rPr>
              <w:t>体旅局</w:t>
            </w:r>
          </w:p>
        </w:tc>
      </w:tr>
      <w:tr w14:paraId="0C09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643B6C98">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21</w:t>
            </w:r>
          </w:p>
        </w:tc>
        <w:tc>
          <w:tcPr>
            <w:tcW w:w="1179" w:type="dxa"/>
            <w:tcMar>
              <w:top w:w="60" w:type="dxa"/>
              <w:left w:w="120" w:type="dxa"/>
              <w:bottom w:w="30" w:type="dxa"/>
              <w:right w:w="120" w:type="dxa"/>
            </w:tcMar>
            <w:vAlign w:val="center"/>
          </w:tcPr>
          <w:p w14:paraId="150902D6">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美丽乡村</w:t>
            </w:r>
          </w:p>
        </w:tc>
        <w:tc>
          <w:tcPr>
            <w:tcW w:w="2660" w:type="dxa"/>
            <w:tcMar>
              <w:top w:w="60" w:type="dxa"/>
              <w:left w:w="120" w:type="dxa"/>
              <w:bottom w:w="30" w:type="dxa"/>
              <w:right w:w="120" w:type="dxa"/>
            </w:tcMar>
            <w:vAlign w:val="center"/>
          </w:tcPr>
          <w:p w14:paraId="4D25AB5A">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农牧区人居环境风貌整治达标率</w:t>
            </w:r>
          </w:p>
        </w:tc>
        <w:tc>
          <w:tcPr>
            <w:tcW w:w="1577" w:type="dxa"/>
            <w:tcMar>
              <w:top w:w="60" w:type="dxa"/>
              <w:left w:w="120" w:type="dxa"/>
              <w:bottom w:w="30" w:type="dxa"/>
              <w:right w:w="120" w:type="dxa"/>
            </w:tcMar>
            <w:vAlign w:val="center"/>
          </w:tcPr>
          <w:p w14:paraId="18C0927D">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vAlign w:val="center"/>
          </w:tcPr>
          <w:p w14:paraId="2D739FB2">
            <w:pPr>
              <w:spacing w:before="120" w:after="120" w:line="240" w:lineRule="auto"/>
              <w:ind w:left="0"/>
              <w:jc w:val="center"/>
              <w:rPr>
                <w:rFonts w:hint="default" w:ascii="Times New Roman" w:hAnsi="Times New Roman" w:eastAsia="仿宋_GB2312" w:cs="Times New Roman"/>
                <w:sz w:val="20"/>
                <w:szCs w:val="21"/>
              </w:rPr>
            </w:pPr>
            <w:r>
              <w:rPr>
                <w:rFonts w:hint="eastAsia" w:ascii="Times New Roman" w:hAnsi="Times New Roman" w:eastAsia="仿宋_GB2312" w:cs="Times New Roman"/>
                <w:sz w:val="20"/>
                <w:szCs w:val="21"/>
                <w:lang w:val="en-US" w:eastAsia="zh-CN"/>
              </w:rPr>
              <w:t>—</w:t>
            </w:r>
          </w:p>
        </w:tc>
        <w:tc>
          <w:tcPr>
            <w:tcW w:w="2015" w:type="dxa"/>
            <w:shd w:val="clear" w:color="auto" w:fill="auto"/>
            <w:tcMar>
              <w:top w:w="60" w:type="dxa"/>
              <w:left w:w="120" w:type="dxa"/>
              <w:bottom w:w="30" w:type="dxa"/>
              <w:right w:w="120" w:type="dxa"/>
            </w:tcMar>
            <w:vAlign w:val="top"/>
          </w:tcPr>
          <w:p w14:paraId="1D8C00B3">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大幅提升</w:t>
            </w:r>
          </w:p>
        </w:tc>
        <w:tc>
          <w:tcPr>
            <w:tcW w:w="2012" w:type="dxa"/>
            <w:shd w:val="clear" w:color="auto" w:fill="auto"/>
            <w:tcMar>
              <w:top w:w="60" w:type="dxa"/>
              <w:left w:w="120" w:type="dxa"/>
              <w:bottom w:w="30" w:type="dxa"/>
              <w:right w:w="120" w:type="dxa"/>
            </w:tcMar>
            <w:vAlign w:val="top"/>
          </w:tcPr>
          <w:p w14:paraId="734CB62E">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全域风貌统一规范</w:t>
            </w:r>
          </w:p>
        </w:tc>
        <w:tc>
          <w:tcPr>
            <w:tcW w:w="2040" w:type="dxa"/>
            <w:shd w:val="clear" w:color="auto" w:fill="auto"/>
            <w:tcMar>
              <w:top w:w="60" w:type="dxa"/>
              <w:left w:w="120" w:type="dxa"/>
              <w:bottom w:w="30" w:type="dxa"/>
              <w:right w:w="120" w:type="dxa"/>
            </w:tcMar>
            <w:vAlign w:val="top"/>
          </w:tcPr>
          <w:p w14:paraId="14323804">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各乡镇、县科学技术和农业畜牧水务局</w:t>
            </w:r>
          </w:p>
        </w:tc>
      </w:tr>
      <w:tr w14:paraId="78C5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14516" w:type="dxa"/>
            <w:gridSpan w:val="8"/>
            <w:tcMar>
              <w:top w:w="60" w:type="dxa"/>
              <w:left w:w="120" w:type="dxa"/>
              <w:bottom w:w="30" w:type="dxa"/>
              <w:right w:w="120" w:type="dxa"/>
            </w:tcMar>
          </w:tcPr>
          <w:p w14:paraId="1F67ABEF">
            <w:pPr>
              <w:spacing w:before="120" w:after="120" w:line="240" w:lineRule="auto"/>
              <w:ind w:left="0"/>
              <w:jc w:val="left"/>
              <w:rPr>
                <w:rFonts w:hint="default" w:ascii="Times New Roman" w:hAnsi="Times New Roman" w:eastAsia="仿宋_GB2312" w:cs="Times New Roman"/>
                <w:sz w:val="20"/>
                <w:szCs w:val="21"/>
              </w:rPr>
            </w:pPr>
            <w:r>
              <w:rPr>
                <w:rFonts w:hint="default" w:ascii="Times New Roman" w:hAnsi="Times New Roman" w:eastAsia="仿宋_GB2312" w:cs="Times New Roman"/>
                <w:b/>
                <w:sz w:val="21"/>
                <w:szCs w:val="21"/>
              </w:rPr>
              <w:t>第五板块：绿色产业（生态价值转化、绿色低碳发展）</w:t>
            </w:r>
          </w:p>
        </w:tc>
      </w:tr>
      <w:tr w14:paraId="1825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737" w:type="dxa"/>
            <w:tcMar>
              <w:top w:w="60" w:type="dxa"/>
              <w:left w:w="120" w:type="dxa"/>
              <w:bottom w:w="30" w:type="dxa"/>
              <w:right w:w="120" w:type="dxa"/>
            </w:tcMar>
            <w:vAlign w:val="center"/>
          </w:tcPr>
          <w:p w14:paraId="7E16AE61">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22</w:t>
            </w:r>
          </w:p>
        </w:tc>
        <w:tc>
          <w:tcPr>
            <w:tcW w:w="1179" w:type="dxa"/>
            <w:tcMar>
              <w:top w:w="60" w:type="dxa"/>
              <w:left w:w="120" w:type="dxa"/>
              <w:bottom w:w="30" w:type="dxa"/>
              <w:right w:w="120" w:type="dxa"/>
            </w:tcMar>
            <w:vAlign w:val="center"/>
          </w:tcPr>
          <w:p w14:paraId="28E990D2">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绿色产业</w:t>
            </w:r>
          </w:p>
        </w:tc>
        <w:tc>
          <w:tcPr>
            <w:tcW w:w="2660" w:type="dxa"/>
            <w:tcMar>
              <w:top w:w="60" w:type="dxa"/>
              <w:left w:w="120" w:type="dxa"/>
              <w:bottom w:w="30" w:type="dxa"/>
              <w:right w:w="120" w:type="dxa"/>
            </w:tcMar>
            <w:vAlign w:val="center"/>
          </w:tcPr>
          <w:p w14:paraId="1AF2CA2A">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单位GDP能耗下降率</w:t>
            </w:r>
          </w:p>
        </w:tc>
        <w:tc>
          <w:tcPr>
            <w:tcW w:w="1577" w:type="dxa"/>
            <w:tcMar>
              <w:top w:w="60" w:type="dxa"/>
              <w:left w:w="120" w:type="dxa"/>
              <w:bottom w:w="30" w:type="dxa"/>
              <w:right w:w="120" w:type="dxa"/>
            </w:tcMar>
            <w:vAlign w:val="center"/>
          </w:tcPr>
          <w:p w14:paraId="28162DD9">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tcPr>
          <w:p w14:paraId="721ABDEA">
            <w:pPr>
              <w:spacing w:before="120" w:after="120" w:line="240" w:lineRule="auto"/>
              <w:ind w:left="0"/>
              <w:jc w:val="center"/>
              <w:rPr>
                <w:rFonts w:hint="eastAsia"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达标</w:t>
            </w:r>
          </w:p>
        </w:tc>
        <w:tc>
          <w:tcPr>
            <w:tcW w:w="2015" w:type="dxa"/>
            <w:shd w:val="clear" w:color="auto" w:fill="auto"/>
            <w:tcMar>
              <w:top w:w="60" w:type="dxa"/>
              <w:left w:w="120" w:type="dxa"/>
              <w:bottom w:w="30" w:type="dxa"/>
              <w:right w:w="120" w:type="dxa"/>
            </w:tcMar>
            <w:vAlign w:val="top"/>
          </w:tcPr>
          <w:p w14:paraId="4B123CFC">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完成州下达目标</w:t>
            </w:r>
          </w:p>
        </w:tc>
        <w:tc>
          <w:tcPr>
            <w:tcW w:w="2012" w:type="dxa"/>
            <w:shd w:val="clear" w:color="auto" w:fill="auto"/>
            <w:tcMar>
              <w:top w:w="60" w:type="dxa"/>
              <w:left w:w="120" w:type="dxa"/>
              <w:bottom w:w="30" w:type="dxa"/>
              <w:right w:w="120" w:type="dxa"/>
            </w:tcMar>
            <w:vAlign w:val="top"/>
          </w:tcPr>
          <w:p w14:paraId="411FF42A">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持续优化下降</w:t>
            </w:r>
          </w:p>
        </w:tc>
        <w:tc>
          <w:tcPr>
            <w:tcW w:w="2040" w:type="dxa"/>
            <w:shd w:val="clear" w:color="auto" w:fill="auto"/>
            <w:tcMar>
              <w:top w:w="60" w:type="dxa"/>
              <w:left w:w="120" w:type="dxa"/>
              <w:bottom w:w="30" w:type="dxa"/>
              <w:right w:w="120" w:type="dxa"/>
            </w:tcMar>
            <w:vAlign w:val="top"/>
          </w:tcPr>
          <w:p w14:paraId="29905504">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县发改局、县统计局</w:t>
            </w:r>
          </w:p>
        </w:tc>
      </w:tr>
      <w:tr w14:paraId="16E4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05312DA8">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23</w:t>
            </w:r>
          </w:p>
        </w:tc>
        <w:tc>
          <w:tcPr>
            <w:tcW w:w="1179" w:type="dxa"/>
            <w:tcMar>
              <w:top w:w="60" w:type="dxa"/>
              <w:left w:w="120" w:type="dxa"/>
              <w:bottom w:w="30" w:type="dxa"/>
              <w:right w:w="120" w:type="dxa"/>
            </w:tcMar>
            <w:vAlign w:val="center"/>
          </w:tcPr>
          <w:p w14:paraId="22168F4C">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绿色产业</w:t>
            </w:r>
          </w:p>
        </w:tc>
        <w:tc>
          <w:tcPr>
            <w:tcW w:w="2660" w:type="dxa"/>
            <w:tcMar>
              <w:top w:w="60" w:type="dxa"/>
              <w:left w:w="120" w:type="dxa"/>
              <w:bottom w:w="30" w:type="dxa"/>
              <w:right w:w="120" w:type="dxa"/>
            </w:tcMar>
            <w:vAlign w:val="center"/>
          </w:tcPr>
          <w:p w14:paraId="195A5F88">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单位GDP碳排放强度下降率</w:t>
            </w:r>
          </w:p>
        </w:tc>
        <w:tc>
          <w:tcPr>
            <w:tcW w:w="1577" w:type="dxa"/>
            <w:tcMar>
              <w:top w:w="60" w:type="dxa"/>
              <w:left w:w="120" w:type="dxa"/>
              <w:bottom w:w="30" w:type="dxa"/>
              <w:right w:w="120" w:type="dxa"/>
            </w:tcMar>
            <w:vAlign w:val="center"/>
          </w:tcPr>
          <w:p w14:paraId="165F6CA9">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tcPr>
          <w:p w14:paraId="090C2A66">
            <w:pPr>
              <w:spacing w:before="120" w:after="120" w:line="240" w:lineRule="auto"/>
              <w:ind w:left="0"/>
              <w:jc w:val="center"/>
              <w:rPr>
                <w:rFonts w:hint="eastAsia"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达标</w:t>
            </w:r>
          </w:p>
        </w:tc>
        <w:tc>
          <w:tcPr>
            <w:tcW w:w="2015" w:type="dxa"/>
            <w:shd w:val="clear" w:color="auto" w:fill="auto"/>
            <w:tcMar>
              <w:top w:w="60" w:type="dxa"/>
              <w:left w:w="120" w:type="dxa"/>
              <w:bottom w:w="30" w:type="dxa"/>
              <w:right w:w="120" w:type="dxa"/>
            </w:tcMar>
            <w:vAlign w:val="top"/>
          </w:tcPr>
          <w:p w14:paraId="5DA190E6">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完成州下达目标</w:t>
            </w:r>
          </w:p>
        </w:tc>
        <w:tc>
          <w:tcPr>
            <w:tcW w:w="2012" w:type="dxa"/>
            <w:shd w:val="clear" w:color="auto" w:fill="auto"/>
            <w:tcMar>
              <w:top w:w="60" w:type="dxa"/>
              <w:left w:w="120" w:type="dxa"/>
              <w:bottom w:w="30" w:type="dxa"/>
              <w:right w:w="120" w:type="dxa"/>
            </w:tcMar>
            <w:vAlign w:val="top"/>
          </w:tcPr>
          <w:p w14:paraId="08755BCF">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达到先进水平</w:t>
            </w:r>
          </w:p>
        </w:tc>
        <w:tc>
          <w:tcPr>
            <w:tcW w:w="2040" w:type="dxa"/>
            <w:shd w:val="clear" w:color="auto" w:fill="auto"/>
            <w:tcMar>
              <w:top w:w="60" w:type="dxa"/>
              <w:left w:w="120" w:type="dxa"/>
              <w:bottom w:w="30" w:type="dxa"/>
              <w:right w:w="120" w:type="dxa"/>
            </w:tcMar>
            <w:vAlign w:val="top"/>
          </w:tcPr>
          <w:p w14:paraId="2E1FCFCC">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县发改局、</w:t>
            </w:r>
            <w:r>
              <w:rPr>
                <w:rFonts w:hint="eastAsia" w:ascii="Times New Roman" w:hAnsi="Times New Roman" w:eastAsia="仿宋_GB2312" w:cs="Times New Roman"/>
                <w:sz w:val="21"/>
                <w:szCs w:val="21"/>
                <w:lang w:val="en-US" w:eastAsia="zh-CN"/>
              </w:rPr>
              <w:t>阿坝</w:t>
            </w:r>
            <w:r>
              <w:rPr>
                <w:rFonts w:hint="default" w:ascii="Times New Roman" w:hAnsi="Times New Roman" w:eastAsia="仿宋_GB2312" w:cs="Times New Roman"/>
                <w:sz w:val="21"/>
                <w:szCs w:val="21"/>
              </w:rPr>
              <w:t>生态环境局</w:t>
            </w:r>
          </w:p>
        </w:tc>
      </w:tr>
      <w:tr w14:paraId="53C9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5D1E97A0">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24</w:t>
            </w:r>
          </w:p>
        </w:tc>
        <w:tc>
          <w:tcPr>
            <w:tcW w:w="1179" w:type="dxa"/>
            <w:tcMar>
              <w:top w:w="60" w:type="dxa"/>
              <w:left w:w="120" w:type="dxa"/>
              <w:bottom w:w="30" w:type="dxa"/>
              <w:right w:w="120" w:type="dxa"/>
            </w:tcMar>
            <w:vAlign w:val="center"/>
          </w:tcPr>
          <w:p w14:paraId="33E0425B">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绿色产业</w:t>
            </w:r>
          </w:p>
        </w:tc>
        <w:tc>
          <w:tcPr>
            <w:tcW w:w="2660" w:type="dxa"/>
            <w:tcMar>
              <w:top w:w="60" w:type="dxa"/>
              <w:left w:w="120" w:type="dxa"/>
              <w:bottom w:w="30" w:type="dxa"/>
              <w:right w:w="120" w:type="dxa"/>
            </w:tcMar>
            <w:vAlign w:val="center"/>
          </w:tcPr>
          <w:p w14:paraId="0A7C0D6B">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绿色有机农牧产品认证数量</w:t>
            </w:r>
          </w:p>
        </w:tc>
        <w:tc>
          <w:tcPr>
            <w:tcW w:w="1577" w:type="dxa"/>
            <w:tcMar>
              <w:top w:w="60" w:type="dxa"/>
              <w:left w:w="120" w:type="dxa"/>
              <w:bottom w:w="30" w:type="dxa"/>
              <w:right w:w="120" w:type="dxa"/>
            </w:tcMar>
            <w:vAlign w:val="center"/>
          </w:tcPr>
          <w:p w14:paraId="2FB22BF0">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tcPr>
          <w:p w14:paraId="3D3C3865">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4个</w:t>
            </w:r>
          </w:p>
        </w:tc>
        <w:tc>
          <w:tcPr>
            <w:tcW w:w="2015" w:type="dxa"/>
            <w:shd w:val="clear" w:color="auto" w:fill="auto"/>
            <w:tcMar>
              <w:top w:w="60" w:type="dxa"/>
              <w:left w:w="120" w:type="dxa"/>
              <w:bottom w:w="30" w:type="dxa"/>
              <w:right w:w="120" w:type="dxa"/>
            </w:tcMar>
            <w:vAlign w:val="center"/>
          </w:tcPr>
          <w:p w14:paraId="28428F83">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逐年增加</w:t>
            </w:r>
          </w:p>
        </w:tc>
        <w:tc>
          <w:tcPr>
            <w:tcW w:w="2012" w:type="dxa"/>
            <w:shd w:val="clear" w:color="auto" w:fill="auto"/>
            <w:tcMar>
              <w:top w:w="60" w:type="dxa"/>
              <w:left w:w="120" w:type="dxa"/>
              <w:bottom w:w="30" w:type="dxa"/>
              <w:right w:w="120" w:type="dxa"/>
            </w:tcMar>
            <w:vAlign w:val="center"/>
          </w:tcPr>
          <w:p w14:paraId="5C2E5E69">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规模化、品牌化发展</w:t>
            </w:r>
          </w:p>
        </w:tc>
        <w:tc>
          <w:tcPr>
            <w:tcW w:w="2040" w:type="dxa"/>
            <w:shd w:val="clear" w:color="auto" w:fill="auto"/>
            <w:tcMar>
              <w:top w:w="60" w:type="dxa"/>
              <w:left w:w="120" w:type="dxa"/>
              <w:bottom w:w="30" w:type="dxa"/>
              <w:right w:w="120" w:type="dxa"/>
            </w:tcMar>
            <w:vAlign w:val="center"/>
          </w:tcPr>
          <w:p w14:paraId="23B8DCF0">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县科学技术和农业畜牧水务局</w:t>
            </w:r>
          </w:p>
        </w:tc>
      </w:tr>
      <w:tr w14:paraId="3DF4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1EC4C47D">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25</w:t>
            </w:r>
          </w:p>
        </w:tc>
        <w:tc>
          <w:tcPr>
            <w:tcW w:w="1179" w:type="dxa"/>
            <w:tcMar>
              <w:top w:w="60" w:type="dxa"/>
              <w:left w:w="120" w:type="dxa"/>
              <w:bottom w:w="30" w:type="dxa"/>
              <w:right w:w="120" w:type="dxa"/>
            </w:tcMar>
            <w:vAlign w:val="center"/>
          </w:tcPr>
          <w:p w14:paraId="4A49756A">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绿色产业</w:t>
            </w:r>
          </w:p>
        </w:tc>
        <w:tc>
          <w:tcPr>
            <w:tcW w:w="2660" w:type="dxa"/>
            <w:tcMar>
              <w:top w:w="60" w:type="dxa"/>
              <w:left w:w="120" w:type="dxa"/>
              <w:bottom w:w="30" w:type="dxa"/>
              <w:right w:w="120" w:type="dxa"/>
            </w:tcMar>
            <w:vAlign w:val="center"/>
          </w:tcPr>
          <w:p w14:paraId="37CCD9FD">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生态文旅产业营收占比</w:t>
            </w:r>
          </w:p>
        </w:tc>
        <w:tc>
          <w:tcPr>
            <w:tcW w:w="1577" w:type="dxa"/>
            <w:tcMar>
              <w:top w:w="60" w:type="dxa"/>
              <w:left w:w="120" w:type="dxa"/>
              <w:bottom w:w="30" w:type="dxa"/>
              <w:right w:w="120" w:type="dxa"/>
            </w:tcMar>
            <w:vAlign w:val="center"/>
          </w:tcPr>
          <w:p w14:paraId="793FB4EE">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tcPr>
          <w:p w14:paraId="167F682E">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default" w:ascii="Times New Roman" w:hAnsi="Times New Roman" w:eastAsia="仿宋_GB2312" w:cs="Times New Roman"/>
                <w:sz w:val="20"/>
                <w:szCs w:val="21"/>
              </w:rPr>
              <w:t>旅游收入205548.36万元</w:t>
            </w:r>
            <w:r>
              <w:rPr>
                <w:rFonts w:hint="eastAsia" w:ascii="Times New Roman" w:hAnsi="Times New Roman" w:eastAsia="仿宋_GB2312" w:cs="Times New Roman"/>
                <w:sz w:val="20"/>
                <w:szCs w:val="21"/>
                <w:lang w:eastAsia="zh-CN"/>
              </w:rPr>
              <w:t>，</w:t>
            </w:r>
            <w:r>
              <w:rPr>
                <w:rFonts w:hint="eastAsia" w:ascii="Times New Roman" w:hAnsi="Times New Roman" w:eastAsia="仿宋_GB2312" w:cs="Times New Roman"/>
                <w:sz w:val="20"/>
                <w:szCs w:val="21"/>
                <w:lang w:val="en-US" w:eastAsia="zh-CN"/>
              </w:rPr>
              <w:t>占GDP的55.47%</w:t>
            </w:r>
          </w:p>
        </w:tc>
        <w:tc>
          <w:tcPr>
            <w:tcW w:w="2015" w:type="dxa"/>
            <w:shd w:val="clear" w:color="auto" w:fill="auto"/>
            <w:tcMar>
              <w:top w:w="60" w:type="dxa"/>
              <w:left w:w="120" w:type="dxa"/>
              <w:bottom w:w="30" w:type="dxa"/>
              <w:right w:w="120" w:type="dxa"/>
            </w:tcMar>
            <w:vAlign w:val="center"/>
          </w:tcPr>
          <w:p w14:paraId="1B343A0B">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稳步提升</w:t>
            </w:r>
          </w:p>
        </w:tc>
        <w:tc>
          <w:tcPr>
            <w:tcW w:w="2012" w:type="dxa"/>
            <w:shd w:val="clear" w:color="auto" w:fill="auto"/>
            <w:tcMar>
              <w:top w:w="60" w:type="dxa"/>
              <w:left w:w="120" w:type="dxa"/>
              <w:bottom w:w="30" w:type="dxa"/>
              <w:right w:w="120" w:type="dxa"/>
            </w:tcMar>
            <w:vAlign w:val="center"/>
          </w:tcPr>
          <w:p w14:paraId="07AB6389">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成为县域支柱产业</w:t>
            </w:r>
          </w:p>
        </w:tc>
        <w:tc>
          <w:tcPr>
            <w:tcW w:w="2040" w:type="dxa"/>
            <w:shd w:val="clear" w:color="auto" w:fill="auto"/>
            <w:tcMar>
              <w:top w:w="60" w:type="dxa"/>
              <w:left w:w="120" w:type="dxa"/>
              <w:bottom w:w="30" w:type="dxa"/>
              <w:right w:w="120" w:type="dxa"/>
            </w:tcMar>
            <w:vAlign w:val="center"/>
          </w:tcPr>
          <w:p w14:paraId="410435C9">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县文广体旅局</w:t>
            </w:r>
          </w:p>
        </w:tc>
      </w:tr>
      <w:tr w14:paraId="3AD9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452" w:hRule="atLeast"/>
          <w:jc w:val="center"/>
        </w:trPr>
        <w:tc>
          <w:tcPr>
            <w:tcW w:w="737" w:type="dxa"/>
            <w:tcMar>
              <w:top w:w="60" w:type="dxa"/>
              <w:left w:w="120" w:type="dxa"/>
              <w:bottom w:w="30" w:type="dxa"/>
              <w:right w:w="120" w:type="dxa"/>
            </w:tcMar>
            <w:vAlign w:val="center"/>
          </w:tcPr>
          <w:p w14:paraId="3FFB6D1D">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26</w:t>
            </w:r>
          </w:p>
        </w:tc>
        <w:tc>
          <w:tcPr>
            <w:tcW w:w="1179" w:type="dxa"/>
            <w:tcMar>
              <w:top w:w="60" w:type="dxa"/>
              <w:left w:w="120" w:type="dxa"/>
              <w:bottom w:w="30" w:type="dxa"/>
              <w:right w:w="120" w:type="dxa"/>
            </w:tcMar>
            <w:vAlign w:val="center"/>
          </w:tcPr>
          <w:p w14:paraId="2606A5A4">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绿色产业</w:t>
            </w:r>
          </w:p>
        </w:tc>
        <w:tc>
          <w:tcPr>
            <w:tcW w:w="2660" w:type="dxa"/>
            <w:tcMar>
              <w:top w:w="60" w:type="dxa"/>
              <w:left w:w="120" w:type="dxa"/>
              <w:bottom w:w="30" w:type="dxa"/>
              <w:right w:w="120" w:type="dxa"/>
            </w:tcMar>
            <w:vAlign w:val="center"/>
          </w:tcPr>
          <w:p w14:paraId="49887EAC">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清洁能源开发利用占比</w:t>
            </w:r>
          </w:p>
        </w:tc>
        <w:tc>
          <w:tcPr>
            <w:tcW w:w="1577" w:type="dxa"/>
            <w:tcMar>
              <w:top w:w="60" w:type="dxa"/>
              <w:left w:w="120" w:type="dxa"/>
              <w:bottom w:w="30" w:type="dxa"/>
              <w:right w:w="120" w:type="dxa"/>
            </w:tcMar>
            <w:vAlign w:val="center"/>
          </w:tcPr>
          <w:p w14:paraId="66271344">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tcPr>
          <w:p w14:paraId="2CE6E308">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0"/>
                <w:szCs w:val="21"/>
                <w:lang w:val="en-US" w:eastAsia="zh-CN"/>
              </w:rPr>
              <w:t>目前，阿坝县清洁能源装机规模29.6万千瓦，2025年落地装机规模500万千瓦的清洁能源项目，均完成项目备案，且阿坝茸安光伏实现开工建设。</w:t>
            </w:r>
          </w:p>
        </w:tc>
        <w:tc>
          <w:tcPr>
            <w:tcW w:w="2015" w:type="dxa"/>
            <w:shd w:val="clear" w:color="auto" w:fill="auto"/>
            <w:tcMar>
              <w:top w:w="60" w:type="dxa"/>
              <w:left w:w="120" w:type="dxa"/>
              <w:bottom w:w="30" w:type="dxa"/>
              <w:right w:w="120" w:type="dxa"/>
            </w:tcMar>
            <w:vAlign w:val="center"/>
          </w:tcPr>
          <w:p w14:paraId="4F040C27">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持续提升</w:t>
            </w:r>
          </w:p>
        </w:tc>
        <w:tc>
          <w:tcPr>
            <w:tcW w:w="2012" w:type="dxa"/>
            <w:shd w:val="clear" w:color="auto" w:fill="auto"/>
            <w:tcMar>
              <w:top w:w="60" w:type="dxa"/>
              <w:left w:w="120" w:type="dxa"/>
              <w:bottom w:w="30" w:type="dxa"/>
              <w:right w:w="120" w:type="dxa"/>
            </w:tcMar>
            <w:vAlign w:val="center"/>
          </w:tcPr>
          <w:p w14:paraId="4C197C61">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全域推广清洁能源</w:t>
            </w:r>
          </w:p>
        </w:tc>
        <w:tc>
          <w:tcPr>
            <w:tcW w:w="2040" w:type="dxa"/>
            <w:shd w:val="clear" w:color="auto" w:fill="auto"/>
            <w:tcMar>
              <w:top w:w="60" w:type="dxa"/>
              <w:left w:w="120" w:type="dxa"/>
              <w:bottom w:w="30" w:type="dxa"/>
              <w:right w:w="120" w:type="dxa"/>
            </w:tcMar>
            <w:vAlign w:val="center"/>
          </w:tcPr>
          <w:p w14:paraId="748186E0">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县发改局</w:t>
            </w:r>
          </w:p>
        </w:tc>
      </w:tr>
      <w:tr w14:paraId="6057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14516" w:type="dxa"/>
            <w:gridSpan w:val="8"/>
            <w:tcMar>
              <w:top w:w="60" w:type="dxa"/>
              <w:left w:w="120" w:type="dxa"/>
              <w:bottom w:w="30" w:type="dxa"/>
              <w:right w:w="120" w:type="dxa"/>
            </w:tcMar>
          </w:tcPr>
          <w:p w14:paraId="4340A550">
            <w:pPr>
              <w:spacing w:before="120" w:after="120" w:line="240" w:lineRule="auto"/>
              <w:ind w:left="0"/>
              <w:jc w:val="left"/>
              <w:rPr>
                <w:rFonts w:hint="default" w:ascii="Times New Roman" w:hAnsi="Times New Roman" w:eastAsia="仿宋_GB2312" w:cs="Times New Roman"/>
                <w:sz w:val="20"/>
                <w:szCs w:val="21"/>
              </w:rPr>
            </w:pPr>
            <w:r>
              <w:rPr>
                <w:rFonts w:hint="default" w:ascii="Times New Roman" w:hAnsi="Times New Roman" w:eastAsia="仿宋_GB2312" w:cs="Times New Roman"/>
                <w:b/>
                <w:sz w:val="21"/>
                <w:szCs w:val="21"/>
              </w:rPr>
              <w:t>第六板块：美好生活（民生福祉与文化传承）</w:t>
            </w:r>
          </w:p>
        </w:tc>
      </w:tr>
      <w:tr w14:paraId="60FA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43" w:hRule="atLeast"/>
          <w:jc w:val="center"/>
        </w:trPr>
        <w:tc>
          <w:tcPr>
            <w:tcW w:w="737" w:type="dxa"/>
            <w:tcMar>
              <w:top w:w="60" w:type="dxa"/>
              <w:left w:w="120" w:type="dxa"/>
              <w:bottom w:w="30" w:type="dxa"/>
              <w:right w:w="120" w:type="dxa"/>
            </w:tcMar>
            <w:vAlign w:val="center"/>
          </w:tcPr>
          <w:p w14:paraId="7D454F4D">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27</w:t>
            </w:r>
          </w:p>
        </w:tc>
        <w:tc>
          <w:tcPr>
            <w:tcW w:w="1179" w:type="dxa"/>
            <w:tcMar>
              <w:top w:w="60" w:type="dxa"/>
              <w:left w:w="120" w:type="dxa"/>
              <w:bottom w:w="30" w:type="dxa"/>
              <w:right w:w="120" w:type="dxa"/>
            </w:tcMar>
            <w:vAlign w:val="center"/>
          </w:tcPr>
          <w:p w14:paraId="2590DD35">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美好生活</w:t>
            </w:r>
          </w:p>
        </w:tc>
        <w:tc>
          <w:tcPr>
            <w:tcW w:w="2660" w:type="dxa"/>
            <w:tcMar>
              <w:top w:w="60" w:type="dxa"/>
              <w:left w:w="120" w:type="dxa"/>
              <w:bottom w:w="30" w:type="dxa"/>
              <w:right w:w="120" w:type="dxa"/>
            </w:tcMar>
            <w:vAlign w:val="center"/>
          </w:tcPr>
          <w:p w14:paraId="46972F20">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城乡居民人均可支配收入增速</w:t>
            </w:r>
          </w:p>
        </w:tc>
        <w:tc>
          <w:tcPr>
            <w:tcW w:w="1577" w:type="dxa"/>
            <w:tcMar>
              <w:top w:w="60" w:type="dxa"/>
              <w:left w:w="120" w:type="dxa"/>
              <w:bottom w:w="30" w:type="dxa"/>
              <w:right w:w="120" w:type="dxa"/>
            </w:tcMar>
            <w:vAlign w:val="center"/>
          </w:tcPr>
          <w:p w14:paraId="77FB7BB4">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vAlign w:val="center"/>
          </w:tcPr>
          <w:p w14:paraId="2DCA1220">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0"/>
                <w:szCs w:val="21"/>
              </w:rPr>
              <w:t>城镇居民人均可支配收入比上年增长4.9%</w:t>
            </w:r>
            <w:r>
              <w:rPr>
                <w:rFonts w:hint="eastAsia" w:ascii="Times New Roman" w:hAnsi="Times New Roman" w:eastAsia="仿宋_GB2312" w:cs="Times New Roman"/>
                <w:sz w:val="20"/>
                <w:szCs w:val="21"/>
                <w:lang w:eastAsia="zh-CN"/>
              </w:rPr>
              <w:t>；</w:t>
            </w:r>
            <w:r>
              <w:rPr>
                <w:rFonts w:hint="default" w:ascii="Times New Roman" w:hAnsi="Times New Roman" w:eastAsia="仿宋_GB2312" w:cs="Times New Roman"/>
                <w:sz w:val="20"/>
                <w:szCs w:val="21"/>
              </w:rPr>
              <w:t>农村居民人均可支配收入比上年增长6.1%</w:t>
            </w:r>
          </w:p>
        </w:tc>
        <w:tc>
          <w:tcPr>
            <w:tcW w:w="2015" w:type="dxa"/>
            <w:shd w:val="clear" w:color="auto" w:fill="auto"/>
            <w:tcMar>
              <w:top w:w="60" w:type="dxa"/>
              <w:left w:w="120" w:type="dxa"/>
              <w:bottom w:w="30" w:type="dxa"/>
              <w:right w:w="120" w:type="dxa"/>
            </w:tcMar>
            <w:vAlign w:val="center"/>
          </w:tcPr>
          <w:p w14:paraId="4BA5D84D">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跑赢经济增速</w:t>
            </w:r>
          </w:p>
        </w:tc>
        <w:tc>
          <w:tcPr>
            <w:tcW w:w="2012" w:type="dxa"/>
            <w:shd w:val="clear" w:color="auto" w:fill="auto"/>
            <w:tcMar>
              <w:top w:w="60" w:type="dxa"/>
              <w:left w:w="120" w:type="dxa"/>
              <w:bottom w:w="30" w:type="dxa"/>
              <w:right w:w="120" w:type="dxa"/>
            </w:tcMar>
            <w:vAlign w:val="center"/>
          </w:tcPr>
          <w:p w14:paraId="6BEC8AC2">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持续稳定增长</w:t>
            </w:r>
          </w:p>
        </w:tc>
        <w:tc>
          <w:tcPr>
            <w:tcW w:w="2040" w:type="dxa"/>
            <w:shd w:val="clear" w:color="auto" w:fill="auto"/>
            <w:tcMar>
              <w:top w:w="60" w:type="dxa"/>
              <w:left w:w="120" w:type="dxa"/>
              <w:bottom w:w="30" w:type="dxa"/>
              <w:right w:w="120" w:type="dxa"/>
            </w:tcMar>
            <w:vAlign w:val="center"/>
          </w:tcPr>
          <w:p w14:paraId="7BB093EA">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县发改局、县统计局</w:t>
            </w:r>
          </w:p>
        </w:tc>
      </w:tr>
      <w:tr w14:paraId="5616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737" w:type="dxa"/>
            <w:tcMar>
              <w:top w:w="60" w:type="dxa"/>
              <w:left w:w="120" w:type="dxa"/>
              <w:bottom w:w="30" w:type="dxa"/>
              <w:right w:w="120" w:type="dxa"/>
            </w:tcMar>
            <w:vAlign w:val="center"/>
          </w:tcPr>
          <w:p w14:paraId="2443D58E">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28</w:t>
            </w:r>
          </w:p>
        </w:tc>
        <w:tc>
          <w:tcPr>
            <w:tcW w:w="1179" w:type="dxa"/>
            <w:tcMar>
              <w:top w:w="60" w:type="dxa"/>
              <w:left w:w="120" w:type="dxa"/>
              <w:bottom w:w="30" w:type="dxa"/>
              <w:right w:w="120" w:type="dxa"/>
            </w:tcMar>
            <w:vAlign w:val="center"/>
          </w:tcPr>
          <w:p w14:paraId="58DDC855">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美好生活</w:t>
            </w:r>
          </w:p>
        </w:tc>
        <w:tc>
          <w:tcPr>
            <w:tcW w:w="2660" w:type="dxa"/>
            <w:tcMar>
              <w:top w:w="60" w:type="dxa"/>
              <w:left w:w="120" w:type="dxa"/>
              <w:bottom w:w="30" w:type="dxa"/>
              <w:right w:w="120" w:type="dxa"/>
            </w:tcMar>
            <w:vAlign w:val="center"/>
          </w:tcPr>
          <w:p w14:paraId="313BE5E3">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义务教育巩固率</w:t>
            </w:r>
          </w:p>
        </w:tc>
        <w:tc>
          <w:tcPr>
            <w:tcW w:w="1577" w:type="dxa"/>
            <w:tcMar>
              <w:top w:w="60" w:type="dxa"/>
              <w:left w:w="120" w:type="dxa"/>
              <w:bottom w:w="30" w:type="dxa"/>
              <w:right w:w="120" w:type="dxa"/>
            </w:tcMar>
            <w:vAlign w:val="center"/>
          </w:tcPr>
          <w:p w14:paraId="34E8A469">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6675647C">
            <w:pPr>
              <w:spacing w:before="120" w:after="120" w:line="240" w:lineRule="auto"/>
              <w:ind w:left="0"/>
              <w:jc w:val="center"/>
              <w:rPr>
                <w:rFonts w:hint="default" w:ascii="Times New Roman" w:hAnsi="Times New Roman" w:eastAsia="仿宋_GB2312" w:cs="Times New Roman"/>
                <w:sz w:val="20"/>
                <w:szCs w:val="21"/>
              </w:rPr>
            </w:pPr>
            <w:r>
              <w:rPr>
                <w:rFonts w:hint="eastAsia" w:ascii="Times New Roman" w:hAnsi="Times New Roman" w:eastAsia="仿宋_GB2312" w:cs="Times New Roman"/>
                <w:sz w:val="20"/>
                <w:szCs w:val="21"/>
                <w:lang w:val="en-US" w:eastAsia="zh-CN"/>
              </w:rPr>
              <w:t>—</w:t>
            </w:r>
          </w:p>
        </w:tc>
        <w:tc>
          <w:tcPr>
            <w:tcW w:w="2015" w:type="dxa"/>
            <w:shd w:val="clear" w:color="auto" w:fill="auto"/>
            <w:tcMar>
              <w:top w:w="60" w:type="dxa"/>
              <w:left w:w="120" w:type="dxa"/>
              <w:bottom w:w="30" w:type="dxa"/>
              <w:right w:w="120" w:type="dxa"/>
            </w:tcMar>
            <w:vAlign w:val="center"/>
          </w:tcPr>
          <w:p w14:paraId="39DFAAFD">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稳定达标</w:t>
            </w:r>
          </w:p>
        </w:tc>
        <w:tc>
          <w:tcPr>
            <w:tcW w:w="2012" w:type="dxa"/>
            <w:shd w:val="clear" w:color="auto" w:fill="auto"/>
            <w:tcMar>
              <w:top w:w="60" w:type="dxa"/>
              <w:left w:w="120" w:type="dxa"/>
              <w:bottom w:w="30" w:type="dxa"/>
              <w:right w:w="120" w:type="dxa"/>
            </w:tcMar>
            <w:vAlign w:val="center"/>
          </w:tcPr>
          <w:p w14:paraId="3625E7B3">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高位稳定</w:t>
            </w:r>
          </w:p>
        </w:tc>
        <w:tc>
          <w:tcPr>
            <w:tcW w:w="2040" w:type="dxa"/>
            <w:shd w:val="clear" w:color="auto" w:fill="auto"/>
            <w:tcMar>
              <w:top w:w="60" w:type="dxa"/>
              <w:left w:w="120" w:type="dxa"/>
              <w:bottom w:w="30" w:type="dxa"/>
              <w:right w:w="120" w:type="dxa"/>
            </w:tcMar>
            <w:vAlign w:val="center"/>
          </w:tcPr>
          <w:p w14:paraId="2EC74457">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县教育局</w:t>
            </w:r>
          </w:p>
        </w:tc>
      </w:tr>
      <w:tr w14:paraId="1D2C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737" w:type="dxa"/>
            <w:tcMar>
              <w:top w:w="60" w:type="dxa"/>
              <w:left w:w="120" w:type="dxa"/>
              <w:bottom w:w="30" w:type="dxa"/>
              <w:right w:w="120" w:type="dxa"/>
            </w:tcMar>
            <w:vAlign w:val="center"/>
          </w:tcPr>
          <w:p w14:paraId="1BF28D34">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29</w:t>
            </w:r>
          </w:p>
        </w:tc>
        <w:tc>
          <w:tcPr>
            <w:tcW w:w="1179" w:type="dxa"/>
            <w:tcMar>
              <w:top w:w="60" w:type="dxa"/>
              <w:left w:w="120" w:type="dxa"/>
              <w:bottom w:w="30" w:type="dxa"/>
              <w:right w:w="120" w:type="dxa"/>
            </w:tcMar>
            <w:vAlign w:val="center"/>
          </w:tcPr>
          <w:p w14:paraId="250EE628">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美好生活</w:t>
            </w:r>
          </w:p>
        </w:tc>
        <w:tc>
          <w:tcPr>
            <w:tcW w:w="2660" w:type="dxa"/>
            <w:tcMar>
              <w:top w:w="60" w:type="dxa"/>
              <w:left w:w="120" w:type="dxa"/>
              <w:bottom w:w="30" w:type="dxa"/>
              <w:right w:w="120" w:type="dxa"/>
            </w:tcMar>
            <w:vAlign w:val="center"/>
          </w:tcPr>
          <w:p w14:paraId="0FA4518D">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基本医疗保险参保覆盖率</w:t>
            </w:r>
          </w:p>
        </w:tc>
        <w:tc>
          <w:tcPr>
            <w:tcW w:w="1577" w:type="dxa"/>
            <w:tcMar>
              <w:top w:w="60" w:type="dxa"/>
              <w:left w:w="120" w:type="dxa"/>
              <w:bottom w:w="30" w:type="dxa"/>
              <w:right w:w="120" w:type="dxa"/>
            </w:tcMar>
            <w:vAlign w:val="center"/>
          </w:tcPr>
          <w:p w14:paraId="762E6031">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0E5637AF">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100%</w:t>
            </w:r>
          </w:p>
        </w:tc>
        <w:tc>
          <w:tcPr>
            <w:tcW w:w="2015" w:type="dxa"/>
            <w:shd w:val="clear" w:color="auto" w:fill="auto"/>
            <w:tcMar>
              <w:top w:w="60" w:type="dxa"/>
              <w:left w:w="120" w:type="dxa"/>
              <w:bottom w:w="30" w:type="dxa"/>
              <w:right w:w="120" w:type="dxa"/>
            </w:tcMar>
            <w:vAlign w:val="center"/>
          </w:tcPr>
          <w:p w14:paraId="5ABB05C7">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稳定全覆盖</w:t>
            </w:r>
          </w:p>
        </w:tc>
        <w:tc>
          <w:tcPr>
            <w:tcW w:w="2012" w:type="dxa"/>
            <w:shd w:val="clear" w:color="auto" w:fill="auto"/>
            <w:tcMar>
              <w:top w:w="60" w:type="dxa"/>
              <w:left w:w="120" w:type="dxa"/>
              <w:bottom w:w="30" w:type="dxa"/>
              <w:right w:w="120" w:type="dxa"/>
            </w:tcMar>
            <w:vAlign w:val="center"/>
          </w:tcPr>
          <w:p w14:paraId="798BF679">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100%全覆盖</w:t>
            </w:r>
          </w:p>
        </w:tc>
        <w:tc>
          <w:tcPr>
            <w:tcW w:w="2040" w:type="dxa"/>
            <w:shd w:val="clear" w:color="auto" w:fill="auto"/>
            <w:tcMar>
              <w:top w:w="60" w:type="dxa"/>
              <w:left w:w="120" w:type="dxa"/>
              <w:bottom w:w="30" w:type="dxa"/>
              <w:right w:w="120" w:type="dxa"/>
            </w:tcMar>
            <w:vAlign w:val="center"/>
          </w:tcPr>
          <w:p w14:paraId="07998115">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县医保局</w:t>
            </w:r>
          </w:p>
        </w:tc>
      </w:tr>
      <w:tr w14:paraId="532E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1DF5442E">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30</w:t>
            </w:r>
          </w:p>
        </w:tc>
        <w:tc>
          <w:tcPr>
            <w:tcW w:w="1179" w:type="dxa"/>
            <w:tcMar>
              <w:top w:w="60" w:type="dxa"/>
              <w:left w:w="120" w:type="dxa"/>
              <w:bottom w:w="30" w:type="dxa"/>
              <w:right w:w="120" w:type="dxa"/>
            </w:tcMar>
            <w:vAlign w:val="center"/>
          </w:tcPr>
          <w:p w14:paraId="116A42AB">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美好生活</w:t>
            </w:r>
          </w:p>
        </w:tc>
        <w:tc>
          <w:tcPr>
            <w:tcW w:w="2660" w:type="dxa"/>
            <w:tcMar>
              <w:top w:w="60" w:type="dxa"/>
              <w:left w:w="120" w:type="dxa"/>
              <w:bottom w:w="30" w:type="dxa"/>
              <w:right w:w="120" w:type="dxa"/>
            </w:tcMar>
            <w:vAlign w:val="center"/>
          </w:tcPr>
          <w:p w14:paraId="0684B819">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公共文化服务设施行政村覆盖率</w:t>
            </w:r>
          </w:p>
        </w:tc>
        <w:tc>
          <w:tcPr>
            <w:tcW w:w="1577" w:type="dxa"/>
            <w:tcMar>
              <w:top w:w="60" w:type="dxa"/>
              <w:left w:w="120" w:type="dxa"/>
              <w:bottom w:w="30" w:type="dxa"/>
              <w:right w:w="120" w:type="dxa"/>
            </w:tcMar>
            <w:vAlign w:val="center"/>
          </w:tcPr>
          <w:p w14:paraId="51DA57FE">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vAlign w:val="center"/>
          </w:tcPr>
          <w:p w14:paraId="6962D114">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100%</w:t>
            </w:r>
          </w:p>
        </w:tc>
        <w:tc>
          <w:tcPr>
            <w:tcW w:w="2015" w:type="dxa"/>
            <w:shd w:val="clear" w:color="auto" w:fill="auto"/>
            <w:tcMar>
              <w:top w:w="60" w:type="dxa"/>
              <w:left w:w="120" w:type="dxa"/>
              <w:bottom w:w="30" w:type="dxa"/>
              <w:right w:w="120" w:type="dxa"/>
            </w:tcMar>
            <w:vAlign w:val="center"/>
          </w:tcPr>
          <w:p w14:paraId="0C886433">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全域覆盖</w:t>
            </w:r>
          </w:p>
        </w:tc>
        <w:tc>
          <w:tcPr>
            <w:tcW w:w="2012" w:type="dxa"/>
            <w:shd w:val="clear" w:color="auto" w:fill="auto"/>
            <w:tcMar>
              <w:top w:w="60" w:type="dxa"/>
              <w:left w:w="120" w:type="dxa"/>
              <w:bottom w:w="30" w:type="dxa"/>
              <w:right w:w="120" w:type="dxa"/>
            </w:tcMar>
            <w:vAlign w:val="center"/>
          </w:tcPr>
          <w:p w14:paraId="066DFE30">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提质增效</w:t>
            </w:r>
          </w:p>
        </w:tc>
        <w:tc>
          <w:tcPr>
            <w:tcW w:w="2040" w:type="dxa"/>
            <w:shd w:val="clear" w:color="auto" w:fill="auto"/>
            <w:tcMar>
              <w:top w:w="60" w:type="dxa"/>
              <w:left w:w="120" w:type="dxa"/>
              <w:bottom w:w="30" w:type="dxa"/>
              <w:right w:w="120" w:type="dxa"/>
            </w:tcMar>
            <w:vAlign w:val="center"/>
          </w:tcPr>
          <w:p w14:paraId="48497D27">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县文</w:t>
            </w:r>
            <w:r>
              <w:rPr>
                <w:rFonts w:hint="eastAsia" w:ascii="Times New Roman" w:hAnsi="Times New Roman" w:eastAsia="仿宋_GB2312" w:cs="Times New Roman"/>
                <w:sz w:val="21"/>
                <w:szCs w:val="21"/>
                <w:lang w:val="en-US" w:eastAsia="zh-CN"/>
              </w:rPr>
              <w:t>广体</w:t>
            </w:r>
            <w:r>
              <w:rPr>
                <w:rFonts w:hint="default" w:ascii="Times New Roman" w:hAnsi="Times New Roman" w:eastAsia="仿宋_GB2312" w:cs="Times New Roman"/>
                <w:sz w:val="21"/>
                <w:szCs w:val="21"/>
              </w:rPr>
              <w:t>旅局</w:t>
            </w:r>
          </w:p>
        </w:tc>
      </w:tr>
      <w:tr w14:paraId="62B2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20688702">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31</w:t>
            </w:r>
          </w:p>
        </w:tc>
        <w:tc>
          <w:tcPr>
            <w:tcW w:w="1179" w:type="dxa"/>
            <w:tcMar>
              <w:top w:w="60" w:type="dxa"/>
              <w:left w:w="120" w:type="dxa"/>
              <w:bottom w:w="30" w:type="dxa"/>
              <w:right w:w="120" w:type="dxa"/>
            </w:tcMar>
            <w:vAlign w:val="center"/>
          </w:tcPr>
          <w:p w14:paraId="7FC9DBD3">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美好生活</w:t>
            </w:r>
          </w:p>
        </w:tc>
        <w:tc>
          <w:tcPr>
            <w:tcW w:w="2660" w:type="dxa"/>
            <w:tcMar>
              <w:top w:w="60" w:type="dxa"/>
              <w:left w:w="120" w:type="dxa"/>
              <w:bottom w:w="30" w:type="dxa"/>
              <w:right w:w="120" w:type="dxa"/>
            </w:tcMar>
            <w:vAlign w:val="center"/>
          </w:tcPr>
          <w:p w14:paraId="5AA9FB26">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民族团结进步示范创建提质增效</w:t>
            </w:r>
          </w:p>
        </w:tc>
        <w:tc>
          <w:tcPr>
            <w:tcW w:w="1577" w:type="dxa"/>
            <w:tcMar>
              <w:top w:w="60" w:type="dxa"/>
              <w:left w:w="120" w:type="dxa"/>
              <w:bottom w:w="30" w:type="dxa"/>
              <w:right w:w="120" w:type="dxa"/>
            </w:tcMar>
            <w:vAlign w:val="center"/>
          </w:tcPr>
          <w:p w14:paraId="1A5B1D0A">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vAlign w:val="center"/>
          </w:tcPr>
          <w:p w14:paraId="2679C2F3">
            <w:pPr>
              <w:spacing w:before="120" w:after="120" w:line="240" w:lineRule="auto"/>
              <w:ind w:left="0"/>
              <w:jc w:val="center"/>
              <w:rPr>
                <w:rFonts w:hint="eastAsia" w:ascii="Times New Roman" w:hAnsi="Times New Roman" w:eastAsia="仿宋_GB2312" w:cs="Times New Roman"/>
                <w:sz w:val="20"/>
                <w:szCs w:val="21"/>
                <w:lang w:eastAsia="zh-CN"/>
              </w:rPr>
            </w:pPr>
            <w:r>
              <w:rPr>
                <w:rFonts w:hint="eastAsia" w:ascii="Times New Roman" w:hAnsi="Times New Roman" w:eastAsia="仿宋_GB2312" w:cs="Times New Roman"/>
                <w:sz w:val="20"/>
                <w:szCs w:val="21"/>
                <w:lang w:eastAsia="zh-CN"/>
              </w:rPr>
              <w:t>—</w:t>
            </w:r>
          </w:p>
        </w:tc>
        <w:tc>
          <w:tcPr>
            <w:tcW w:w="2015" w:type="dxa"/>
            <w:shd w:val="clear" w:color="auto" w:fill="auto"/>
            <w:tcMar>
              <w:top w:w="60" w:type="dxa"/>
              <w:left w:w="120" w:type="dxa"/>
              <w:bottom w:w="30" w:type="dxa"/>
              <w:right w:w="120" w:type="dxa"/>
            </w:tcMar>
            <w:vAlign w:val="center"/>
          </w:tcPr>
          <w:p w14:paraId="6FF441F5">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持续巩固提升</w:t>
            </w:r>
          </w:p>
        </w:tc>
        <w:tc>
          <w:tcPr>
            <w:tcW w:w="2012" w:type="dxa"/>
            <w:shd w:val="clear" w:color="auto" w:fill="auto"/>
            <w:tcMar>
              <w:top w:w="60" w:type="dxa"/>
              <w:left w:w="120" w:type="dxa"/>
              <w:bottom w:w="30" w:type="dxa"/>
              <w:right w:w="120" w:type="dxa"/>
            </w:tcMar>
            <w:vAlign w:val="center"/>
          </w:tcPr>
          <w:p w14:paraId="36845FF8">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全域示范标杆</w:t>
            </w:r>
          </w:p>
        </w:tc>
        <w:tc>
          <w:tcPr>
            <w:tcW w:w="2040" w:type="dxa"/>
            <w:shd w:val="clear" w:color="auto" w:fill="auto"/>
            <w:tcMar>
              <w:top w:w="60" w:type="dxa"/>
              <w:left w:w="120" w:type="dxa"/>
              <w:bottom w:w="30" w:type="dxa"/>
              <w:right w:w="120" w:type="dxa"/>
            </w:tcMar>
            <w:vAlign w:val="center"/>
          </w:tcPr>
          <w:p w14:paraId="2E7BABE0">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县委统战部</w:t>
            </w:r>
          </w:p>
        </w:tc>
      </w:tr>
      <w:tr w14:paraId="65AB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14516" w:type="dxa"/>
            <w:gridSpan w:val="8"/>
            <w:tcMar>
              <w:top w:w="60" w:type="dxa"/>
              <w:left w:w="120" w:type="dxa"/>
              <w:bottom w:w="30" w:type="dxa"/>
              <w:right w:w="120" w:type="dxa"/>
            </w:tcMar>
          </w:tcPr>
          <w:p w14:paraId="33042620">
            <w:pPr>
              <w:spacing w:before="120" w:after="120" w:line="240" w:lineRule="auto"/>
              <w:ind w:left="0"/>
              <w:jc w:val="left"/>
              <w:rPr>
                <w:rFonts w:hint="default" w:ascii="Times New Roman" w:hAnsi="Times New Roman" w:eastAsia="仿宋_GB2312" w:cs="Times New Roman"/>
                <w:sz w:val="20"/>
                <w:szCs w:val="21"/>
              </w:rPr>
            </w:pPr>
            <w:r>
              <w:rPr>
                <w:rFonts w:hint="default" w:ascii="Times New Roman" w:hAnsi="Times New Roman" w:eastAsia="仿宋_GB2312" w:cs="Times New Roman"/>
                <w:b/>
                <w:sz w:val="21"/>
                <w:szCs w:val="21"/>
              </w:rPr>
              <w:t>第七板块：宜人安全环境（环境安全与风险防控）</w:t>
            </w:r>
          </w:p>
        </w:tc>
      </w:tr>
      <w:tr w14:paraId="261A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40" w:hRule="atLeast"/>
          <w:jc w:val="center"/>
        </w:trPr>
        <w:tc>
          <w:tcPr>
            <w:tcW w:w="737" w:type="dxa"/>
            <w:tcMar>
              <w:top w:w="60" w:type="dxa"/>
              <w:left w:w="120" w:type="dxa"/>
              <w:bottom w:w="30" w:type="dxa"/>
              <w:right w:w="120" w:type="dxa"/>
            </w:tcMar>
            <w:vAlign w:val="center"/>
          </w:tcPr>
          <w:p w14:paraId="2EC2F860">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32</w:t>
            </w:r>
          </w:p>
        </w:tc>
        <w:tc>
          <w:tcPr>
            <w:tcW w:w="1179" w:type="dxa"/>
            <w:tcMar>
              <w:top w:w="60" w:type="dxa"/>
              <w:left w:w="120" w:type="dxa"/>
              <w:bottom w:w="30" w:type="dxa"/>
              <w:right w:w="120" w:type="dxa"/>
            </w:tcMar>
            <w:vAlign w:val="center"/>
          </w:tcPr>
          <w:p w14:paraId="32105EAF">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宜人环境</w:t>
            </w:r>
          </w:p>
        </w:tc>
        <w:tc>
          <w:tcPr>
            <w:tcW w:w="2660" w:type="dxa"/>
            <w:tcMar>
              <w:top w:w="60" w:type="dxa"/>
              <w:left w:w="120" w:type="dxa"/>
              <w:bottom w:w="30" w:type="dxa"/>
              <w:right w:w="120" w:type="dxa"/>
            </w:tcMar>
            <w:vAlign w:val="center"/>
          </w:tcPr>
          <w:p w14:paraId="4ECC7FF0">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受污染耕地安全利用率</w:t>
            </w:r>
          </w:p>
        </w:tc>
        <w:tc>
          <w:tcPr>
            <w:tcW w:w="1577" w:type="dxa"/>
            <w:tcMar>
              <w:top w:w="60" w:type="dxa"/>
              <w:left w:w="120" w:type="dxa"/>
              <w:bottom w:w="30" w:type="dxa"/>
              <w:right w:w="120" w:type="dxa"/>
            </w:tcMar>
            <w:vAlign w:val="center"/>
          </w:tcPr>
          <w:p w14:paraId="3D923988">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352B73DE">
            <w:pPr>
              <w:spacing w:before="120" w:after="120" w:line="240" w:lineRule="auto"/>
              <w:ind w:left="0" w:leftChars="0"/>
              <w:jc w:val="center"/>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无</w:t>
            </w:r>
            <w:r>
              <w:rPr>
                <w:rFonts w:hint="default" w:ascii="Times New Roman" w:hAnsi="Times New Roman" w:eastAsia="仿宋_GB2312" w:cs="Times New Roman"/>
                <w:sz w:val="21"/>
                <w:szCs w:val="21"/>
              </w:rPr>
              <w:t>污染耕地</w:t>
            </w:r>
          </w:p>
        </w:tc>
        <w:tc>
          <w:tcPr>
            <w:tcW w:w="2015" w:type="dxa"/>
            <w:shd w:val="clear" w:color="auto" w:fill="auto"/>
            <w:tcMar>
              <w:top w:w="60" w:type="dxa"/>
              <w:left w:w="120" w:type="dxa"/>
              <w:bottom w:w="30" w:type="dxa"/>
              <w:right w:w="120" w:type="dxa"/>
            </w:tcMar>
            <w:vAlign w:val="center"/>
          </w:tcPr>
          <w:p w14:paraId="3D08F14E">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12" w:type="dxa"/>
            <w:shd w:val="clear" w:color="auto" w:fill="auto"/>
            <w:tcMar>
              <w:top w:w="60" w:type="dxa"/>
              <w:left w:w="120" w:type="dxa"/>
              <w:bottom w:w="30" w:type="dxa"/>
              <w:right w:w="120" w:type="dxa"/>
            </w:tcMar>
            <w:vAlign w:val="center"/>
          </w:tcPr>
          <w:p w14:paraId="2F08FB04">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40" w:type="dxa"/>
            <w:shd w:val="clear" w:color="auto" w:fill="auto"/>
            <w:tcMar>
              <w:top w:w="60" w:type="dxa"/>
              <w:left w:w="120" w:type="dxa"/>
              <w:bottom w:w="30" w:type="dxa"/>
              <w:right w:w="120" w:type="dxa"/>
            </w:tcMar>
            <w:vAlign w:val="center"/>
          </w:tcPr>
          <w:p w14:paraId="2238A16E">
            <w:pPr>
              <w:spacing w:before="120" w:after="120" w:line="240" w:lineRule="auto"/>
              <w:ind w:left="0" w:leftChars="0"/>
              <w:jc w:val="center"/>
              <w:rPr>
                <w:rFonts w:hint="default" w:ascii="Times New Roman" w:hAnsi="Times New Roman" w:eastAsia="仿宋_GB2312" w:cs="Times New Roman"/>
                <w:sz w:val="20"/>
                <w:szCs w:val="21"/>
              </w:rPr>
            </w:pPr>
            <w:r>
              <w:rPr>
                <w:rFonts w:hint="eastAsia" w:ascii="Times New Roman" w:hAnsi="Times New Roman" w:eastAsia="仿宋_GB2312" w:cs="Times New Roman"/>
                <w:sz w:val="21"/>
                <w:szCs w:val="21"/>
                <w:lang w:val="en-US" w:eastAsia="zh-CN"/>
              </w:rPr>
              <w:t>阿坝</w:t>
            </w:r>
            <w:r>
              <w:rPr>
                <w:rFonts w:hint="default" w:ascii="Times New Roman" w:hAnsi="Times New Roman" w:eastAsia="仿宋_GB2312" w:cs="Times New Roman"/>
                <w:sz w:val="21"/>
                <w:szCs w:val="21"/>
              </w:rPr>
              <w:t>生态环境局、县科学技术和农业畜牧水务局</w:t>
            </w:r>
          </w:p>
        </w:tc>
      </w:tr>
      <w:tr w14:paraId="6B99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27DA9FEC">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33</w:t>
            </w:r>
          </w:p>
        </w:tc>
        <w:tc>
          <w:tcPr>
            <w:tcW w:w="1179" w:type="dxa"/>
            <w:tcMar>
              <w:top w:w="60" w:type="dxa"/>
              <w:left w:w="120" w:type="dxa"/>
              <w:bottom w:w="30" w:type="dxa"/>
              <w:right w:w="120" w:type="dxa"/>
            </w:tcMar>
            <w:vAlign w:val="center"/>
          </w:tcPr>
          <w:p w14:paraId="2934975D">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宜人环境</w:t>
            </w:r>
          </w:p>
        </w:tc>
        <w:tc>
          <w:tcPr>
            <w:tcW w:w="2660" w:type="dxa"/>
            <w:tcMar>
              <w:top w:w="60" w:type="dxa"/>
              <w:left w:w="120" w:type="dxa"/>
              <w:bottom w:w="30" w:type="dxa"/>
              <w:right w:w="120" w:type="dxa"/>
            </w:tcMar>
            <w:vAlign w:val="center"/>
          </w:tcPr>
          <w:p w14:paraId="58B7F53D">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重点建设用地安全利用率</w:t>
            </w:r>
          </w:p>
        </w:tc>
        <w:tc>
          <w:tcPr>
            <w:tcW w:w="1577" w:type="dxa"/>
            <w:tcMar>
              <w:top w:w="60" w:type="dxa"/>
              <w:left w:w="120" w:type="dxa"/>
              <w:bottom w:w="30" w:type="dxa"/>
              <w:right w:w="120" w:type="dxa"/>
            </w:tcMar>
            <w:vAlign w:val="center"/>
          </w:tcPr>
          <w:p w14:paraId="2D2F166D">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2B1BBABA">
            <w:pPr>
              <w:spacing w:before="120" w:after="120" w:line="240" w:lineRule="auto"/>
              <w:ind w:left="0" w:leftChars="0"/>
              <w:jc w:val="center"/>
              <w:rPr>
                <w:rFonts w:hint="default" w:ascii="Times New Roman" w:hAnsi="Times New Roman" w:eastAsia="仿宋_GB2312" w:cs="Times New Roman"/>
                <w:sz w:val="21"/>
                <w:szCs w:val="21"/>
              </w:rPr>
            </w:pPr>
            <w:r>
              <w:rPr>
                <w:rFonts w:hint="eastAsia" w:ascii="Times New Roman" w:hAnsi="Times New Roman" w:eastAsia="仿宋_GB2312" w:cs="Times New Roman"/>
                <w:sz w:val="21"/>
                <w:szCs w:val="21"/>
                <w:lang w:val="en-US" w:eastAsia="zh-CN"/>
              </w:rPr>
              <w:t>无污染地块</w:t>
            </w:r>
          </w:p>
        </w:tc>
        <w:tc>
          <w:tcPr>
            <w:tcW w:w="2015" w:type="dxa"/>
            <w:shd w:val="clear" w:color="auto" w:fill="auto"/>
            <w:tcMar>
              <w:top w:w="60" w:type="dxa"/>
              <w:left w:w="120" w:type="dxa"/>
              <w:bottom w:w="30" w:type="dxa"/>
              <w:right w:w="120" w:type="dxa"/>
            </w:tcMar>
            <w:vAlign w:val="center"/>
          </w:tcPr>
          <w:p w14:paraId="421B11FD">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12" w:type="dxa"/>
            <w:shd w:val="clear" w:color="auto" w:fill="auto"/>
            <w:tcMar>
              <w:top w:w="60" w:type="dxa"/>
              <w:left w:w="120" w:type="dxa"/>
              <w:bottom w:w="30" w:type="dxa"/>
              <w:right w:w="120" w:type="dxa"/>
            </w:tcMar>
            <w:vAlign w:val="center"/>
          </w:tcPr>
          <w:p w14:paraId="4C74873A">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40" w:type="dxa"/>
            <w:shd w:val="clear" w:color="auto" w:fill="auto"/>
            <w:tcMar>
              <w:top w:w="60" w:type="dxa"/>
              <w:left w:w="120" w:type="dxa"/>
              <w:bottom w:w="30" w:type="dxa"/>
              <w:right w:w="120" w:type="dxa"/>
            </w:tcMar>
            <w:vAlign w:val="center"/>
          </w:tcPr>
          <w:p w14:paraId="34A236DC">
            <w:pPr>
              <w:spacing w:before="120" w:after="120" w:line="240" w:lineRule="auto"/>
              <w:ind w:left="0" w:leftChars="0"/>
              <w:jc w:val="center"/>
              <w:rPr>
                <w:rFonts w:hint="default" w:ascii="Times New Roman" w:hAnsi="Times New Roman" w:eastAsia="仿宋_GB2312" w:cs="Times New Roman"/>
                <w:sz w:val="20"/>
                <w:szCs w:val="21"/>
              </w:rPr>
            </w:pPr>
            <w:r>
              <w:rPr>
                <w:rFonts w:hint="eastAsia" w:ascii="Times New Roman" w:hAnsi="Times New Roman" w:eastAsia="仿宋_GB2312" w:cs="Times New Roman"/>
                <w:sz w:val="21"/>
                <w:szCs w:val="21"/>
                <w:lang w:val="en-US" w:eastAsia="zh-CN"/>
              </w:rPr>
              <w:t>阿坝</w:t>
            </w:r>
            <w:r>
              <w:rPr>
                <w:rFonts w:hint="default" w:ascii="Times New Roman" w:hAnsi="Times New Roman" w:eastAsia="仿宋_GB2312" w:cs="Times New Roman"/>
                <w:sz w:val="21"/>
                <w:szCs w:val="21"/>
              </w:rPr>
              <w:t>生态环境局、县自然资源局</w:t>
            </w:r>
          </w:p>
        </w:tc>
      </w:tr>
      <w:tr w14:paraId="07E6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7ECC420D">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34</w:t>
            </w:r>
          </w:p>
        </w:tc>
        <w:tc>
          <w:tcPr>
            <w:tcW w:w="1179" w:type="dxa"/>
            <w:tcMar>
              <w:top w:w="60" w:type="dxa"/>
              <w:left w:w="120" w:type="dxa"/>
              <w:bottom w:w="30" w:type="dxa"/>
              <w:right w:w="120" w:type="dxa"/>
            </w:tcMar>
            <w:vAlign w:val="center"/>
          </w:tcPr>
          <w:p w14:paraId="4E402338">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宜人环境</w:t>
            </w:r>
          </w:p>
        </w:tc>
        <w:tc>
          <w:tcPr>
            <w:tcW w:w="2660" w:type="dxa"/>
            <w:tcMar>
              <w:top w:w="60" w:type="dxa"/>
              <w:left w:w="120" w:type="dxa"/>
              <w:bottom w:w="30" w:type="dxa"/>
              <w:right w:w="120" w:type="dxa"/>
            </w:tcMar>
            <w:vAlign w:val="center"/>
          </w:tcPr>
          <w:p w14:paraId="242AA2D1">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地质灾害隐患点综合治理率</w:t>
            </w:r>
          </w:p>
        </w:tc>
        <w:tc>
          <w:tcPr>
            <w:tcW w:w="1577" w:type="dxa"/>
            <w:tcMar>
              <w:top w:w="60" w:type="dxa"/>
              <w:left w:w="120" w:type="dxa"/>
              <w:bottom w:w="30" w:type="dxa"/>
              <w:right w:w="120" w:type="dxa"/>
            </w:tcMar>
            <w:vAlign w:val="center"/>
          </w:tcPr>
          <w:p w14:paraId="4CD4B1D4">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☆预期性</w:t>
            </w:r>
          </w:p>
        </w:tc>
        <w:tc>
          <w:tcPr>
            <w:tcW w:w="2296" w:type="dxa"/>
            <w:tcMar>
              <w:top w:w="60" w:type="dxa"/>
              <w:left w:w="120" w:type="dxa"/>
              <w:bottom w:w="30" w:type="dxa"/>
              <w:right w:w="120" w:type="dxa"/>
            </w:tcMar>
            <w:vAlign w:val="center"/>
          </w:tcPr>
          <w:p w14:paraId="7257E8BA">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40%</w:t>
            </w:r>
          </w:p>
        </w:tc>
        <w:tc>
          <w:tcPr>
            <w:tcW w:w="2015" w:type="dxa"/>
            <w:shd w:val="clear" w:color="auto" w:fill="auto"/>
            <w:tcMar>
              <w:top w:w="60" w:type="dxa"/>
              <w:left w:w="120" w:type="dxa"/>
              <w:bottom w:w="30" w:type="dxa"/>
              <w:right w:w="120" w:type="dxa"/>
            </w:tcMar>
            <w:vAlign w:val="center"/>
          </w:tcPr>
          <w:p w14:paraId="1553FEA7">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逐年提升</w:t>
            </w:r>
          </w:p>
        </w:tc>
        <w:tc>
          <w:tcPr>
            <w:tcW w:w="2012" w:type="dxa"/>
            <w:shd w:val="clear" w:color="auto" w:fill="auto"/>
            <w:tcMar>
              <w:top w:w="60" w:type="dxa"/>
              <w:left w:w="120" w:type="dxa"/>
              <w:bottom w:w="30" w:type="dxa"/>
              <w:right w:w="120" w:type="dxa"/>
            </w:tcMar>
            <w:vAlign w:val="center"/>
          </w:tcPr>
          <w:p w14:paraId="49D46C5B">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重点隐患全面治理</w:t>
            </w:r>
          </w:p>
        </w:tc>
        <w:tc>
          <w:tcPr>
            <w:tcW w:w="2040" w:type="dxa"/>
            <w:shd w:val="clear" w:color="auto" w:fill="auto"/>
            <w:tcMar>
              <w:top w:w="60" w:type="dxa"/>
              <w:left w:w="120" w:type="dxa"/>
              <w:bottom w:w="30" w:type="dxa"/>
              <w:right w:w="120" w:type="dxa"/>
            </w:tcMar>
            <w:vAlign w:val="center"/>
          </w:tcPr>
          <w:p w14:paraId="3DF6FA01">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县自然资源局</w:t>
            </w:r>
          </w:p>
        </w:tc>
      </w:tr>
      <w:tr w14:paraId="684C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37" w:hRule="atLeast"/>
          <w:jc w:val="center"/>
        </w:trPr>
        <w:tc>
          <w:tcPr>
            <w:tcW w:w="737" w:type="dxa"/>
            <w:tcMar>
              <w:top w:w="60" w:type="dxa"/>
              <w:left w:w="120" w:type="dxa"/>
              <w:bottom w:w="30" w:type="dxa"/>
              <w:right w:w="120" w:type="dxa"/>
            </w:tcMar>
            <w:vAlign w:val="center"/>
          </w:tcPr>
          <w:p w14:paraId="6D2D5508">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35</w:t>
            </w:r>
          </w:p>
        </w:tc>
        <w:tc>
          <w:tcPr>
            <w:tcW w:w="1179" w:type="dxa"/>
            <w:tcMar>
              <w:top w:w="60" w:type="dxa"/>
              <w:left w:w="120" w:type="dxa"/>
              <w:bottom w:w="30" w:type="dxa"/>
              <w:right w:w="120" w:type="dxa"/>
            </w:tcMar>
            <w:vAlign w:val="center"/>
          </w:tcPr>
          <w:p w14:paraId="45EF8735">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宜人环境</w:t>
            </w:r>
          </w:p>
        </w:tc>
        <w:tc>
          <w:tcPr>
            <w:tcW w:w="2660" w:type="dxa"/>
            <w:tcMar>
              <w:top w:w="60" w:type="dxa"/>
              <w:left w:w="120" w:type="dxa"/>
              <w:bottom w:w="30" w:type="dxa"/>
              <w:right w:w="120" w:type="dxa"/>
            </w:tcMar>
            <w:vAlign w:val="center"/>
          </w:tcPr>
          <w:p w14:paraId="10A176E5">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重大生态环境风险事件发生率</w:t>
            </w:r>
          </w:p>
        </w:tc>
        <w:tc>
          <w:tcPr>
            <w:tcW w:w="1577" w:type="dxa"/>
            <w:tcMar>
              <w:top w:w="60" w:type="dxa"/>
              <w:left w:w="120" w:type="dxa"/>
              <w:bottom w:w="30" w:type="dxa"/>
              <w:right w:w="120" w:type="dxa"/>
            </w:tcMar>
            <w:vAlign w:val="center"/>
          </w:tcPr>
          <w:p w14:paraId="5B2947ED">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★约束性</w:t>
            </w:r>
          </w:p>
        </w:tc>
        <w:tc>
          <w:tcPr>
            <w:tcW w:w="2296" w:type="dxa"/>
            <w:tcMar>
              <w:top w:w="60" w:type="dxa"/>
              <w:left w:w="120" w:type="dxa"/>
              <w:bottom w:w="30" w:type="dxa"/>
              <w:right w:w="120" w:type="dxa"/>
            </w:tcMar>
            <w:vAlign w:val="center"/>
          </w:tcPr>
          <w:p w14:paraId="2D43AA6D">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零发生</w:t>
            </w:r>
          </w:p>
        </w:tc>
        <w:tc>
          <w:tcPr>
            <w:tcW w:w="2015" w:type="dxa"/>
            <w:shd w:val="clear" w:color="auto" w:fill="auto"/>
            <w:tcMar>
              <w:top w:w="60" w:type="dxa"/>
              <w:left w:w="120" w:type="dxa"/>
              <w:bottom w:w="30" w:type="dxa"/>
              <w:right w:w="120" w:type="dxa"/>
            </w:tcMar>
            <w:vAlign w:val="center"/>
          </w:tcPr>
          <w:p w14:paraId="6C386888">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零发生</w:t>
            </w:r>
          </w:p>
        </w:tc>
        <w:tc>
          <w:tcPr>
            <w:tcW w:w="2012" w:type="dxa"/>
            <w:shd w:val="clear" w:color="auto" w:fill="auto"/>
            <w:tcMar>
              <w:top w:w="60" w:type="dxa"/>
              <w:left w:w="120" w:type="dxa"/>
              <w:bottom w:w="30" w:type="dxa"/>
              <w:right w:w="120" w:type="dxa"/>
            </w:tcMar>
            <w:vAlign w:val="center"/>
          </w:tcPr>
          <w:p w14:paraId="13D19E4B">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零发生</w:t>
            </w:r>
          </w:p>
        </w:tc>
        <w:tc>
          <w:tcPr>
            <w:tcW w:w="2040" w:type="dxa"/>
            <w:shd w:val="clear" w:color="auto" w:fill="auto"/>
            <w:tcMar>
              <w:top w:w="60" w:type="dxa"/>
              <w:left w:w="120" w:type="dxa"/>
              <w:bottom w:w="30" w:type="dxa"/>
              <w:right w:w="120" w:type="dxa"/>
            </w:tcMar>
            <w:vAlign w:val="center"/>
          </w:tcPr>
          <w:p w14:paraId="5AC4AFCC">
            <w:pPr>
              <w:spacing w:before="120" w:after="120" w:line="240" w:lineRule="auto"/>
              <w:ind w:left="0" w:leftChars="0"/>
              <w:jc w:val="center"/>
              <w:rPr>
                <w:rFonts w:hint="default" w:ascii="Times New Roman" w:hAnsi="Times New Roman" w:eastAsia="仿宋_GB2312" w:cs="Times New Roman"/>
                <w:sz w:val="20"/>
                <w:szCs w:val="21"/>
              </w:rPr>
            </w:pPr>
            <w:r>
              <w:rPr>
                <w:rFonts w:hint="eastAsia" w:ascii="Times New Roman" w:hAnsi="Times New Roman" w:eastAsia="仿宋_GB2312" w:cs="Times New Roman"/>
                <w:sz w:val="21"/>
                <w:szCs w:val="21"/>
                <w:lang w:val="en-US" w:eastAsia="zh-CN"/>
              </w:rPr>
              <w:t>阿坝</w:t>
            </w:r>
            <w:r>
              <w:rPr>
                <w:rFonts w:hint="default" w:ascii="Times New Roman" w:hAnsi="Times New Roman" w:eastAsia="仿宋_GB2312" w:cs="Times New Roman"/>
                <w:sz w:val="21"/>
                <w:szCs w:val="21"/>
              </w:rPr>
              <w:t>生态环境局、各相关单位</w:t>
            </w:r>
          </w:p>
        </w:tc>
      </w:tr>
      <w:tr w14:paraId="1451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14516" w:type="dxa"/>
            <w:gridSpan w:val="8"/>
            <w:tcMar>
              <w:top w:w="60" w:type="dxa"/>
              <w:left w:w="120" w:type="dxa"/>
              <w:bottom w:w="30" w:type="dxa"/>
              <w:right w:w="120" w:type="dxa"/>
            </w:tcMar>
          </w:tcPr>
          <w:p w14:paraId="655FFDC6">
            <w:pPr>
              <w:spacing w:before="120" w:after="120" w:line="240" w:lineRule="auto"/>
              <w:ind w:left="0"/>
              <w:jc w:val="left"/>
              <w:rPr>
                <w:rFonts w:hint="default" w:ascii="Times New Roman" w:hAnsi="Times New Roman" w:eastAsia="仿宋_GB2312" w:cs="Times New Roman"/>
                <w:sz w:val="20"/>
                <w:szCs w:val="21"/>
              </w:rPr>
            </w:pPr>
            <w:r>
              <w:rPr>
                <w:rFonts w:hint="default" w:ascii="Times New Roman" w:hAnsi="Times New Roman" w:eastAsia="仿宋_GB2312" w:cs="Times New Roman"/>
                <w:b/>
                <w:sz w:val="21"/>
                <w:szCs w:val="21"/>
              </w:rPr>
              <w:t>第八板块：阿坝县专属特色指标（州级无、县级增补、重点加分指标）</w:t>
            </w:r>
          </w:p>
        </w:tc>
      </w:tr>
      <w:tr w14:paraId="65E4E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40" w:hRule="atLeast"/>
          <w:jc w:val="center"/>
        </w:trPr>
        <w:tc>
          <w:tcPr>
            <w:tcW w:w="737" w:type="dxa"/>
            <w:tcMar>
              <w:top w:w="60" w:type="dxa"/>
              <w:left w:w="120" w:type="dxa"/>
              <w:bottom w:w="30" w:type="dxa"/>
              <w:right w:w="120" w:type="dxa"/>
            </w:tcMar>
            <w:vAlign w:val="center"/>
          </w:tcPr>
          <w:p w14:paraId="6CB3D100">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36</w:t>
            </w:r>
          </w:p>
        </w:tc>
        <w:tc>
          <w:tcPr>
            <w:tcW w:w="1179" w:type="dxa"/>
            <w:tcMar>
              <w:top w:w="60" w:type="dxa"/>
              <w:left w:w="120" w:type="dxa"/>
              <w:bottom w:w="30" w:type="dxa"/>
              <w:right w:w="120" w:type="dxa"/>
            </w:tcMar>
            <w:vAlign w:val="center"/>
          </w:tcPr>
          <w:p w14:paraId="6CA15961">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县域特色</w:t>
            </w:r>
          </w:p>
        </w:tc>
        <w:tc>
          <w:tcPr>
            <w:tcW w:w="2660" w:type="dxa"/>
            <w:tcMar>
              <w:top w:w="60" w:type="dxa"/>
              <w:left w:w="120" w:type="dxa"/>
              <w:bottom w:w="30" w:type="dxa"/>
              <w:right w:w="120" w:type="dxa"/>
            </w:tcMar>
            <w:vAlign w:val="center"/>
          </w:tcPr>
          <w:p w14:paraId="7988C857">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黄河上游流域生态修复项目完成率</w:t>
            </w:r>
          </w:p>
        </w:tc>
        <w:tc>
          <w:tcPr>
            <w:tcW w:w="1577" w:type="dxa"/>
            <w:tcMar>
              <w:top w:w="60" w:type="dxa"/>
              <w:left w:w="120" w:type="dxa"/>
              <w:bottom w:w="30" w:type="dxa"/>
              <w:right w:w="120" w:type="dxa"/>
            </w:tcMar>
            <w:vAlign w:val="center"/>
          </w:tcPr>
          <w:p w14:paraId="2812D6BF">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◆特色约束</w:t>
            </w:r>
          </w:p>
        </w:tc>
        <w:tc>
          <w:tcPr>
            <w:tcW w:w="2296" w:type="dxa"/>
            <w:tcMar>
              <w:top w:w="60" w:type="dxa"/>
              <w:left w:w="120" w:type="dxa"/>
              <w:bottom w:w="30" w:type="dxa"/>
              <w:right w:w="120" w:type="dxa"/>
            </w:tcMar>
            <w:vAlign w:val="center"/>
          </w:tcPr>
          <w:p w14:paraId="3C35C642">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完成年度任务</w:t>
            </w:r>
          </w:p>
        </w:tc>
        <w:tc>
          <w:tcPr>
            <w:tcW w:w="2015" w:type="dxa"/>
            <w:shd w:val="clear" w:color="auto" w:fill="auto"/>
            <w:tcMar>
              <w:top w:w="60" w:type="dxa"/>
              <w:left w:w="120" w:type="dxa"/>
              <w:bottom w:w="30" w:type="dxa"/>
              <w:right w:w="120" w:type="dxa"/>
            </w:tcMar>
            <w:vAlign w:val="center"/>
          </w:tcPr>
          <w:p w14:paraId="541B7502">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12" w:type="dxa"/>
            <w:shd w:val="clear" w:color="auto" w:fill="auto"/>
            <w:tcMar>
              <w:top w:w="60" w:type="dxa"/>
              <w:left w:w="120" w:type="dxa"/>
              <w:bottom w:w="30" w:type="dxa"/>
              <w:right w:w="120" w:type="dxa"/>
            </w:tcMar>
            <w:vAlign w:val="center"/>
          </w:tcPr>
          <w:p w14:paraId="48AB8AC3">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持续巩固提升</w:t>
            </w:r>
          </w:p>
        </w:tc>
        <w:tc>
          <w:tcPr>
            <w:tcW w:w="2040" w:type="dxa"/>
            <w:shd w:val="clear" w:color="auto" w:fill="auto"/>
            <w:tcMar>
              <w:top w:w="60" w:type="dxa"/>
              <w:left w:w="120" w:type="dxa"/>
              <w:bottom w:w="30" w:type="dxa"/>
              <w:right w:w="120" w:type="dxa"/>
            </w:tcMar>
            <w:vAlign w:val="center"/>
          </w:tcPr>
          <w:p w14:paraId="308340C7">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县林草局、县科学技术和农业畜牧水务局</w:t>
            </w:r>
          </w:p>
        </w:tc>
      </w:tr>
      <w:tr w14:paraId="1665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34" w:hRule="atLeast"/>
          <w:jc w:val="center"/>
        </w:trPr>
        <w:tc>
          <w:tcPr>
            <w:tcW w:w="737" w:type="dxa"/>
            <w:tcMar>
              <w:top w:w="60" w:type="dxa"/>
              <w:left w:w="120" w:type="dxa"/>
              <w:bottom w:w="30" w:type="dxa"/>
              <w:right w:w="120" w:type="dxa"/>
            </w:tcMar>
            <w:vAlign w:val="center"/>
          </w:tcPr>
          <w:p w14:paraId="39753F1A">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37</w:t>
            </w:r>
          </w:p>
        </w:tc>
        <w:tc>
          <w:tcPr>
            <w:tcW w:w="1179" w:type="dxa"/>
            <w:tcMar>
              <w:top w:w="60" w:type="dxa"/>
              <w:left w:w="120" w:type="dxa"/>
              <w:bottom w:w="30" w:type="dxa"/>
              <w:right w:w="120" w:type="dxa"/>
            </w:tcMar>
            <w:vAlign w:val="center"/>
          </w:tcPr>
          <w:p w14:paraId="77CEDED9">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县域特色</w:t>
            </w:r>
          </w:p>
        </w:tc>
        <w:tc>
          <w:tcPr>
            <w:tcW w:w="2660" w:type="dxa"/>
            <w:tcMar>
              <w:top w:w="60" w:type="dxa"/>
              <w:left w:w="120" w:type="dxa"/>
              <w:bottom w:w="30" w:type="dxa"/>
              <w:right w:w="120" w:type="dxa"/>
            </w:tcMar>
            <w:vAlign w:val="center"/>
          </w:tcPr>
          <w:p w14:paraId="44EA8285">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高原湿地保护管护达标率</w:t>
            </w:r>
          </w:p>
        </w:tc>
        <w:tc>
          <w:tcPr>
            <w:tcW w:w="1577" w:type="dxa"/>
            <w:tcMar>
              <w:top w:w="60" w:type="dxa"/>
              <w:left w:w="120" w:type="dxa"/>
              <w:bottom w:w="30" w:type="dxa"/>
              <w:right w:w="120" w:type="dxa"/>
            </w:tcMar>
            <w:vAlign w:val="center"/>
          </w:tcPr>
          <w:p w14:paraId="781C05A5">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◆特色约束</w:t>
            </w:r>
          </w:p>
        </w:tc>
        <w:tc>
          <w:tcPr>
            <w:tcW w:w="2296" w:type="dxa"/>
            <w:tcMar>
              <w:top w:w="60" w:type="dxa"/>
              <w:left w:w="120" w:type="dxa"/>
              <w:bottom w:w="30" w:type="dxa"/>
              <w:right w:w="120" w:type="dxa"/>
            </w:tcMar>
            <w:vAlign w:val="center"/>
          </w:tcPr>
          <w:p w14:paraId="45C410A8">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eastAsia" w:ascii="Times New Roman" w:hAnsi="Times New Roman" w:eastAsia="仿宋_GB2312" w:cs="Times New Roman"/>
                <w:sz w:val="20"/>
                <w:szCs w:val="21"/>
                <w:lang w:val="en-US" w:eastAsia="zh-CN"/>
              </w:rPr>
              <w:t>100%</w:t>
            </w:r>
          </w:p>
        </w:tc>
        <w:tc>
          <w:tcPr>
            <w:tcW w:w="2015" w:type="dxa"/>
            <w:shd w:val="clear" w:color="auto" w:fill="auto"/>
            <w:tcMar>
              <w:top w:w="60" w:type="dxa"/>
              <w:left w:w="120" w:type="dxa"/>
              <w:bottom w:w="30" w:type="dxa"/>
              <w:right w:w="120" w:type="dxa"/>
            </w:tcMar>
            <w:vAlign w:val="center"/>
          </w:tcPr>
          <w:p w14:paraId="49E50106">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100%</w:t>
            </w:r>
          </w:p>
        </w:tc>
        <w:tc>
          <w:tcPr>
            <w:tcW w:w="2012" w:type="dxa"/>
            <w:shd w:val="clear" w:color="auto" w:fill="auto"/>
            <w:tcMar>
              <w:top w:w="60" w:type="dxa"/>
              <w:left w:w="120" w:type="dxa"/>
              <w:bottom w:w="30" w:type="dxa"/>
              <w:right w:w="120" w:type="dxa"/>
            </w:tcMar>
            <w:vAlign w:val="center"/>
          </w:tcPr>
          <w:p w14:paraId="439FA3A2">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常态化高标准管护</w:t>
            </w:r>
          </w:p>
        </w:tc>
        <w:tc>
          <w:tcPr>
            <w:tcW w:w="2040" w:type="dxa"/>
            <w:shd w:val="clear" w:color="auto" w:fill="auto"/>
            <w:tcMar>
              <w:top w:w="60" w:type="dxa"/>
              <w:left w:w="120" w:type="dxa"/>
              <w:bottom w:w="30" w:type="dxa"/>
              <w:right w:w="120" w:type="dxa"/>
            </w:tcMar>
            <w:vAlign w:val="center"/>
          </w:tcPr>
          <w:p w14:paraId="02DAF775">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县林草局</w:t>
            </w:r>
          </w:p>
        </w:tc>
      </w:tr>
      <w:tr w14:paraId="742D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40" w:hRule="atLeast"/>
          <w:jc w:val="center"/>
        </w:trPr>
        <w:tc>
          <w:tcPr>
            <w:tcW w:w="737" w:type="dxa"/>
            <w:tcMar>
              <w:top w:w="60" w:type="dxa"/>
              <w:left w:w="120" w:type="dxa"/>
              <w:bottom w:w="30" w:type="dxa"/>
              <w:right w:w="120" w:type="dxa"/>
            </w:tcMar>
            <w:vAlign w:val="center"/>
          </w:tcPr>
          <w:p w14:paraId="56550758">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38</w:t>
            </w:r>
          </w:p>
        </w:tc>
        <w:tc>
          <w:tcPr>
            <w:tcW w:w="1179" w:type="dxa"/>
            <w:tcMar>
              <w:top w:w="60" w:type="dxa"/>
              <w:left w:w="120" w:type="dxa"/>
              <w:bottom w:w="30" w:type="dxa"/>
              <w:right w:w="120" w:type="dxa"/>
            </w:tcMar>
            <w:vAlign w:val="center"/>
          </w:tcPr>
          <w:p w14:paraId="1523FD02">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县域特色</w:t>
            </w:r>
          </w:p>
        </w:tc>
        <w:tc>
          <w:tcPr>
            <w:tcW w:w="2660" w:type="dxa"/>
            <w:tcMar>
              <w:top w:w="60" w:type="dxa"/>
              <w:left w:w="120" w:type="dxa"/>
              <w:bottom w:w="30" w:type="dxa"/>
              <w:right w:w="120" w:type="dxa"/>
            </w:tcMar>
            <w:vAlign w:val="center"/>
          </w:tcPr>
          <w:p w14:paraId="599D6150">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草原鼠虫害、沙化综合治理面积</w:t>
            </w:r>
          </w:p>
        </w:tc>
        <w:tc>
          <w:tcPr>
            <w:tcW w:w="1577" w:type="dxa"/>
            <w:tcMar>
              <w:top w:w="60" w:type="dxa"/>
              <w:left w:w="120" w:type="dxa"/>
              <w:bottom w:w="30" w:type="dxa"/>
              <w:right w:w="120" w:type="dxa"/>
            </w:tcMar>
            <w:vAlign w:val="center"/>
          </w:tcPr>
          <w:p w14:paraId="6CE36443">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◆特色预期</w:t>
            </w:r>
          </w:p>
        </w:tc>
        <w:tc>
          <w:tcPr>
            <w:tcW w:w="2296" w:type="dxa"/>
            <w:tcMar>
              <w:top w:w="60" w:type="dxa"/>
              <w:left w:w="120" w:type="dxa"/>
              <w:bottom w:w="30" w:type="dxa"/>
              <w:right w:w="120" w:type="dxa"/>
            </w:tcMar>
            <w:vAlign w:val="center"/>
          </w:tcPr>
          <w:p w14:paraId="5BAE7A99">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2"/>
                <w:lang w:val="en-US" w:eastAsia="zh-CN"/>
              </w:rPr>
              <w:t>草原鼠虫害综合防控318万亩次</w:t>
            </w:r>
            <w:r>
              <w:rPr>
                <w:rFonts w:hint="eastAsia" w:ascii="Times New Roman" w:hAnsi="Times New Roman" w:eastAsia="仿宋_GB2312" w:cs="Times New Roman"/>
                <w:sz w:val="21"/>
                <w:szCs w:val="22"/>
                <w:lang w:val="en-US" w:eastAsia="zh-CN"/>
              </w:rPr>
              <w:t>；治理沙化及沙趋土地7.807万亩</w:t>
            </w:r>
          </w:p>
        </w:tc>
        <w:tc>
          <w:tcPr>
            <w:tcW w:w="2015" w:type="dxa"/>
            <w:shd w:val="clear" w:color="auto" w:fill="auto"/>
            <w:tcMar>
              <w:top w:w="60" w:type="dxa"/>
              <w:left w:w="120" w:type="dxa"/>
              <w:bottom w:w="30" w:type="dxa"/>
              <w:right w:w="120" w:type="dxa"/>
            </w:tcMar>
            <w:vAlign w:val="center"/>
          </w:tcPr>
          <w:p w14:paraId="3C78979C">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完成年度任务</w:t>
            </w:r>
          </w:p>
        </w:tc>
        <w:tc>
          <w:tcPr>
            <w:tcW w:w="2012" w:type="dxa"/>
            <w:shd w:val="clear" w:color="auto" w:fill="auto"/>
            <w:tcMar>
              <w:top w:w="60" w:type="dxa"/>
              <w:left w:w="120" w:type="dxa"/>
              <w:bottom w:w="30" w:type="dxa"/>
              <w:right w:w="120" w:type="dxa"/>
            </w:tcMar>
            <w:vAlign w:val="center"/>
          </w:tcPr>
          <w:p w14:paraId="6568E6F9">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草原生态稳步修复</w:t>
            </w:r>
          </w:p>
        </w:tc>
        <w:tc>
          <w:tcPr>
            <w:tcW w:w="2040" w:type="dxa"/>
            <w:shd w:val="clear" w:color="auto" w:fill="auto"/>
            <w:tcMar>
              <w:top w:w="60" w:type="dxa"/>
              <w:left w:w="120" w:type="dxa"/>
              <w:bottom w:w="30" w:type="dxa"/>
              <w:right w:w="120" w:type="dxa"/>
            </w:tcMar>
            <w:vAlign w:val="center"/>
          </w:tcPr>
          <w:p w14:paraId="63391A38">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县林草局、县科学技术和农业畜牧水务局</w:t>
            </w:r>
          </w:p>
        </w:tc>
      </w:tr>
      <w:tr w14:paraId="1E8C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47" w:hRule="atLeast"/>
          <w:jc w:val="center"/>
        </w:trPr>
        <w:tc>
          <w:tcPr>
            <w:tcW w:w="737" w:type="dxa"/>
            <w:tcMar>
              <w:top w:w="60" w:type="dxa"/>
              <w:left w:w="120" w:type="dxa"/>
              <w:bottom w:w="30" w:type="dxa"/>
              <w:right w:w="120" w:type="dxa"/>
            </w:tcMar>
            <w:vAlign w:val="center"/>
          </w:tcPr>
          <w:p w14:paraId="37560834">
            <w:pPr>
              <w:spacing w:before="120" w:after="120" w:line="240" w:lineRule="auto"/>
              <w:ind w:left="0"/>
              <w:jc w:val="center"/>
              <w:rPr>
                <w:rFonts w:hint="default" w:ascii="Times New Roman" w:hAnsi="Times New Roman" w:eastAsia="仿宋_GB2312" w:cs="Times New Roman"/>
                <w:sz w:val="20"/>
                <w:szCs w:val="21"/>
                <w:lang w:val="en-US" w:eastAsia="zh-CN"/>
              </w:rPr>
            </w:pPr>
            <w:r>
              <w:rPr>
                <w:rFonts w:hint="default" w:ascii="Times New Roman" w:hAnsi="Times New Roman" w:eastAsia="仿宋_GB2312" w:cs="Times New Roman"/>
                <w:sz w:val="21"/>
                <w:szCs w:val="21"/>
                <w:lang w:val="en-US" w:eastAsia="zh-CN"/>
              </w:rPr>
              <w:t>39</w:t>
            </w:r>
          </w:p>
        </w:tc>
        <w:tc>
          <w:tcPr>
            <w:tcW w:w="1179" w:type="dxa"/>
            <w:tcMar>
              <w:top w:w="60" w:type="dxa"/>
              <w:left w:w="120" w:type="dxa"/>
              <w:bottom w:w="30" w:type="dxa"/>
              <w:right w:w="120" w:type="dxa"/>
            </w:tcMar>
            <w:vAlign w:val="center"/>
          </w:tcPr>
          <w:p w14:paraId="1DDD79DE">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县域特色</w:t>
            </w:r>
          </w:p>
        </w:tc>
        <w:tc>
          <w:tcPr>
            <w:tcW w:w="2660" w:type="dxa"/>
            <w:tcMar>
              <w:top w:w="60" w:type="dxa"/>
              <w:left w:w="120" w:type="dxa"/>
              <w:bottom w:w="30" w:type="dxa"/>
              <w:right w:w="120" w:type="dxa"/>
            </w:tcMar>
            <w:vAlign w:val="center"/>
          </w:tcPr>
          <w:p w14:paraId="16A87856">
            <w:pPr>
              <w:spacing w:before="120" w:after="120" w:line="240" w:lineRule="auto"/>
              <w:ind w:left="0"/>
              <w:jc w:val="both"/>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生态补偿政策落地覆盖率</w:t>
            </w:r>
          </w:p>
        </w:tc>
        <w:tc>
          <w:tcPr>
            <w:tcW w:w="1577" w:type="dxa"/>
            <w:tcMar>
              <w:top w:w="60" w:type="dxa"/>
              <w:left w:w="120" w:type="dxa"/>
              <w:bottom w:w="30" w:type="dxa"/>
              <w:right w:w="120" w:type="dxa"/>
            </w:tcMar>
            <w:vAlign w:val="center"/>
          </w:tcPr>
          <w:p w14:paraId="79C42E5B">
            <w:pPr>
              <w:spacing w:before="120" w:after="120" w:line="240" w:lineRule="auto"/>
              <w:ind w:left="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◆特色预期</w:t>
            </w:r>
          </w:p>
        </w:tc>
        <w:tc>
          <w:tcPr>
            <w:tcW w:w="2296" w:type="dxa"/>
            <w:tcMar>
              <w:top w:w="60" w:type="dxa"/>
              <w:left w:w="120" w:type="dxa"/>
              <w:bottom w:w="30" w:type="dxa"/>
              <w:right w:w="120" w:type="dxa"/>
            </w:tcMar>
            <w:vAlign w:val="center"/>
          </w:tcPr>
          <w:p w14:paraId="41FCC5F9">
            <w:pPr>
              <w:spacing w:before="120" w:after="120" w:line="240" w:lineRule="auto"/>
              <w:ind w:left="0" w:leftChars="0"/>
              <w:jc w:val="center"/>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sz w:val="21"/>
                <w:szCs w:val="21"/>
                <w:lang w:val="en-US" w:eastAsia="zh-CN"/>
              </w:rPr>
              <w:t>严格落实</w:t>
            </w:r>
          </w:p>
        </w:tc>
        <w:tc>
          <w:tcPr>
            <w:tcW w:w="2015" w:type="dxa"/>
            <w:shd w:val="clear" w:color="auto" w:fill="auto"/>
            <w:tcMar>
              <w:top w:w="60" w:type="dxa"/>
              <w:left w:w="120" w:type="dxa"/>
              <w:bottom w:w="30" w:type="dxa"/>
              <w:right w:w="120" w:type="dxa"/>
            </w:tcMar>
            <w:vAlign w:val="center"/>
          </w:tcPr>
          <w:p w14:paraId="15F6145D">
            <w:pPr>
              <w:spacing w:before="120" w:after="120" w:line="240" w:lineRule="auto"/>
              <w:ind w:left="0" w:leftChars="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应保尽保</w:t>
            </w:r>
          </w:p>
        </w:tc>
        <w:tc>
          <w:tcPr>
            <w:tcW w:w="2012" w:type="dxa"/>
            <w:shd w:val="clear" w:color="auto" w:fill="auto"/>
            <w:tcMar>
              <w:top w:w="60" w:type="dxa"/>
              <w:left w:w="120" w:type="dxa"/>
              <w:bottom w:w="30" w:type="dxa"/>
              <w:right w:w="120" w:type="dxa"/>
            </w:tcMar>
            <w:vAlign w:val="center"/>
          </w:tcPr>
          <w:p w14:paraId="00FCF680">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机制健全常态化运行</w:t>
            </w:r>
          </w:p>
        </w:tc>
        <w:tc>
          <w:tcPr>
            <w:tcW w:w="2040" w:type="dxa"/>
            <w:shd w:val="clear" w:color="auto" w:fill="auto"/>
            <w:tcMar>
              <w:top w:w="60" w:type="dxa"/>
              <w:left w:w="120" w:type="dxa"/>
              <w:bottom w:w="30" w:type="dxa"/>
              <w:right w:w="120" w:type="dxa"/>
            </w:tcMar>
            <w:vAlign w:val="center"/>
          </w:tcPr>
          <w:p w14:paraId="75AF5C25">
            <w:pPr>
              <w:spacing w:before="120" w:after="120" w:line="240" w:lineRule="auto"/>
              <w:ind w:left="0" w:leftChars="0"/>
              <w:jc w:val="center"/>
              <w:rPr>
                <w:rFonts w:hint="default" w:ascii="Times New Roman" w:hAnsi="Times New Roman" w:eastAsia="仿宋_GB2312" w:cs="Times New Roman"/>
                <w:sz w:val="20"/>
                <w:szCs w:val="21"/>
              </w:rPr>
            </w:pPr>
            <w:r>
              <w:rPr>
                <w:rFonts w:hint="default" w:ascii="Times New Roman" w:hAnsi="Times New Roman" w:eastAsia="仿宋_GB2312" w:cs="Times New Roman"/>
                <w:sz w:val="21"/>
                <w:szCs w:val="21"/>
              </w:rPr>
              <w:t>县林草局、县财政局</w:t>
            </w:r>
          </w:p>
        </w:tc>
      </w:tr>
    </w:tbl>
    <w:p w14:paraId="5EE01BEB">
      <w:pPr>
        <w:pStyle w:val="7"/>
        <w:shd w:val="clear"/>
        <w:spacing w:line="360" w:lineRule="auto"/>
        <w:rPr>
          <w:rFonts w:hint="eastAsia"/>
          <w:color w:val="0000FF"/>
          <w:highlight w:val="none"/>
          <w:lang w:eastAsia="zh-CN"/>
        </w:rPr>
      </w:pPr>
      <w:r>
        <w:rPr>
          <w:rFonts w:hint="default" w:ascii="Times New Roman" w:hAnsi="Times New Roman" w:eastAsia="仿宋_GB2312" w:cs="Times New Roman"/>
          <w:b w:val="0"/>
          <w:bCs w:val="0"/>
          <w:sz w:val="22"/>
          <w:lang w:val="en-US" w:eastAsia="zh-CN"/>
        </w:rPr>
        <w:t>备注</w:t>
      </w:r>
      <w:r>
        <w:rPr>
          <w:rFonts w:hint="default" w:ascii="Times New Roman" w:hAnsi="Times New Roman" w:eastAsia="仿宋_GB2312" w:cs="Times New Roman"/>
          <w:b w:val="0"/>
          <w:bCs w:val="0"/>
          <w:sz w:val="22"/>
        </w:rPr>
        <w:t>：★为州级约束性指标（硬性考核）；☆为州级预期性指标；◆为阿坝县特色增补指标</w:t>
      </w:r>
    </w:p>
    <w:sectPr>
      <w:footerReference r:id="rId8" w:type="default"/>
      <w:pgSz w:w="16838" w:h="11906" w:orient="landscape"/>
      <w:pgMar w:top="1587" w:right="2098" w:bottom="1474" w:left="1984" w:header="851" w:footer="1417"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113A4D-075C-4E22-860D-20B674B7BB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4DB43834-0F2E-4365-89FC-E3BE82163C81}"/>
  </w:font>
  <w:font w:name="方正小标宋简体">
    <w:panose1 w:val="03000509000000000000"/>
    <w:charset w:val="86"/>
    <w:family w:val="script"/>
    <w:pitch w:val="default"/>
    <w:sig w:usb0="00000001" w:usb1="080E0000" w:usb2="00000000" w:usb3="00000000" w:csb0="00040000" w:csb1="00000000"/>
    <w:embedRegular r:id="rId3" w:fontKey="{07F12298-72F3-4487-A50E-006C2D464046}"/>
  </w:font>
  <w:font w:name="方正小标宋_GBK">
    <w:panose1 w:val="03000509000000000000"/>
    <w:charset w:val="86"/>
    <w:family w:val="auto"/>
    <w:pitch w:val="default"/>
    <w:sig w:usb0="00000001" w:usb1="080E0000" w:usb2="00000000" w:usb3="00000000" w:csb0="00040000" w:csb1="00000000"/>
    <w:embedRegular r:id="rId4" w:fontKey="{1CB7E56A-45B6-45B3-AB79-6CF6F305C0FC}"/>
  </w:font>
  <w:font w:name="仿宋">
    <w:panose1 w:val="02010609060101010101"/>
    <w:charset w:val="86"/>
    <w:family w:val="auto"/>
    <w:pitch w:val="default"/>
    <w:sig w:usb0="800002BF" w:usb1="38CF7CFA" w:usb2="00000016" w:usb3="00000000" w:csb0="00040001" w:csb1="00000000"/>
    <w:embedRegular r:id="rId5" w:fontKey="{02BDAAB1-3E34-40FD-811D-9A4EBB971762}"/>
  </w:font>
  <w:font w:name="方正楷体_GB2312">
    <w:panose1 w:val="02000000000000000000"/>
    <w:charset w:val="86"/>
    <w:family w:val="auto"/>
    <w:pitch w:val="default"/>
    <w:sig w:usb0="A00002BF" w:usb1="184F6CFA" w:usb2="00000012" w:usb3="00000000" w:csb0="00040001" w:csb1="00000000"/>
    <w:embedRegular r:id="rId6" w:fontKey="{FDF2B563-5FF2-4EAF-BC71-B799E3F1206B}"/>
  </w:font>
  <w:font w:name="Segoe UI Emoji">
    <w:panose1 w:val="020B0502040204020203"/>
    <w:charset w:val="00"/>
    <w:family w:val="auto"/>
    <w:pitch w:val="default"/>
    <w:sig w:usb0="00000001" w:usb1="02000000" w:usb2="00000000" w:usb3="00000000" w:csb0="00000001" w:csb1="00000000"/>
    <w:embedRegular r:id="rId7" w:fontKey="{9474F08F-9247-470A-8F47-DFA610EE2176}"/>
  </w:font>
  <w:font w:name="WPSEMBED1">
    <w:panose1 w:val="02000000000000000000"/>
    <w:charset w:val="86"/>
    <w:family w:val="auto"/>
    <w:pitch w:val="default"/>
    <w:sig w:usb0="A00002BF" w:usb1="184F6CFA" w:usb2="00000012"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2FD72">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07CD7">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091F1">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3CF5D9">
                          <w:pPr>
                            <w:pStyle w:val="1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3CF5D9">
                    <w:pPr>
                      <w:pStyle w:val="1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A548D">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9C6D0">
                          <w:pPr>
                            <w:pStyle w:val="1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6F9C6D0">
                    <w:pPr>
                      <w:pStyle w:val="1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EF181">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C5ADA">
                          <w:pPr>
                            <w:pStyle w:val="1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DFC5ADA">
                    <w:pPr>
                      <w:pStyle w:val="1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1E55A">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1136B9">
                          <w:pPr>
                            <w:pStyle w:val="1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95</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91136B9">
                    <w:pPr>
                      <w:pStyle w:val="1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95</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E248C6"/>
    <w:multiLevelType w:val="singleLevel"/>
    <w:tmpl w:val="83E248C6"/>
    <w:lvl w:ilvl="0" w:tentative="0">
      <w:start w:val="1"/>
      <w:numFmt w:val="decimal"/>
      <w:suff w:val="nothing"/>
      <w:lvlText w:val="%1．"/>
      <w:lvlJc w:val="left"/>
    </w:lvl>
  </w:abstractNum>
  <w:abstractNum w:abstractNumId="1">
    <w:nsid w:val="8B712E3D"/>
    <w:multiLevelType w:val="singleLevel"/>
    <w:tmpl w:val="8B712E3D"/>
    <w:lvl w:ilvl="0" w:tentative="0">
      <w:start w:val="1"/>
      <w:numFmt w:val="decimal"/>
      <w:suff w:val="nothing"/>
      <w:lvlText w:val="%1．"/>
      <w:lvlJc w:val="left"/>
    </w:lvl>
  </w:abstractNum>
  <w:abstractNum w:abstractNumId="2">
    <w:nsid w:val="B85BD5BF"/>
    <w:multiLevelType w:val="singleLevel"/>
    <w:tmpl w:val="B85BD5BF"/>
    <w:lvl w:ilvl="0" w:tentative="0">
      <w:start w:val="1"/>
      <w:numFmt w:val="decimal"/>
      <w:suff w:val="nothing"/>
      <w:lvlText w:val="%1．"/>
      <w:lvlJc w:val="left"/>
    </w:lvl>
  </w:abstractNum>
  <w:abstractNum w:abstractNumId="3">
    <w:nsid w:val="D8A5AABE"/>
    <w:multiLevelType w:val="singleLevel"/>
    <w:tmpl w:val="D8A5AABE"/>
    <w:lvl w:ilvl="0" w:tentative="0">
      <w:start w:val="1"/>
      <w:numFmt w:val="decimal"/>
      <w:suff w:val="nothing"/>
      <w:lvlText w:val="%1．"/>
      <w:lvlJc w:val="left"/>
    </w:lvl>
  </w:abstractNum>
  <w:abstractNum w:abstractNumId="4">
    <w:nsid w:val="E216FBDE"/>
    <w:multiLevelType w:val="singleLevel"/>
    <w:tmpl w:val="E216FBDE"/>
    <w:lvl w:ilvl="0" w:tentative="0">
      <w:start w:val="1"/>
      <w:numFmt w:val="decimal"/>
      <w:suff w:val="nothing"/>
      <w:lvlText w:val="%1．"/>
      <w:lvlJc w:val="left"/>
    </w:lvl>
  </w:abstractNum>
  <w:abstractNum w:abstractNumId="5">
    <w:nsid w:val="EC5F06DF"/>
    <w:multiLevelType w:val="singleLevel"/>
    <w:tmpl w:val="EC5F06DF"/>
    <w:lvl w:ilvl="0" w:tentative="0">
      <w:start w:val="1"/>
      <w:numFmt w:val="chineseCounting"/>
      <w:suff w:val="nothing"/>
      <w:lvlText w:val="（%1）"/>
      <w:lvlJc w:val="left"/>
      <w:pPr>
        <w:ind w:left="-220"/>
      </w:pPr>
      <w:rPr>
        <w:rFonts w:hint="eastAsia"/>
      </w:rPr>
    </w:lvl>
  </w:abstractNum>
  <w:abstractNum w:abstractNumId="6">
    <w:nsid w:val="F09A669C"/>
    <w:multiLevelType w:val="singleLevel"/>
    <w:tmpl w:val="F09A669C"/>
    <w:lvl w:ilvl="0" w:tentative="0">
      <w:start w:val="1"/>
      <w:numFmt w:val="decimal"/>
      <w:suff w:val="nothing"/>
      <w:lvlText w:val="%1．"/>
      <w:lvlJc w:val="left"/>
    </w:lvl>
  </w:abstractNum>
  <w:abstractNum w:abstractNumId="7">
    <w:nsid w:val="0375865F"/>
    <w:multiLevelType w:val="singleLevel"/>
    <w:tmpl w:val="0375865F"/>
    <w:lvl w:ilvl="0" w:tentative="0">
      <w:start w:val="1"/>
      <w:numFmt w:val="chineseCounting"/>
      <w:suff w:val="nothing"/>
      <w:lvlText w:val="（%1）"/>
      <w:lvlJc w:val="left"/>
      <w:pPr>
        <w:ind w:left="-220"/>
      </w:pPr>
      <w:rPr>
        <w:rFonts w:hint="eastAsia"/>
      </w:rPr>
    </w:lvl>
  </w:abstractNum>
  <w:abstractNum w:abstractNumId="8">
    <w:nsid w:val="06BB6B1A"/>
    <w:multiLevelType w:val="singleLevel"/>
    <w:tmpl w:val="06BB6B1A"/>
    <w:lvl w:ilvl="0" w:tentative="0">
      <w:start w:val="1"/>
      <w:numFmt w:val="decimal"/>
      <w:suff w:val="nothing"/>
      <w:lvlText w:val="%1．"/>
      <w:lvlJc w:val="left"/>
    </w:lvl>
  </w:abstractNum>
  <w:abstractNum w:abstractNumId="9">
    <w:nsid w:val="08EAB8C8"/>
    <w:multiLevelType w:val="singleLevel"/>
    <w:tmpl w:val="08EAB8C8"/>
    <w:lvl w:ilvl="0" w:tentative="0">
      <w:start w:val="1"/>
      <w:numFmt w:val="chineseCounting"/>
      <w:suff w:val="nothing"/>
      <w:lvlText w:val="（%1）"/>
      <w:lvlJc w:val="left"/>
      <w:pPr>
        <w:ind w:left="-220"/>
      </w:pPr>
      <w:rPr>
        <w:rFonts w:hint="eastAsia"/>
      </w:rPr>
    </w:lvl>
  </w:abstractNum>
  <w:abstractNum w:abstractNumId="10">
    <w:nsid w:val="13AAE8AD"/>
    <w:multiLevelType w:val="singleLevel"/>
    <w:tmpl w:val="13AAE8AD"/>
    <w:lvl w:ilvl="0" w:tentative="0">
      <w:start w:val="1"/>
      <w:numFmt w:val="decimal"/>
      <w:suff w:val="nothing"/>
      <w:lvlText w:val="%1．"/>
      <w:lvlJc w:val="left"/>
    </w:lvl>
  </w:abstractNum>
  <w:abstractNum w:abstractNumId="11">
    <w:nsid w:val="3E7EDF7C"/>
    <w:multiLevelType w:val="singleLevel"/>
    <w:tmpl w:val="3E7EDF7C"/>
    <w:lvl w:ilvl="0" w:tentative="0">
      <w:start w:val="1"/>
      <w:numFmt w:val="decimal"/>
      <w:suff w:val="nothing"/>
      <w:lvlText w:val="%1．"/>
      <w:lvlJc w:val="left"/>
    </w:lvl>
  </w:abstractNum>
  <w:abstractNum w:abstractNumId="12">
    <w:nsid w:val="40A40E91"/>
    <w:multiLevelType w:val="singleLevel"/>
    <w:tmpl w:val="40A40E91"/>
    <w:lvl w:ilvl="0" w:tentative="0">
      <w:start w:val="1"/>
      <w:numFmt w:val="decimal"/>
      <w:suff w:val="nothing"/>
      <w:lvlText w:val="%1．"/>
      <w:lvlJc w:val="left"/>
    </w:lvl>
  </w:abstractNum>
  <w:abstractNum w:abstractNumId="13">
    <w:nsid w:val="479FC0A6"/>
    <w:multiLevelType w:val="singleLevel"/>
    <w:tmpl w:val="479FC0A6"/>
    <w:lvl w:ilvl="0" w:tentative="0">
      <w:start w:val="1"/>
      <w:numFmt w:val="decimal"/>
      <w:suff w:val="nothing"/>
      <w:lvlText w:val="%1．"/>
      <w:lvlJc w:val="left"/>
    </w:lvl>
  </w:abstractNum>
  <w:abstractNum w:abstractNumId="14">
    <w:nsid w:val="56986D70"/>
    <w:multiLevelType w:val="singleLevel"/>
    <w:tmpl w:val="56986D70"/>
    <w:lvl w:ilvl="0" w:tentative="0">
      <w:start w:val="1"/>
      <w:numFmt w:val="chineseCounting"/>
      <w:suff w:val="nothing"/>
      <w:lvlText w:val="（%1）"/>
      <w:lvlJc w:val="left"/>
      <w:pPr>
        <w:ind w:left="-220"/>
      </w:pPr>
      <w:rPr>
        <w:rFonts w:hint="eastAsia"/>
      </w:rPr>
    </w:lvl>
  </w:abstractNum>
  <w:abstractNum w:abstractNumId="15">
    <w:nsid w:val="59E385E0"/>
    <w:multiLevelType w:val="singleLevel"/>
    <w:tmpl w:val="59E385E0"/>
    <w:lvl w:ilvl="0" w:tentative="0">
      <w:start w:val="1"/>
      <w:numFmt w:val="decimal"/>
      <w:suff w:val="nothing"/>
      <w:lvlText w:val="%1．"/>
      <w:lvlJc w:val="left"/>
    </w:lvl>
  </w:abstractNum>
  <w:abstractNum w:abstractNumId="16">
    <w:nsid w:val="5E23B221"/>
    <w:multiLevelType w:val="singleLevel"/>
    <w:tmpl w:val="5E23B221"/>
    <w:lvl w:ilvl="0" w:tentative="0">
      <w:start w:val="1"/>
      <w:numFmt w:val="chineseCounting"/>
      <w:suff w:val="nothing"/>
      <w:lvlText w:val="%1、"/>
      <w:lvlJc w:val="left"/>
      <w:rPr>
        <w:rFonts w:hint="eastAsia"/>
      </w:rPr>
    </w:lvl>
  </w:abstractNum>
  <w:abstractNum w:abstractNumId="17">
    <w:nsid w:val="7DF767A9"/>
    <w:multiLevelType w:val="singleLevel"/>
    <w:tmpl w:val="7DF767A9"/>
    <w:lvl w:ilvl="0" w:tentative="0">
      <w:start w:val="1"/>
      <w:numFmt w:val="decimal"/>
      <w:suff w:val="nothing"/>
      <w:lvlText w:val="%1．"/>
      <w:lvlJc w:val="left"/>
    </w:lvl>
  </w:abstractNum>
  <w:num w:numId="1">
    <w:abstractNumId w:val="16"/>
  </w:num>
  <w:num w:numId="2">
    <w:abstractNumId w:val="7"/>
  </w:num>
  <w:num w:numId="3">
    <w:abstractNumId w:val="1"/>
  </w:num>
  <w:num w:numId="4">
    <w:abstractNumId w:val="15"/>
  </w:num>
  <w:num w:numId="5">
    <w:abstractNumId w:val="0"/>
  </w:num>
  <w:num w:numId="6">
    <w:abstractNumId w:val="4"/>
  </w:num>
  <w:num w:numId="7">
    <w:abstractNumId w:val="5"/>
  </w:num>
  <w:num w:numId="8">
    <w:abstractNumId w:val="6"/>
  </w:num>
  <w:num w:numId="9">
    <w:abstractNumId w:val="14"/>
  </w:num>
  <w:num w:numId="10">
    <w:abstractNumId w:val="3"/>
  </w:num>
  <w:num w:numId="11">
    <w:abstractNumId w:val="17"/>
  </w:num>
  <w:num w:numId="12">
    <w:abstractNumId w:val="13"/>
  </w:num>
  <w:num w:numId="13">
    <w:abstractNumId w:val="12"/>
  </w:num>
  <w:num w:numId="14">
    <w:abstractNumId w:val="10"/>
  </w:num>
  <w:num w:numId="15">
    <w:abstractNumId w:val="11"/>
  </w:num>
  <w:num w:numId="16">
    <w:abstractNumId w:val="2"/>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C100D3"/>
    <w:rsid w:val="000273CC"/>
    <w:rsid w:val="00150EAD"/>
    <w:rsid w:val="00264E69"/>
    <w:rsid w:val="002974FD"/>
    <w:rsid w:val="00305CE7"/>
    <w:rsid w:val="00365575"/>
    <w:rsid w:val="00377076"/>
    <w:rsid w:val="0044516A"/>
    <w:rsid w:val="00566685"/>
    <w:rsid w:val="00667C8F"/>
    <w:rsid w:val="0069744B"/>
    <w:rsid w:val="006B6D1F"/>
    <w:rsid w:val="006E05BE"/>
    <w:rsid w:val="006E4A62"/>
    <w:rsid w:val="00975D66"/>
    <w:rsid w:val="00990D9F"/>
    <w:rsid w:val="009D2229"/>
    <w:rsid w:val="009F2E6D"/>
    <w:rsid w:val="00AA1731"/>
    <w:rsid w:val="00B25D0E"/>
    <w:rsid w:val="00CA779D"/>
    <w:rsid w:val="00DA3EA5"/>
    <w:rsid w:val="00DF0E4B"/>
    <w:rsid w:val="00DF3F59"/>
    <w:rsid w:val="00E24F82"/>
    <w:rsid w:val="00F95669"/>
    <w:rsid w:val="00FB7CD1"/>
    <w:rsid w:val="00FE2511"/>
    <w:rsid w:val="00FE4037"/>
    <w:rsid w:val="010F1DA1"/>
    <w:rsid w:val="011865A4"/>
    <w:rsid w:val="011D26F6"/>
    <w:rsid w:val="012B082C"/>
    <w:rsid w:val="012C234A"/>
    <w:rsid w:val="012F5F9F"/>
    <w:rsid w:val="01361099"/>
    <w:rsid w:val="015E0632"/>
    <w:rsid w:val="017165B7"/>
    <w:rsid w:val="017436F8"/>
    <w:rsid w:val="017A2B60"/>
    <w:rsid w:val="017D31AE"/>
    <w:rsid w:val="01844BDB"/>
    <w:rsid w:val="018856AF"/>
    <w:rsid w:val="01916C77"/>
    <w:rsid w:val="01945F0D"/>
    <w:rsid w:val="01973B44"/>
    <w:rsid w:val="01A249C3"/>
    <w:rsid w:val="01A611B0"/>
    <w:rsid w:val="01BF37C7"/>
    <w:rsid w:val="01D2177B"/>
    <w:rsid w:val="01EC3E90"/>
    <w:rsid w:val="01EE19B6"/>
    <w:rsid w:val="01F66ABD"/>
    <w:rsid w:val="01F82835"/>
    <w:rsid w:val="020967F0"/>
    <w:rsid w:val="021B1F36"/>
    <w:rsid w:val="021F6B64"/>
    <w:rsid w:val="0227136C"/>
    <w:rsid w:val="022950E4"/>
    <w:rsid w:val="022E6257"/>
    <w:rsid w:val="02312950"/>
    <w:rsid w:val="023B0973"/>
    <w:rsid w:val="023F2479"/>
    <w:rsid w:val="0246107B"/>
    <w:rsid w:val="02532161"/>
    <w:rsid w:val="025A529E"/>
    <w:rsid w:val="0269774C"/>
    <w:rsid w:val="02775E4F"/>
    <w:rsid w:val="02806EC3"/>
    <w:rsid w:val="02830E67"/>
    <w:rsid w:val="028916DF"/>
    <w:rsid w:val="02980700"/>
    <w:rsid w:val="02985DC6"/>
    <w:rsid w:val="02A63DD7"/>
    <w:rsid w:val="02A93B2F"/>
    <w:rsid w:val="02B2655F"/>
    <w:rsid w:val="02C32E43"/>
    <w:rsid w:val="02D908B8"/>
    <w:rsid w:val="02E66B31"/>
    <w:rsid w:val="02E67CF8"/>
    <w:rsid w:val="02F70D3E"/>
    <w:rsid w:val="03011BBD"/>
    <w:rsid w:val="030A6CC4"/>
    <w:rsid w:val="030D0562"/>
    <w:rsid w:val="0313544C"/>
    <w:rsid w:val="03195159"/>
    <w:rsid w:val="031F02B4"/>
    <w:rsid w:val="03227A85"/>
    <w:rsid w:val="0324119F"/>
    <w:rsid w:val="03280EF8"/>
    <w:rsid w:val="032C2BF8"/>
    <w:rsid w:val="032D4760"/>
    <w:rsid w:val="03337D64"/>
    <w:rsid w:val="0341020B"/>
    <w:rsid w:val="03546191"/>
    <w:rsid w:val="03595555"/>
    <w:rsid w:val="03633EEE"/>
    <w:rsid w:val="036B7036"/>
    <w:rsid w:val="0372571F"/>
    <w:rsid w:val="039C1A87"/>
    <w:rsid w:val="03A367D0"/>
    <w:rsid w:val="03A6317C"/>
    <w:rsid w:val="03B25F2B"/>
    <w:rsid w:val="03C54999"/>
    <w:rsid w:val="03CC5D27"/>
    <w:rsid w:val="03D942D2"/>
    <w:rsid w:val="03DD1CE2"/>
    <w:rsid w:val="03DD5D77"/>
    <w:rsid w:val="03DD7F34"/>
    <w:rsid w:val="03E16C4E"/>
    <w:rsid w:val="04021749"/>
    <w:rsid w:val="041259D6"/>
    <w:rsid w:val="0431202E"/>
    <w:rsid w:val="044004C3"/>
    <w:rsid w:val="04471852"/>
    <w:rsid w:val="045B52FD"/>
    <w:rsid w:val="04620439"/>
    <w:rsid w:val="04640655"/>
    <w:rsid w:val="0464267B"/>
    <w:rsid w:val="04645078"/>
    <w:rsid w:val="04786A62"/>
    <w:rsid w:val="047F2C29"/>
    <w:rsid w:val="04A722F0"/>
    <w:rsid w:val="04B52267"/>
    <w:rsid w:val="04BF588C"/>
    <w:rsid w:val="04C74A8F"/>
    <w:rsid w:val="04D4275A"/>
    <w:rsid w:val="04DA26C6"/>
    <w:rsid w:val="04EB3546"/>
    <w:rsid w:val="04ED41A7"/>
    <w:rsid w:val="04F625BC"/>
    <w:rsid w:val="04FE00F5"/>
    <w:rsid w:val="04FE63B4"/>
    <w:rsid w:val="05037D48"/>
    <w:rsid w:val="05184F9C"/>
    <w:rsid w:val="051A0D14"/>
    <w:rsid w:val="052D4EEB"/>
    <w:rsid w:val="053B7608"/>
    <w:rsid w:val="054162A1"/>
    <w:rsid w:val="054D733B"/>
    <w:rsid w:val="054F6C10"/>
    <w:rsid w:val="055A7363"/>
    <w:rsid w:val="05737123"/>
    <w:rsid w:val="057C552B"/>
    <w:rsid w:val="05900FD6"/>
    <w:rsid w:val="059A6F62"/>
    <w:rsid w:val="05BB1A9E"/>
    <w:rsid w:val="05BC001D"/>
    <w:rsid w:val="05CD3EB3"/>
    <w:rsid w:val="05D830A9"/>
    <w:rsid w:val="05E03D0C"/>
    <w:rsid w:val="05EA4B8A"/>
    <w:rsid w:val="05F30E63"/>
    <w:rsid w:val="05F45A09"/>
    <w:rsid w:val="05F6197E"/>
    <w:rsid w:val="06020B9C"/>
    <w:rsid w:val="060519C4"/>
    <w:rsid w:val="0610621B"/>
    <w:rsid w:val="061E6D59"/>
    <w:rsid w:val="062507FB"/>
    <w:rsid w:val="06255BC2"/>
    <w:rsid w:val="062C0CFF"/>
    <w:rsid w:val="06305B70"/>
    <w:rsid w:val="06366220"/>
    <w:rsid w:val="063E0A32"/>
    <w:rsid w:val="06422A77"/>
    <w:rsid w:val="064D402E"/>
    <w:rsid w:val="06530982"/>
    <w:rsid w:val="06545D33"/>
    <w:rsid w:val="068E5516"/>
    <w:rsid w:val="06905732"/>
    <w:rsid w:val="06AF5352"/>
    <w:rsid w:val="06B37672"/>
    <w:rsid w:val="06B62CBE"/>
    <w:rsid w:val="06C673A5"/>
    <w:rsid w:val="06CD24E2"/>
    <w:rsid w:val="06F04422"/>
    <w:rsid w:val="06F74908"/>
    <w:rsid w:val="06FC0882"/>
    <w:rsid w:val="070C28DE"/>
    <w:rsid w:val="074402CA"/>
    <w:rsid w:val="07446011"/>
    <w:rsid w:val="074958E1"/>
    <w:rsid w:val="07573D64"/>
    <w:rsid w:val="07987B4D"/>
    <w:rsid w:val="07B30001"/>
    <w:rsid w:val="07B96564"/>
    <w:rsid w:val="07C5140B"/>
    <w:rsid w:val="07C80EFB"/>
    <w:rsid w:val="07CD206E"/>
    <w:rsid w:val="07E01DA1"/>
    <w:rsid w:val="07E51AAD"/>
    <w:rsid w:val="07EA3DB1"/>
    <w:rsid w:val="07EC6998"/>
    <w:rsid w:val="07FB5108"/>
    <w:rsid w:val="08002443"/>
    <w:rsid w:val="08161C67"/>
    <w:rsid w:val="082110B6"/>
    <w:rsid w:val="083360D6"/>
    <w:rsid w:val="083420ED"/>
    <w:rsid w:val="08346591"/>
    <w:rsid w:val="084542FA"/>
    <w:rsid w:val="084560A8"/>
    <w:rsid w:val="08470072"/>
    <w:rsid w:val="085F2B11"/>
    <w:rsid w:val="087370B9"/>
    <w:rsid w:val="08763EDF"/>
    <w:rsid w:val="087D1CE6"/>
    <w:rsid w:val="08813DD3"/>
    <w:rsid w:val="08901A19"/>
    <w:rsid w:val="089B216C"/>
    <w:rsid w:val="08A2799E"/>
    <w:rsid w:val="08B84ACC"/>
    <w:rsid w:val="08D613F6"/>
    <w:rsid w:val="09027D41"/>
    <w:rsid w:val="09047D11"/>
    <w:rsid w:val="090C38C7"/>
    <w:rsid w:val="091F2D9D"/>
    <w:rsid w:val="09246B6F"/>
    <w:rsid w:val="09491BC8"/>
    <w:rsid w:val="09554A11"/>
    <w:rsid w:val="096411BD"/>
    <w:rsid w:val="097E5D15"/>
    <w:rsid w:val="098849BD"/>
    <w:rsid w:val="098F7F23"/>
    <w:rsid w:val="09A45050"/>
    <w:rsid w:val="09AF2373"/>
    <w:rsid w:val="09B21785"/>
    <w:rsid w:val="09BF1E8A"/>
    <w:rsid w:val="09E34732"/>
    <w:rsid w:val="09E65669"/>
    <w:rsid w:val="09EB6E2A"/>
    <w:rsid w:val="09F26430"/>
    <w:rsid w:val="0A00672A"/>
    <w:rsid w:val="0A0124A3"/>
    <w:rsid w:val="0A021F2E"/>
    <w:rsid w:val="0A3C34DB"/>
    <w:rsid w:val="0A6A374B"/>
    <w:rsid w:val="0A6C237D"/>
    <w:rsid w:val="0A741F9F"/>
    <w:rsid w:val="0A7669ED"/>
    <w:rsid w:val="0A8F7AAE"/>
    <w:rsid w:val="0A9450C5"/>
    <w:rsid w:val="0A99282A"/>
    <w:rsid w:val="0A9A20BB"/>
    <w:rsid w:val="0A9D21CB"/>
    <w:rsid w:val="0AB063A2"/>
    <w:rsid w:val="0ACA17BF"/>
    <w:rsid w:val="0AD33E3F"/>
    <w:rsid w:val="0AEE2A27"/>
    <w:rsid w:val="0B097861"/>
    <w:rsid w:val="0B2B7565"/>
    <w:rsid w:val="0B2E4A56"/>
    <w:rsid w:val="0B332B30"/>
    <w:rsid w:val="0B354AFA"/>
    <w:rsid w:val="0B440899"/>
    <w:rsid w:val="0B460AB5"/>
    <w:rsid w:val="0B494101"/>
    <w:rsid w:val="0B5A00BC"/>
    <w:rsid w:val="0B9D6709"/>
    <w:rsid w:val="0BA31A63"/>
    <w:rsid w:val="0BA63302"/>
    <w:rsid w:val="0BAF708A"/>
    <w:rsid w:val="0BB70474"/>
    <w:rsid w:val="0BCF77DA"/>
    <w:rsid w:val="0BD31C1D"/>
    <w:rsid w:val="0BD45F05"/>
    <w:rsid w:val="0C105C49"/>
    <w:rsid w:val="0C1464BD"/>
    <w:rsid w:val="0C2801BA"/>
    <w:rsid w:val="0C2C2296"/>
    <w:rsid w:val="0C4F1BEB"/>
    <w:rsid w:val="0C6125CD"/>
    <w:rsid w:val="0C851169"/>
    <w:rsid w:val="0C8573BB"/>
    <w:rsid w:val="0CA15148"/>
    <w:rsid w:val="0CAC5995"/>
    <w:rsid w:val="0CBB17B0"/>
    <w:rsid w:val="0CCD640E"/>
    <w:rsid w:val="0CCF4ADA"/>
    <w:rsid w:val="0CD21ED4"/>
    <w:rsid w:val="0CE51C08"/>
    <w:rsid w:val="0CE67E6E"/>
    <w:rsid w:val="0CEA0782"/>
    <w:rsid w:val="0CEA4DAF"/>
    <w:rsid w:val="0D046532"/>
    <w:rsid w:val="0D087E82"/>
    <w:rsid w:val="0D0E407A"/>
    <w:rsid w:val="0D0E7986"/>
    <w:rsid w:val="0D154C07"/>
    <w:rsid w:val="0D156991"/>
    <w:rsid w:val="0D1D1C55"/>
    <w:rsid w:val="0D2C1295"/>
    <w:rsid w:val="0D2C7836"/>
    <w:rsid w:val="0D352AAD"/>
    <w:rsid w:val="0D705975"/>
    <w:rsid w:val="0D7336B7"/>
    <w:rsid w:val="0D74699B"/>
    <w:rsid w:val="0D8458C4"/>
    <w:rsid w:val="0D8C6527"/>
    <w:rsid w:val="0D9D191C"/>
    <w:rsid w:val="0D9F44AC"/>
    <w:rsid w:val="0DAD6BC9"/>
    <w:rsid w:val="0DBC0BBA"/>
    <w:rsid w:val="0DBD4932"/>
    <w:rsid w:val="0DC83A03"/>
    <w:rsid w:val="0DD07675"/>
    <w:rsid w:val="0DD34156"/>
    <w:rsid w:val="0DD57ECE"/>
    <w:rsid w:val="0DD73C46"/>
    <w:rsid w:val="0DE6032D"/>
    <w:rsid w:val="0DE93979"/>
    <w:rsid w:val="0DF447F8"/>
    <w:rsid w:val="0DF5231E"/>
    <w:rsid w:val="0DF77E44"/>
    <w:rsid w:val="0E0B0E8F"/>
    <w:rsid w:val="0E0C604D"/>
    <w:rsid w:val="0E1B7FD7"/>
    <w:rsid w:val="0E272B23"/>
    <w:rsid w:val="0E2826F4"/>
    <w:rsid w:val="0E285252"/>
    <w:rsid w:val="0E3C1CFB"/>
    <w:rsid w:val="0E455347"/>
    <w:rsid w:val="0E5203C3"/>
    <w:rsid w:val="0E5434E9"/>
    <w:rsid w:val="0E625C06"/>
    <w:rsid w:val="0E66547C"/>
    <w:rsid w:val="0E87566C"/>
    <w:rsid w:val="0E87741A"/>
    <w:rsid w:val="0EA004DC"/>
    <w:rsid w:val="0EBA407A"/>
    <w:rsid w:val="0EC5310D"/>
    <w:rsid w:val="0ECE5049"/>
    <w:rsid w:val="0ED55194"/>
    <w:rsid w:val="0EF600FC"/>
    <w:rsid w:val="0F152C78"/>
    <w:rsid w:val="0F174177"/>
    <w:rsid w:val="0F186B39"/>
    <w:rsid w:val="0F1D2513"/>
    <w:rsid w:val="0F220EF1"/>
    <w:rsid w:val="0F3D73C4"/>
    <w:rsid w:val="0F482FE3"/>
    <w:rsid w:val="0F4E7F38"/>
    <w:rsid w:val="0F5A4B2F"/>
    <w:rsid w:val="0F7D6CDF"/>
    <w:rsid w:val="0F81030D"/>
    <w:rsid w:val="0F825E34"/>
    <w:rsid w:val="0F8E6586"/>
    <w:rsid w:val="0F923516"/>
    <w:rsid w:val="0F9A317D"/>
    <w:rsid w:val="0F9B0CA3"/>
    <w:rsid w:val="0F9F3286"/>
    <w:rsid w:val="0FAE176B"/>
    <w:rsid w:val="0FB6788B"/>
    <w:rsid w:val="0FC41FA8"/>
    <w:rsid w:val="0FC63F72"/>
    <w:rsid w:val="0FD079FE"/>
    <w:rsid w:val="0FDE750E"/>
    <w:rsid w:val="0FED59A3"/>
    <w:rsid w:val="0FEF171B"/>
    <w:rsid w:val="100920B1"/>
    <w:rsid w:val="100E1475"/>
    <w:rsid w:val="10256E5E"/>
    <w:rsid w:val="10420905"/>
    <w:rsid w:val="10637A13"/>
    <w:rsid w:val="10665B03"/>
    <w:rsid w:val="106A7C46"/>
    <w:rsid w:val="106F0166"/>
    <w:rsid w:val="10703EDE"/>
    <w:rsid w:val="107B2FAF"/>
    <w:rsid w:val="107D4EA7"/>
    <w:rsid w:val="10802373"/>
    <w:rsid w:val="10831E63"/>
    <w:rsid w:val="10922838"/>
    <w:rsid w:val="10945E1E"/>
    <w:rsid w:val="109B53FF"/>
    <w:rsid w:val="10A02A15"/>
    <w:rsid w:val="10A1053B"/>
    <w:rsid w:val="10AF4A06"/>
    <w:rsid w:val="10BC7123"/>
    <w:rsid w:val="10BD35C7"/>
    <w:rsid w:val="10CA5CE4"/>
    <w:rsid w:val="10D40911"/>
    <w:rsid w:val="10D47789"/>
    <w:rsid w:val="10DB451B"/>
    <w:rsid w:val="10E072B6"/>
    <w:rsid w:val="10E16B8A"/>
    <w:rsid w:val="10E5667A"/>
    <w:rsid w:val="10F468BD"/>
    <w:rsid w:val="11056D1C"/>
    <w:rsid w:val="111D4066"/>
    <w:rsid w:val="111D5E14"/>
    <w:rsid w:val="11365128"/>
    <w:rsid w:val="11401B02"/>
    <w:rsid w:val="114333A1"/>
    <w:rsid w:val="115D26B4"/>
    <w:rsid w:val="115D4462"/>
    <w:rsid w:val="11756DCB"/>
    <w:rsid w:val="117F246D"/>
    <w:rsid w:val="1189744B"/>
    <w:rsid w:val="11927BC8"/>
    <w:rsid w:val="11AF3DD5"/>
    <w:rsid w:val="11CC0A24"/>
    <w:rsid w:val="11F36439"/>
    <w:rsid w:val="120B3EBE"/>
    <w:rsid w:val="121A2353"/>
    <w:rsid w:val="121C431D"/>
    <w:rsid w:val="122B4561"/>
    <w:rsid w:val="122E23C8"/>
    <w:rsid w:val="123F000C"/>
    <w:rsid w:val="124612D2"/>
    <w:rsid w:val="12505D75"/>
    <w:rsid w:val="1259182D"/>
    <w:rsid w:val="125D0B1A"/>
    <w:rsid w:val="12787182"/>
    <w:rsid w:val="12897A26"/>
    <w:rsid w:val="12AD31C8"/>
    <w:rsid w:val="12B5207C"/>
    <w:rsid w:val="12BD50B9"/>
    <w:rsid w:val="12BF3465"/>
    <w:rsid w:val="12C329EB"/>
    <w:rsid w:val="12C50511"/>
    <w:rsid w:val="12C64289"/>
    <w:rsid w:val="12D40754"/>
    <w:rsid w:val="12D41A52"/>
    <w:rsid w:val="12E0359D"/>
    <w:rsid w:val="12EA66DC"/>
    <w:rsid w:val="12EF558E"/>
    <w:rsid w:val="12FB3F33"/>
    <w:rsid w:val="130D010A"/>
    <w:rsid w:val="13125246"/>
    <w:rsid w:val="13143247"/>
    <w:rsid w:val="131A0EFD"/>
    <w:rsid w:val="131E70C9"/>
    <w:rsid w:val="132F0080"/>
    <w:rsid w:val="13385187"/>
    <w:rsid w:val="13426006"/>
    <w:rsid w:val="134358DA"/>
    <w:rsid w:val="13463B67"/>
    <w:rsid w:val="13482EF0"/>
    <w:rsid w:val="134C478E"/>
    <w:rsid w:val="135F0966"/>
    <w:rsid w:val="13757FF3"/>
    <w:rsid w:val="13A91BE1"/>
    <w:rsid w:val="13AB3BAB"/>
    <w:rsid w:val="13BB7AE9"/>
    <w:rsid w:val="13C24A51"/>
    <w:rsid w:val="13D053C0"/>
    <w:rsid w:val="13DA7FEC"/>
    <w:rsid w:val="13E302B1"/>
    <w:rsid w:val="13F70440"/>
    <w:rsid w:val="13F92F16"/>
    <w:rsid w:val="13FF42B8"/>
    <w:rsid w:val="140B63F8"/>
    <w:rsid w:val="14123C2A"/>
    <w:rsid w:val="1417033E"/>
    <w:rsid w:val="143C2A55"/>
    <w:rsid w:val="144A7B60"/>
    <w:rsid w:val="144B713C"/>
    <w:rsid w:val="145F4BA3"/>
    <w:rsid w:val="14641FAC"/>
    <w:rsid w:val="146B50E8"/>
    <w:rsid w:val="146D70B2"/>
    <w:rsid w:val="146F7B6A"/>
    <w:rsid w:val="147246C9"/>
    <w:rsid w:val="14900FF3"/>
    <w:rsid w:val="14984A52"/>
    <w:rsid w:val="14A14FAE"/>
    <w:rsid w:val="14A405FA"/>
    <w:rsid w:val="14B4083D"/>
    <w:rsid w:val="14BA53E4"/>
    <w:rsid w:val="14CF3E9E"/>
    <w:rsid w:val="14D94748"/>
    <w:rsid w:val="14E05AD6"/>
    <w:rsid w:val="14F21366"/>
    <w:rsid w:val="14F50E56"/>
    <w:rsid w:val="14F52C04"/>
    <w:rsid w:val="15001CD4"/>
    <w:rsid w:val="151439D2"/>
    <w:rsid w:val="15205ED3"/>
    <w:rsid w:val="15284D87"/>
    <w:rsid w:val="15396F94"/>
    <w:rsid w:val="153D4CD7"/>
    <w:rsid w:val="154D344E"/>
    <w:rsid w:val="15512F1C"/>
    <w:rsid w:val="155618F4"/>
    <w:rsid w:val="15724254"/>
    <w:rsid w:val="158A2C9F"/>
    <w:rsid w:val="158F4E06"/>
    <w:rsid w:val="15A10F61"/>
    <w:rsid w:val="15A703A2"/>
    <w:rsid w:val="15AF1BFE"/>
    <w:rsid w:val="15B66837"/>
    <w:rsid w:val="15B871E8"/>
    <w:rsid w:val="15D06A99"/>
    <w:rsid w:val="15D54711"/>
    <w:rsid w:val="15D849FF"/>
    <w:rsid w:val="15D91A12"/>
    <w:rsid w:val="160A26DF"/>
    <w:rsid w:val="160C49A8"/>
    <w:rsid w:val="16133C89"/>
    <w:rsid w:val="16135A37"/>
    <w:rsid w:val="16161084"/>
    <w:rsid w:val="163C4F8E"/>
    <w:rsid w:val="16414353"/>
    <w:rsid w:val="1642631D"/>
    <w:rsid w:val="16445BF1"/>
    <w:rsid w:val="16450281"/>
    <w:rsid w:val="1655412D"/>
    <w:rsid w:val="16585B40"/>
    <w:rsid w:val="16681976"/>
    <w:rsid w:val="1671080F"/>
    <w:rsid w:val="16B72867"/>
    <w:rsid w:val="16CF5E02"/>
    <w:rsid w:val="16D276A1"/>
    <w:rsid w:val="16E3365C"/>
    <w:rsid w:val="16E86EC4"/>
    <w:rsid w:val="17013AE2"/>
    <w:rsid w:val="170B2BB3"/>
    <w:rsid w:val="171F2727"/>
    <w:rsid w:val="172B0B5F"/>
    <w:rsid w:val="173914CE"/>
    <w:rsid w:val="173B3498"/>
    <w:rsid w:val="17407E5A"/>
    <w:rsid w:val="1746712F"/>
    <w:rsid w:val="174D4F79"/>
    <w:rsid w:val="174F0CF1"/>
    <w:rsid w:val="175C51BC"/>
    <w:rsid w:val="17696E04"/>
    <w:rsid w:val="176C53FF"/>
    <w:rsid w:val="17795D6E"/>
    <w:rsid w:val="17847981"/>
    <w:rsid w:val="17A252C5"/>
    <w:rsid w:val="17B52FAD"/>
    <w:rsid w:val="17BB1EE3"/>
    <w:rsid w:val="17BE5353"/>
    <w:rsid w:val="17BF1830"/>
    <w:rsid w:val="17F51899"/>
    <w:rsid w:val="180C0990"/>
    <w:rsid w:val="18137F71"/>
    <w:rsid w:val="181D2B9D"/>
    <w:rsid w:val="181E10C0"/>
    <w:rsid w:val="18297794"/>
    <w:rsid w:val="182E5751"/>
    <w:rsid w:val="18324BFA"/>
    <w:rsid w:val="1833416F"/>
    <w:rsid w:val="184762F8"/>
    <w:rsid w:val="1864257A"/>
    <w:rsid w:val="1869193F"/>
    <w:rsid w:val="186A4132"/>
    <w:rsid w:val="187A709F"/>
    <w:rsid w:val="187D188E"/>
    <w:rsid w:val="1881137E"/>
    <w:rsid w:val="18860743"/>
    <w:rsid w:val="188B09E3"/>
    <w:rsid w:val="18984960"/>
    <w:rsid w:val="18CB084B"/>
    <w:rsid w:val="18D71629"/>
    <w:rsid w:val="18DC65B5"/>
    <w:rsid w:val="18EA3E72"/>
    <w:rsid w:val="18F97167"/>
    <w:rsid w:val="18FA5D0B"/>
    <w:rsid w:val="19042D57"/>
    <w:rsid w:val="19060AC3"/>
    <w:rsid w:val="190F2C3A"/>
    <w:rsid w:val="19145D4E"/>
    <w:rsid w:val="19150CF7"/>
    <w:rsid w:val="191A0E8B"/>
    <w:rsid w:val="191C4C03"/>
    <w:rsid w:val="1934019F"/>
    <w:rsid w:val="194656F3"/>
    <w:rsid w:val="194A79C2"/>
    <w:rsid w:val="194D300E"/>
    <w:rsid w:val="194E79C7"/>
    <w:rsid w:val="19516FA3"/>
    <w:rsid w:val="19566367"/>
    <w:rsid w:val="195B77FE"/>
    <w:rsid w:val="19716C8B"/>
    <w:rsid w:val="197E766C"/>
    <w:rsid w:val="197F7673"/>
    <w:rsid w:val="198545EC"/>
    <w:rsid w:val="198A4742"/>
    <w:rsid w:val="19A52E4A"/>
    <w:rsid w:val="19A540AB"/>
    <w:rsid w:val="19B1359D"/>
    <w:rsid w:val="19B4308D"/>
    <w:rsid w:val="19BD5EE0"/>
    <w:rsid w:val="19C1039C"/>
    <w:rsid w:val="19E41BC5"/>
    <w:rsid w:val="19E716B5"/>
    <w:rsid w:val="19E82D37"/>
    <w:rsid w:val="19F63627"/>
    <w:rsid w:val="1A01383F"/>
    <w:rsid w:val="1A0758B3"/>
    <w:rsid w:val="1A1F69B1"/>
    <w:rsid w:val="1A3142E0"/>
    <w:rsid w:val="1A385A6D"/>
    <w:rsid w:val="1A393593"/>
    <w:rsid w:val="1A3F6DFB"/>
    <w:rsid w:val="1A6745A4"/>
    <w:rsid w:val="1A7C5AF5"/>
    <w:rsid w:val="1A7F31EF"/>
    <w:rsid w:val="1A872550"/>
    <w:rsid w:val="1A8962C8"/>
    <w:rsid w:val="1A8B0292"/>
    <w:rsid w:val="1A9F5F4F"/>
    <w:rsid w:val="1AB46A64"/>
    <w:rsid w:val="1ACA1E08"/>
    <w:rsid w:val="1AD3391B"/>
    <w:rsid w:val="1AE73298"/>
    <w:rsid w:val="1AE942E3"/>
    <w:rsid w:val="1AF35A9F"/>
    <w:rsid w:val="1AF37BBD"/>
    <w:rsid w:val="1AF75928"/>
    <w:rsid w:val="1AFA71C6"/>
    <w:rsid w:val="1B05696E"/>
    <w:rsid w:val="1B0911B7"/>
    <w:rsid w:val="1B0B4F2F"/>
    <w:rsid w:val="1B122762"/>
    <w:rsid w:val="1B2A18D8"/>
    <w:rsid w:val="1B356F29"/>
    <w:rsid w:val="1B395F40"/>
    <w:rsid w:val="1B4B7A22"/>
    <w:rsid w:val="1B5C39DD"/>
    <w:rsid w:val="1B6B21A7"/>
    <w:rsid w:val="1B6D1746"/>
    <w:rsid w:val="1B7900EB"/>
    <w:rsid w:val="1B811695"/>
    <w:rsid w:val="1B830F69"/>
    <w:rsid w:val="1B8D003A"/>
    <w:rsid w:val="1B977D90"/>
    <w:rsid w:val="1BA710FC"/>
    <w:rsid w:val="1BAB226E"/>
    <w:rsid w:val="1BC3719E"/>
    <w:rsid w:val="1BE31D2D"/>
    <w:rsid w:val="1C026D4F"/>
    <w:rsid w:val="1C1E5DF5"/>
    <w:rsid w:val="1C27133D"/>
    <w:rsid w:val="1C381D54"/>
    <w:rsid w:val="1C3A2558"/>
    <w:rsid w:val="1C44694B"/>
    <w:rsid w:val="1C4B0E57"/>
    <w:rsid w:val="1C4F3541"/>
    <w:rsid w:val="1C556DAA"/>
    <w:rsid w:val="1C580648"/>
    <w:rsid w:val="1C5F64C0"/>
    <w:rsid w:val="1C641230"/>
    <w:rsid w:val="1C744D56"/>
    <w:rsid w:val="1C766D20"/>
    <w:rsid w:val="1C890E0E"/>
    <w:rsid w:val="1CA35D6A"/>
    <w:rsid w:val="1CB00416"/>
    <w:rsid w:val="1CB735C0"/>
    <w:rsid w:val="1CC7132A"/>
    <w:rsid w:val="1CD557F5"/>
    <w:rsid w:val="1CEE0B2F"/>
    <w:rsid w:val="1CEE594C"/>
    <w:rsid w:val="1CFE11EF"/>
    <w:rsid w:val="1D014681"/>
    <w:rsid w:val="1D3B3C56"/>
    <w:rsid w:val="1D59519E"/>
    <w:rsid w:val="1D5A219E"/>
    <w:rsid w:val="1D6F6D09"/>
    <w:rsid w:val="1D7B2840"/>
    <w:rsid w:val="1D8C460B"/>
    <w:rsid w:val="1DA33B45"/>
    <w:rsid w:val="1DBC4C07"/>
    <w:rsid w:val="1DC36051"/>
    <w:rsid w:val="1DE2428C"/>
    <w:rsid w:val="1DF47EFC"/>
    <w:rsid w:val="1E0349E4"/>
    <w:rsid w:val="1E2D340E"/>
    <w:rsid w:val="1E4470D6"/>
    <w:rsid w:val="1E853F20"/>
    <w:rsid w:val="1E894AE9"/>
    <w:rsid w:val="1E9712AA"/>
    <w:rsid w:val="1E9B2A6E"/>
    <w:rsid w:val="1EA549E2"/>
    <w:rsid w:val="1EAB018D"/>
    <w:rsid w:val="1EAC4C7B"/>
    <w:rsid w:val="1EB947AA"/>
    <w:rsid w:val="1EBC3110"/>
    <w:rsid w:val="1ECF44C6"/>
    <w:rsid w:val="1ED038BC"/>
    <w:rsid w:val="1ED071E4"/>
    <w:rsid w:val="1EEF687A"/>
    <w:rsid w:val="1EF74B4E"/>
    <w:rsid w:val="1F0C1276"/>
    <w:rsid w:val="1F0F207A"/>
    <w:rsid w:val="1F242A63"/>
    <w:rsid w:val="1F2667DB"/>
    <w:rsid w:val="1F363CFA"/>
    <w:rsid w:val="1F3F164B"/>
    <w:rsid w:val="1F480FA1"/>
    <w:rsid w:val="1F542BBF"/>
    <w:rsid w:val="1F62533A"/>
    <w:rsid w:val="1F780DC2"/>
    <w:rsid w:val="1F7D0601"/>
    <w:rsid w:val="1F7F413E"/>
    <w:rsid w:val="1F843502"/>
    <w:rsid w:val="1F8F25D3"/>
    <w:rsid w:val="1F931C8F"/>
    <w:rsid w:val="1FA140B4"/>
    <w:rsid w:val="1FA91331"/>
    <w:rsid w:val="1FAD74E5"/>
    <w:rsid w:val="1FAF4A23"/>
    <w:rsid w:val="1FB227A5"/>
    <w:rsid w:val="1FB262C1"/>
    <w:rsid w:val="1FB36A5F"/>
    <w:rsid w:val="1FB64B0E"/>
    <w:rsid w:val="1FCF29CF"/>
    <w:rsid w:val="1FCF6E73"/>
    <w:rsid w:val="1FD06747"/>
    <w:rsid w:val="1FE72762"/>
    <w:rsid w:val="1FEF4E1F"/>
    <w:rsid w:val="1FF64400"/>
    <w:rsid w:val="1FFC578E"/>
    <w:rsid w:val="200F0C6E"/>
    <w:rsid w:val="202C350B"/>
    <w:rsid w:val="203B663B"/>
    <w:rsid w:val="203B7C18"/>
    <w:rsid w:val="20407429"/>
    <w:rsid w:val="20561532"/>
    <w:rsid w:val="20592BE1"/>
    <w:rsid w:val="206F7D0E"/>
    <w:rsid w:val="20743577"/>
    <w:rsid w:val="207D68CF"/>
    <w:rsid w:val="2091237A"/>
    <w:rsid w:val="20A91472"/>
    <w:rsid w:val="20AF45AF"/>
    <w:rsid w:val="20B147CB"/>
    <w:rsid w:val="20B6593D"/>
    <w:rsid w:val="20C75D9C"/>
    <w:rsid w:val="20CA763A"/>
    <w:rsid w:val="20FB17E4"/>
    <w:rsid w:val="21004E0A"/>
    <w:rsid w:val="21042B4C"/>
    <w:rsid w:val="210E7527"/>
    <w:rsid w:val="210F504D"/>
    <w:rsid w:val="21190011"/>
    <w:rsid w:val="211B39F2"/>
    <w:rsid w:val="21262AC3"/>
    <w:rsid w:val="212A1E87"/>
    <w:rsid w:val="213276BA"/>
    <w:rsid w:val="21352D06"/>
    <w:rsid w:val="2136082C"/>
    <w:rsid w:val="21426F2B"/>
    <w:rsid w:val="215F709E"/>
    <w:rsid w:val="21647229"/>
    <w:rsid w:val="21771570"/>
    <w:rsid w:val="21884BA0"/>
    <w:rsid w:val="219263AA"/>
    <w:rsid w:val="219D08AB"/>
    <w:rsid w:val="21A423E7"/>
    <w:rsid w:val="21BA3EF9"/>
    <w:rsid w:val="21E022E1"/>
    <w:rsid w:val="21E36C06"/>
    <w:rsid w:val="21EB5ABA"/>
    <w:rsid w:val="21F20BF7"/>
    <w:rsid w:val="221F7512"/>
    <w:rsid w:val="22247E87"/>
    <w:rsid w:val="222A4802"/>
    <w:rsid w:val="223B434C"/>
    <w:rsid w:val="223F767A"/>
    <w:rsid w:val="22433200"/>
    <w:rsid w:val="22460F43"/>
    <w:rsid w:val="22574E59"/>
    <w:rsid w:val="2265586D"/>
    <w:rsid w:val="226C6BFB"/>
    <w:rsid w:val="22715FC0"/>
    <w:rsid w:val="227569DC"/>
    <w:rsid w:val="22813D29"/>
    <w:rsid w:val="22822831"/>
    <w:rsid w:val="228C2DF9"/>
    <w:rsid w:val="228F28EA"/>
    <w:rsid w:val="228F5837"/>
    <w:rsid w:val="229677D4"/>
    <w:rsid w:val="229F4DC8"/>
    <w:rsid w:val="22A14126"/>
    <w:rsid w:val="22A16179"/>
    <w:rsid w:val="22E35D21"/>
    <w:rsid w:val="22EF5136"/>
    <w:rsid w:val="22FF1C2E"/>
    <w:rsid w:val="22FF7A6F"/>
    <w:rsid w:val="2305495A"/>
    <w:rsid w:val="230A01C2"/>
    <w:rsid w:val="230E1A60"/>
    <w:rsid w:val="231F5A1C"/>
    <w:rsid w:val="23205AE3"/>
    <w:rsid w:val="23270D74"/>
    <w:rsid w:val="23437A88"/>
    <w:rsid w:val="235A5E54"/>
    <w:rsid w:val="23614286"/>
    <w:rsid w:val="236E346D"/>
    <w:rsid w:val="236E72FF"/>
    <w:rsid w:val="23721DF1"/>
    <w:rsid w:val="23770034"/>
    <w:rsid w:val="23787FC0"/>
    <w:rsid w:val="237E3B0E"/>
    <w:rsid w:val="23906919"/>
    <w:rsid w:val="23985FD7"/>
    <w:rsid w:val="23A203FB"/>
    <w:rsid w:val="23B05BD9"/>
    <w:rsid w:val="23CE6516"/>
    <w:rsid w:val="23DA3083"/>
    <w:rsid w:val="23F52C20"/>
    <w:rsid w:val="24013373"/>
    <w:rsid w:val="240C74D0"/>
    <w:rsid w:val="24184308"/>
    <w:rsid w:val="24225B6E"/>
    <w:rsid w:val="242D5F16"/>
    <w:rsid w:val="24466FD8"/>
    <w:rsid w:val="245416F5"/>
    <w:rsid w:val="246A0F18"/>
    <w:rsid w:val="246D0A09"/>
    <w:rsid w:val="24AC0CE6"/>
    <w:rsid w:val="24D942F0"/>
    <w:rsid w:val="24ED7990"/>
    <w:rsid w:val="25021151"/>
    <w:rsid w:val="25050C41"/>
    <w:rsid w:val="250749B9"/>
    <w:rsid w:val="250E5D48"/>
    <w:rsid w:val="251228DA"/>
    <w:rsid w:val="25164BFC"/>
    <w:rsid w:val="251E5D4C"/>
    <w:rsid w:val="252C08C4"/>
    <w:rsid w:val="252F3229"/>
    <w:rsid w:val="2536529E"/>
    <w:rsid w:val="25373A99"/>
    <w:rsid w:val="25396B3D"/>
    <w:rsid w:val="254152F5"/>
    <w:rsid w:val="254554E2"/>
    <w:rsid w:val="25496D80"/>
    <w:rsid w:val="255F47F5"/>
    <w:rsid w:val="25660E97"/>
    <w:rsid w:val="256E7B84"/>
    <w:rsid w:val="257F6C45"/>
    <w:rsid w:val="25826736"/>
    <w:rsid w:val="2583375A"/>
    <w:rsid w:val="259F4BF2"/>
    <w:rsid w:val="25A450E0"/>
    <w:rsid w:val="25A62424"/>
    <w:rsid w:val="25AB3597"/>
    <w:rsid w:val="25AC5561"/>
    <w:rsid w:val="25B216C4"/>
    <w:rsid w:val="25C46BF1"/>
    <w:rsid w:val="25CB59E7"/>
    <w:rsid w:val="25CE7FBE"/>
    <w:rsid w:val="25D85D70"/>
    <w:rsid w:val="25DA3E7C"/>
    <w:rsid w:val="25DF1492"/>
    <w:rsid w:val="25DF5936"/>
    <w:rsid w:val="25E87C00"/>
    <w:rsid w:val="25EA60A7"/>
    <w:rsid w:val="25EE7927"/>
    <w:rsid w:val="2604539D"/>
    <w:rsid w:val="2610789E"/>
    <w:rsid w:val="26164DFC"/>
    <w:rsid w:val="26192BF6"/>
    <w:rsid w:val="261B6962"/>
    <w:rsid w:val="26243349"/>
    <w:rsid w:val="264304FA"/>
    <w:rsid w:val="2659305B"/>
    <w:rsid w:val="265C6B8F"/>
    <w:rsid w:val="265C6F87"/>
    <w:rsid w:val="266B541C"/>
    <w:rsid w:val="266D2C13"/>
    <w:rsid w:val="2677791D"/>
    <w:rsid w:val="267841EE"/>
    <w:rsid w:val="2680161F"/>
    <w:rsid w:val="26935AE1"/>
    <w:rsid w:val="26937F25"/>
    <w:rsid w:val="26993D37"/>
    <w:rsid w:val="26AD77E2"/>
    <w:rsid w:val="26BA3DE6"/>
    <w:rsid w:val="26C11862"/>
    <w:rsid w:val="26CB1A16"/>
    <w:rsid w:val="26CD1C32"/>
    <w:rsid w:val="26D71E4A"/>
    <w:rsid w:val="26EB2E9A"/>
    <w:rsid w:val="26ED7BDF"/>
    <w:rsid w:val="27076EF2"/>
    <w:rsid w:val="271E5FEA"/>
    <w:rsid w:val="27247AA4"/>
    <w:rsid w:val="27285DD8"/>
    <w:rsid w:val="274D43DE"/>
    <w:rsid w:val="2753038A"/>
    <w:rsid w:val="27553A8D"/>
    <w:rsid w:val="276267BA"/>
    <w:rsid w:val="27651E6B"/>
    <w:rsid w:val="276709BA"/>
    <w:rsid w:val="27760662"/>
    <w:rsid w:val="278E3170"/>
    <w:rsid w:val="279462AC"/>
    <w:rsid w:val="279C5792"/>
    <w:rsid w:val="27AE0637"/>
    <w:rsid w:val="27BD3079"/>
    <w:rsid w:val="27C052F3"/>
    <w:rsid w:val="27C5542E"/>
    <w:rsid w:val="27CB4F27"/>
    <w:rsid w:val="27CE7C21"/>
    <w:rsid w:val="27D116CC"/>
    <w:rsid w:val="27D25752"/>
    <w:rsid w:val="27E43B0C"/>
    <w:rsid w:val="27E50A60"/>
    <w:rsid w:val="27E67338"/>
    <w:rsid w:val="27E965F8"/>
    <w:rsid w:val="27F356C9"/>
    <w:rsid w:val="27F51441"/>
    <w:rsid w:val="27FA0805"/>
    <w:rsid w:val="27FD02F5"/>
    <w:rsid w:val="28081242"/>
    <w:rsid w:val="280D08FF"/>
    <w:rsid w:val="282835C4"/>
    <w:rsid w:val="2833593F"/>
    <w:rsid w:val="283A1500"/>
    <w:rsid w:val="28475245"/>
    <w:rsid w:val="284B2E0F"/>
    <w:rsid w:val="284D6B87"/>
    <w:rsid w:val="284D7865"/>
    <w:rsid w:val="28537F15"/>
    <w:rsid w:val="28550131"/>
    <w:rsid w:val="28667C49"/>
    <w:rsid w:val="286A598B"/>
    <w:rsid w:val="286C22A0"/>
    <w:rsid w:val="28761BF3"/>
    <w:rsid w:val="2879797C"/>
    <w:rsid w:val="28865B09"/>
    <w:rsid w:val="28A36AFF"/>
    <w:rsid w:val="28A8200F"/>
    <w:rsid w:val="28DB0637"/>
    <w:rsid w:val="28E15644"/>
    <w:rsid w:val="28F811E9"/>
    <w:rsid w:val="28FE4325"/>
    <w:rsid w:val="2917248F"/>
    <w:rsid w:val="29371BB0"/>
    <w:rsid w:val="293B5C88"/>
    <w:rsid w:val="293D0543"/>
    <w:rsid w:val="29427770"/>
    <w:rsid w:val="2960467D"/>
    <w:rsid w:val="29671F27"/>
    <w:rsid w:val="297D1637"/>
    <w:rsid w:val="297D524A"/>
    <w:rsid w:val="29891E41"/>
    <w:rsid w:val="298F4ADE"/>
    <w:rsid w:val="29A05EB5"/>
    <w:rsid w:val="29A24CB1"/>
    <w:rsid w:val="29A7621B"/>
    <w:rsid w:val="29C676A0"/>
    <w:rsid w:val="29CA1CE0"/>
    <w:rsid w:val="29E51041"/>
    <w:rsid w:val="29F85218"/>
    <w:rsid w:val="29F86FC6"/>
    <w:rsid w:val="29F91CFC"/>
    <w:rsid w:val="29FA1F67"/>
    <w:rsid w:val="2A021BF3"/>
    <w:rsid w:val="2A0D0CC4"/>
    <w:rsid w:val="2A19745A"/>
    <w:rsid w:val="2A1C3F19"/>
    <w:rsid w:val="2A2348E7"/>
    <w:rsid w:val="2A4755FC"/>
    <w:rsid w:val="2A510485"/>
    <w:rsid w:val="2A636B36"/>
    <w:rsid w:val="2A6A2C93"/>
    <w:rsid w:val="2A6B59EA"/>
    <w:rsid w:val="2A7F74F9"/>
    <w:rsid w:val="2A8708BA"/>
    <w:rsid w:val="2AA07380"/>
    <w:rsid w:val="2AA84549"/>
    <w:rsid w:val="2AAC1C6E"/>
    <w:rsid w:val="2AB033FD"/>
    <w:rsid w:val="2AB078A1"/>
    <w:rsid w:val="2AC100D3"/>
    <w:rsid w:val="2AC6474C"/>
    <w:rsid w:val="2AC6733E"/>
    <w:rsid w:val="2AD26378"/>
    <w:rsid w:val="2AD74F77"/>
    <w:rsid w:val="2ADE440E"/>
    <w:rsid w:val="2AE35581"/>
    <w:rsid w:val="2AE8703B"/>
    <w:rsid w:val="2AFB6D6E"/>
    <w:rsid w:val="2AFF73A3"/>
    <w:rsid w:val="2B0374EF"/>
    <w:rsid w:val="2B057A12"/>
    <w:rsid w:val="2B0F45C8"/>
    <w:rsid w:val="2B255B99"/>
    <w:rsid w:val="2B2636BF"/>
    <w:rsid w:val="2B4A5B06"/>
    <w:rsid w:val="2B4D4A0F"/>
    <w:rsid w:val="2B5B7F5A"/>
    <w:rsid w:val="2B632B65"/>
    <w:rsid w:val="2B747F71"/>
    <w:rsid w:val="2B876854"/>
    <w:rsid w:val="2B90195F"/>
    <w:rsid w:val="2B990335"/>
    <w:rsid w:val="2BAC1F17"/>
    <w:rsid w:val="2BAE2033"/>
    <w:rsid w:val="2BAF1907"/>
    <w:rsid w:val="2BBB1DC6"/>
    <w:rsid w:val="2BC25ADE"/>
    <w:rsid w:val="2BC41856"/>
    <w:rsid w:val="2BCC070B"/>
    <w:rsid w:val="2BD328A1"/>
    <w:rsid w:val="2BD355F5"/>
    <w:rsid w:val="2BEF1E49"/>
    <w:rsid w:val="2BEF61A7"/>
    <w:rsid w:val="2BEF7F55"/>
    <w:rsid w:val="2BFA7026"/>
    <w:rsid w:val="2BFD2672"/>
    <w:rsid w:val="2BFF288E"/>
    <w:rsid w:val="2C063C1D"/>
    <w:rsid w:val="2C194947"/>
    <w:rsid w:val="2C2B3683"/>
    <w:rsid w:val="2C2C2F57"/>
    <w:rsid w:val="2C3342E6"/>
    <w:rsid w:val="2C353425"/>
    <w:rsid w:val="2C385DA0"/>
    <w:rsid w:val="2C3B13EC"/>
    <w:rsid w:val="2C3D6F12"/>
    <w:rsid w:val="2C646B95"/>
    <w:rsid w:val="2C667F88"/>
    <w:rsid w:val="2C732934"/>
    <w:rsid w:val="2C743DDE"/>
    <w:rsid w:val="2C842D93"/>
    <w:rsid w:val="2CA13945"/>
    <w:rsid w:val="2CAB0320"/>
    <w:rsid w:val="2CAD22EA"/>
    <w:rsid w:val="2CB03B88"/>
    <w:rsid w:val="2CBC0FBF"/>
    <w:rsid w:val="2CC87124"/>
    <w:rsid w:val="2CD31625"/>
    <w:rsid w:val="2CD45AC9"/>
    <w:rsid w:val="2CE101E6"/>
    <w:rsid w:val="2CEB2E12"/>
    <w:rsid w:val="2D0677AA"/>
    <w:rsid w:val="2D0E2D85"/>
    <w:rsid w:val="2D144117"/>
    <w:rsid w:val="2D285E15"/>
    <w:rsid w:val="2D2D51D9"/>
    <w:rsid w:val="2D3C71CA"/>
    <w:rsid w:val="2D5E5392"/>
    <w:rsid w:val="2D652BC5"/>
    <w:rsid w:val="2D6A07AF"/>
    <w:rsid w:val="2D80355B"/>
    <w:rsid w:val="2D88240F"/>
    <w:rsid w:val="2D8D1641"/>
    <w:rsid w:val="2D9E1C33"/>
    <w:rsid w:val="2DA134D1"/>
    <w:rsid w:val="2DA454DE"/>
    <w:rsid w:val="2DAA682A"/>
    <w:rsid w:val="2DB41456"/>
    <w:rsid w:val="2DBB27E5"/>
    <w:rsid w:val="2DCA0C7A"/>
    <w:rsid w:val="2DD95AB1"/>
    <w:rsid w:val="2DDB2E87"/>
    <w:rsid w:val="2DDF14DE"/>
    <w:rsid w:val="2DE24215"/>
    <w:rsid w:val="2DE47F8D"/>
    <w:rsid w:val="2E0777D8"/>
    <w:rsid w:val="2E092ECC"/>
    <w:rsid w:val="2E13617D"/>
    <w:rsid w:val="2E1D6FFC"/>
    <w:rsid w:val="2E427E20"/>
    <w:rsid w:val="2E4717FD"/>
    <w:rsid w:val="2E600AC3"/>
    <w:rsid w:val="2E6A5E0B"/>
    <w:rsid w:val="2E7E42B1"/>
    <w:rsid w:val="2E8250B1"/>
    <w:rsid w:val="2E8928E3"/>
    <w:rsid w:val="2E9F3EB4"/>
    <w:rsid w:val="2EB057A7"/>
    <w:rsid w:val="2EB536D8"/>
    <w:rsid w:val="2ED344F5"/>
    <w:rsid w:val="2EE3584F"/>
    <w:rsid w:val="2EF637C3"/>
    <w:rsid w:val="2EFB296D"/>
    <w:rsid w:val="2F1847ED"/>
    <w:rsid w:val="2F3A381B"/>
    <w:rsid w:val="2F405247"/>
    <w:rsid w:val="2F560A17"/>
    <w:rsid w:val="2F631386"/>
    <w:rsid w:val="2F754C15"/>
    <w:rsid w:val="2F77098D"/>
    <w:rsid w:val="2F834886"/>
    <w:rsid w:val="2F874C33"/>
    <w:rsid w:val="2F882B9B"/>
    <w:rsid w:val="2F933CB1"/>
    <w:rsid w:val="2F967065"/>
    <w:rsid w:val="2F9C03F4"/>
    <w:rsid w:val="2FA379D4"/>
    <w:rsid w:val="2FA5374C"/>
    <w:rsid w:val="2FAE5C12"/>
    <w:rsid w:val="2FAF6379"/>
    <w:rsid w:val="2FBB2F70"/>
    <w:rsid w:val="2FC71915"/>
    <w:rsid w:val="2FD04090"/>
    <w:rsid w:val="2FD361A8"/>
    <w:rsid w:val="2FF124EE"/>
    <w:rsid w:val="2FF72667"/>
    <w:rsid w:val="2FF7387C"/>
    <w:rsid w:val="2FFD5337"/>
    <w:rsid w:val="30110DE2"/>
    <w:rsid w:val="30162B23"/>
    <w:rsid w:val="301663F8"/>
    <w:rsid w:val="302C5C1C"/>
    <w:rsid w:val="303E3648"/>
    <w:rsid w:val="3078676B"/>
    <w:rsid w:val="30894E1C"/>
    <w:rsid w:val="30915A7F"/>
    <w:rsid w:val="309D4424"/>
    <w:rsid w:val="30A05CC2"/>
    <w:rsid w:val="30A27C8C"/>
    <w:rsid w:val="30AE4883"/>
    <w:rsid w:val="30B319D3"/>
    <w:rsid w:val="30BD0C5C"/>
    <w:rsid w:val="30C16302"/>
    <w:rsid w:val="30D836AE"/>
    <w:rsid w:val="30E16A06"/>
    <w:rsid w:val="30E751B4"/>
    <w:rsid w:val="30EB1633"/>
    <w:rsid w:val="30F40012"/>
    <w:rsid w:val="31033252"/>
    <w:rsid w:val="31102E48"/>
    <w:rsid w:val="31153F26"/>
    <w:rsid w:val="312839F7"/>
    <w:rsid w:val="313E5C07"/>
    <w:rsid w:val="3140197F"/>
    <w:rsid w:val="314618C4"/>
    <w:rsid w:val="3172765E"/>
    <w:rsid w:val="31746528"/>
    <w:rsid w:val="31853836"/>
    <w:rsid w:val="31A05388"/>
    <w:rsid w:val="31B7167B"/>
    <w:rsid w:val="31DE3900"/>
    <w:rsid w:val="31F369F1"/>
    <w:rsid w:val="31F938DC"/>
    <w:rsid w:val="32004C6A"/>
    <w:rsid w:val="32285F6F"/>
    <w:rsid w:val="32447827"/>
    <w:rsid w:val="32496611"/>
    <w:rsid w:val="325C1673"/>
    <w:rsid w:val="326276D3"/>
    <w:rsid w:val="32672F3B"/>
    <w:rsid w:val="32675E48"/>
    <w:rsid w:val="327D37D4"/>
    <w:rsid w:val="327D62BB"/>
    <w:rsid w:val="32827D75"/>
    <w:rsid w:val="32916AA3"/>
    <w:rsid w:val="32982974"/>
    <w:rsid w:val="32A73338"/>
    <w:rsid w:val="32A95302"/>
    <w:rsid w:val="32A970B0"/>
    <w:rsid w:val="32B141B6"/>
    <w:rsid w:val="32B555C0"/>
    <w:rsid w:val="32CB5278"/>
    <w:rsid w:val="32D16607"/>
    <w:rsid w:val="32D461C8"/>
    <w:rsid w:val="32D81743"/>
    <w:rsid w:val="32DD2DBF"/>
    <w:rsid w:val="32EB1476"/>
    <w:rsid w:val="32EE540A"/>
    <w:rsid w:val="33042538"/>
    <w:rsid w:val="331C1F78"/>
    <w:rsid w:val="331E66B3"/>
    <w:rsid w:val="331F7372"/>
    <w:rsid w:val="332A3865"/>
    <w:rsid w:val="334868C9"/>
    <w:rsid w:val="335A6D75"/>
    <w:rsid w:val="335C6769"/>
    <w:rsid w:val="336E01FC"/>
    <w:rsid w:val="337F42B4"/>
    <w:rsid w:val="338A1A9A"/>
    <w:rsid w:val="3392223A"/>
    <w:rsid w:val="339A2E9C"/>
    <w:rsid w:val="339E453D"/>
    <w:rsid w:val="33A87367"/>
    <w:rsid w:val="33B556FB"/>
    <w:rsid w:val="33C30645"/>
    <w:rsid w:val="33D40484"/>
    <w:rsid w:val="33D44600"/>
    <w:rsid w:val="33D6128A"/>
    <w:rsid w:val="33D77C4D"/>
    <w:rsid w:val="33DB773D"/>
    <w:rsid w:val="33EB286E"/>
    <w:rsid w:val="34014486"/>
    <w:rsid w:val="340F73E6"/>
    <w:rsid w:val="341B3FDD"/>
    <w:rsid w:val="342033A2"/>
    <w:rsid w:val="34207846"/>
    <w:rsid w:val="342B17CD"/>
    <w:rsid w:val="342C1299"/>
    <w:rsid w:val="342E1F62"/>
    <w:rsid w:val="344A6670"/>
    <w:rsid w:val="345179FF"/>
    <w:rsid w:val="34677222"/>
    <w:rsid w:val="346861DB"/>
    <w:rsid w:val="34705D1D"/>
    <w:rsid w:val="347E3B57"/>
    <w:rsid w:val="34873421"/>
    <w:rsid w:val="348F258D"/>
    <w:rsid w:val="349E2EFC"/>
    <w:rsid w:val="349F074A"/>
    <w:rsid w:val="34AA1D97"/>
    <w:rsid w:val="34AA5361"/>
    <w:rsid w:val="34BF5FAD"/>
    <w:rsid w:val="34C603ED"/>
    <w:rsid w:val="34CC177B"/>
    <w:rsid w:val="34D128EE"/>
    <w:rsid w:val="34D32B0A"/>
    <w:rsid w:val="34D71D18"/>
    <w:rsid w:val="34E45EB7"/>
    <w:rsid w:val="34EA39B0"/>
    <w:rsid w:val="34EB1C02"/>
    <w:rsid w:val="34EE524E"/>
    <w:rsid w:val="35017DA5"/>
    <w:rsid w:val="353C245D"/>
    <w:rsid w:val="354C01C6"/>
    <w:rsid w:val="354D466A"/>
    <w:rsid w:val="354D588F"/>
    <w:rsid w:val="355C48AD"/>
    <w:rsid w:val="355E6877"/>
    <w:rsid w:val="359C4B8A"/>
    <w:rsid w:val="359E4EC6"/>
    <w:rsid w:val="35C115F9"/>
    <w:rsid w:val="35CD09D3"/>
    <w:rsid w:val="35D23F20"/>
    <w:rsid w:val="35FA5E74"/>
    <w:rsid w:val="36247D12"/>
    <w:rsid w:val="363B44C3"/>
    <w:rsid w:val="363B4A32"/>
    <w:rsid w:val="36536B5E"/>
    <w:rsid w:val="365732C7"/>
    <w:rsid w:val="36594110"/>
    <w:rsid w:val="36617CA1"/>
    <w:rsid w:val="366A2FFA"/>
    <w:rsid w:val="367125DA"/>
    <w:rsid w:val="36767C6A"/>
    <w:rsid w:val="368F2A60"/>
    <w:rsid w:val="369B7657"/>
    <w:rsid w:val="36B11CE0"/>
    <w:rsid w:val="36C344B8"/>
    <w:rsid w:val="36D026DB"/>
    <w:rsid w:val="36D056D3"/>
    <w:rsid w:val="36D23A8F"/>
    <w:rsid w:val="36D54881"/>
    <w:rsid w:val="36D87F64"/>
    <w:rsid w:val="36E2757E"/>
    <w:rsid w:val="36E27AE8"/>
    <w:rsid w:val="36E903C3"/>
    <w:rsid w:val="37166CDE"/>
    <w:rsid w:val="371A057C"/>
    <w:rsid w:val="372E3320"/>
    <w:rsid w:val="37335AE2"/>
    <w:rsid w:val="37415953"/>
    <w:rsid w:val="375869AC"/>
    <w:rsid w:val="376E6505"/>
    <w:rsid w:val="37983B97"/>
    <w:rsid w:val="379A74B9"/>
    <w:rsid w:val="37A20571"/>
    <w:rsid w:val="37A61E10"/>
    <w:rsid w:val="37AF6314"/>
    <w:rsid w:val="37C9397A"/>
    <w:rsid w:val="37D32D5C"/>
    <w:rsid w:val="37DE77FC"/>
    <w:rsid w:val="37FA215C"/>
    <w:rsid w:val="381D60D9"/>
    <w:rsid w:val="382065A7"/>
    <w:rsid w:val="38390CFC"/>
    <w:rsid w:val="385B709E"/>
    <w:rsid w:val="38606463"/>
    <w:rsid w:val="386436F9"/>
    <w:rsid w:val="386B727B"/>
    <w:rsid w:val="386D5023"/>
    <w:rsid w:val="387E2D8D"/>
    <w:rsid w:val="388F388D"/>
    <w:rsid w:val="38A171BA"/>
    <w:rsid w:val="38A345A1"/>
    <w:rsid w:val="38A50319"/>
    <w:rsid w:val="38BC5693"/>
    <w:rsid w:val="38C054A4"/>
    <w:rsid w:val="38D46E50"/>
    <w:rsid w:val="38E55D2E"/>
    <w:rsid w:val="38EC5F48"/>
    <w:rsid w:val="38F22650"/>
    <w:rsid w:val="38F80D91"/>
    <w:rsid w:val="38FF383F"/>
    <w:rsid w:val="39011ED9"/>
    <w:rsid w:val="390A56A6"/>
    <w:rsid w:val="390C4A91"/>
    <w:rsid w:val="390D6A5E"/>
    <w:rsid w:val="393B53E7"/>
    <w:rsid w:val="39495149"/>
    <w:rsid w:val="395461F0"/>
    <w:rsid w:val="395F671A"/>
    <w:rsid w:val="39615ED1"/>
    <w:rsid w:val="39661AE4"/>
    <w:rsid w:val="39671A73"/>
    <w:rsid w:val="396B3311"/>
    <w:rsid w:val="397D4DF2"/>
    <w:rsid w:val="3983100C"/>
    <w:rsid w:val="39875C71"/>
    <w:rsid w:val="39903935"/>
    <w:rsid w:val="39986745"/>
    <w:rsid w:val="39AD1B7B"/>
    <w:rsid w:val="39B747A8"/>
    <w:rsid w:val="39C96289"/>
    <w:rsid w:val="39CE1AF2"/>
    <w:rsid w:val="39DB50AA"/>
    <w:rsid w:val="39E02ED5"/>
    <w:rsid w:val="39E44E71"/>
    <w:rsid w:val="3A045513"/>
    <w:rsid w:val="3A257964"/>
    <w:rsid w:val="3A281202"/>
    <w:rsid w:val="3A291355"/>
    <w:rsid w:val="3A2B06CF"/>
    <w:rsid w:val="3A624FAF"/>
    <w:rsid w:val="3A687850"/>
    <w:rsid w:val="3A6F6E31"/>
    <w:rsid w:val="3A797CAF"/>
    <w:rsid w:val="3A7B57D6"/>
    <w:rsid w:val="3A827F55"/>
    <w:rsid w:val="3A993EAE"/>
    <w:rsid w:val="3AA41612"/>
    <w:rsid w:val="3AAA009C"/>
    <w:rsid w:val="3AB335DE"/>
    <w:rsid w:val="3AB46F3A"/>
    <w:rsid w:val="3AC234D7"/>
    <w:rsid w:val="3ACA22B9"/>
    <w:rsid w:val="3AD2659E"/>
    <w:rsid w:val="3AD566CB"/>
    <w:rsid w:val="3ADD3456"/>
    <w:rsid w:val="3ADF02DC"/>
    <w:rsid w:val="3AFF6407"/>
    <w:rsid w:val="3B173FF2"/>
    <w:rsid w:val="3B1D688D"/>
    <w:rsid w:val="3B274993"/>
    <w:rsid w:val="3B2C6AD0"/>
    <w:rsid w:val="3B5129DA"/>
    <w:rsid w:val="3B6273BD"/>
    <w:rsid w:val="3B7339AE"/>
    <w:rsid w:val="3B7B756F"/>
    <w:rsid w:val="3B8E1539"/>
    <w:rsid w:val="3B985F13"/>
    <w:rsid w:val="3BA23236"/>
    <w:rsid w:val="3BA24FE4"/>
    <w:rsid w:val="3BA743A8"/>
    <w:rsid w:val="3BB41016"/>
    <w:rsid w:val="3BB56AC5"/>
    <w:rsid w:val="3BB84807"/>
    <w:rsid w:val="3BBA232E"/>
    <w:rsid w:val="3BC60CD2"/>
    <w:rsid w:val="3BC761E8"/>
    <w:rsid w:val="3BD71E31"/>
    <w:rsid w:val="3BE178BA"/>
    <w:rsid w:val="3BE525AB"/>
    <w:rsid w:val="3BF84C04"/>
    <w:rsid w:val="3BFE66BE"/>
    <w:rsid w:val="3C1C08F2"/>
    <w:rsid w:val="3C211DCF"/>
    <w:rsid w:val="3C2564BB"/>
    <w:rsid w:val="3C267A21"/>
    <w:rsid w:val="3C4E0CC8"/>
    <w:rsid w:val="3C5462DE"/>
    <w:rsid w:val="3C611F09"/>
    <w:rsid w:val="3C6C2C0E"/>
    <w:rsid w:val="3C7D6B4A"/>
    <w:rsid w:val="3C862210"/>
    <w:rsid w:val="3C8D17F0"/>
    <w:rsid w:val="3C973B2B"/>
    <w:rsid w:val="3CAE37CE"/>
    <w:rsid w:val="3CBA010B"/>
    <w:rsid w:val="3CD13DD3"/>
    <w:rsid w:val="3CD76F0F"/>
    <w:rsid w:val="3CE67488"/>
    <w:rsid w:val="3CEA4BE6"/>
    <w:rsid w:val="3CF61143"/>
    <w:rsid w:val="3CF65E3F"/>
    <w:rsid w:val="3D0C6BB9"/>
    <w:rsid w:val="3D171054"/>
    <w:rsid w:val="3D255ECD"/>
    <w:rsid w:val="3D3659E4"/>
    <w:rsid w:val="3D3D2A3E"/>
    <w:rsid w:val="3D600CB3"/>
    <w:rsid w:val="3D673DEF"/>
    <w:rsid w:val="3D7D2741"/>
    <w:rsid w:val="3D7E3A13"/>
    <w:rsid w:val="3D826E7B"/>
    <w:rsid w:val="3D874491"/>
    <w:rsid w:val="3D8F0DA7"/>
    <w:rsid w:val="3D94095C"/>
    <w:rsid w:val="3D941E11"/>
    <w:rsid w:val="3D995F73"/>
    <w:rsid w:val="3DA60DBB"/>
    <w:rsid w:val="3DB93C3A"/>
    <w:rsid w:val="3DC06241"/>
    <w:rsid w:val="3DD0505D"/>
    <w:rsid w:val="3DE511B8"/>
    <w:rsid w:val="3DEB1AF2"/>
    <w:rsid w:val="3DFA2EB5"/>
    <w:rsid w:val="3E043D34"/>
    <w:rsid w:val="3E2241BA"/>
    <w:rsid w:val="3E281F2B"/>
    <w:rsid w:val="3E285C74"/>
    <w:rsid w:val="3E370A67"/>
    <w:rsid w:val="3E3B007D"/>
    <w:rsid w:val="3E4B1963"/>
    <w:rsid w:val="3E522CF1"/>
    <w:rsid w:val="3E5B7B72"/>
    <w:rsid w:val="3E5D1061"/>
    <w:rsid w:val="3E600908"/>
    <w:rsid w:val="3E636CAD"/>
    <w:rsid w:val="3E661DBB"/>
    <w:rsid w:val="3E6B790F"/>
    <w:rsid w:val="3E6C5ED5"/>
    <w:rsid w:val="3E7147C4"/>
    <w:rsid w:val="3EA00C1E"/>
    <w:rsid w:val="3EA12316"/>
    <w:rsid w:val="3EA529B7"/>
    <w:rsid w:val="3EA846BF"/>
    <w:rsid w:val="3EB219E2"/>
    <w:rsid w:val="3EC05F47"/>
    <w:rsid w:val="3EC7548D"/>
    <w:rsid w:val="3ED96F6F"/>
    <w:rsid w:val="3EDB2CE7"/>
    <w:rsid w:val="3EDE7B4C"/>
    <w:rsid w:val="3EEA117C"/>
    <w:rsid w:val="3EF82F39"/>
    <w:rsid w:val="3F00799E"/>
    <w:rsid w:val="3F0118D9"/>
    <w:rsid w:val="3F0F473E"/>
    <w:rsid w:val="3F141D55"/>
    <w:rsid w:val="3F220916"/>
    <w:rsid w:val="3F2B709E"/>
    <w:rsid w:val="3F2D1069"/>
    <w:rsid w:val="3F402B4A"/>
    <w:rsid w:val="3F450160"/>
    <w:rsid w:val="3F4A7E6C"/>
    <w:rsid w:val="3F4F0FDF"/>
    <w:rsid w:val="3F6A7BC7"/>
    <w:rsid w:val="3F6D00E4"/>
    <w:rsid w:val="3F6E5909"/>
    <w:rsid w:val="3F77294A"/>
    <w:rsid w:val="3F830C89"/>
    <w:rsid w:val="3FA154AA"/>
    <w:rsid w:val="3FBB48C6"/>
    <w:rsid w:val="3FBE569A"/>
    <w:rsid w:val="3FC613D9"/>
    <w:rsid w:val="3FDB6D16"/>
    <w:rsid w:val="3FE040B5"/>
    <w:rsid w:val="3FE61943"/>
    <w:rsid w:val="3FEC6B6A"/>
    <w:rsid w:val="3FF316C7"/>
    <w:rsid w:val="3FF37BBC"/>
    <w:rsid w:val="400E0E9A"/>
    <w:rsid w:val="401E2A72"/>
    <w:rsid w:val="402B37FA"/>
    <w:rsid w:val="40520D87"/>
    <w:rsid w:val="40552625"/>
    <w:rsid w:val="40580367"/>
    <w:rsid w:val="405D772B"/>
    <w:rsid w:val="405F16F6"/>
    <w:rsid w:val="40610FCA"/>
    <w:rsid w:val="406B1E48"/>
    <w:rsid w:val="406D3E12"/>
    <w:rsid w:val="407B27E6"/>
    <w:rsid w:val="407F58F4"/>
    <w:rsid w:val="408657BE"/>
    <w:rsid w:val="40A8309D"/>
    <w:rsid w:val="40A95921"/>
    <w:rsid w:val="40AB0497"/>
    <w:rsid w:val="40AF61D9"/>
    <w:rsid w:val="40B3734D"/>
    <w:rsid w:val="40B97948"/>
    <w:rsid w:val="40CD467D"/>
    <w:rsid w:val="40D94CFF"/>
    <w:rsid w:val="40E9411F"/>
    <w:rsid w:val="40FE4A6B"/>
    <w:rsid w:val="41016309"/>
    <w:rsid w:val="411C72F5"/>
    <w:rsid w:val="41210759"/>
    <w:rsid w:val="412344D1"/>
    <w:rsid w:val="412A1D04"/>
    <w:rsid w:val="413E093E"/>
    <w:rsid w:val="41481F37"/>
    <w:rsid w:val="4148218A"/>
    <w:rsid w:val="414A533D"/>
    <w:rsid w:val="414A7CB0"/>
    <w:rsid w:val="4153125A"/>
    <w:rsid w:val="416A0352"/>
    <w:rsid w:val="41932688"/>
    <w:rsid w:val="41954D8C"/>
    <w:rsid w:val="41A361FB"/>
    <w:rsid w:val="41AE376E"/>
    <w:rsid w:val="41B94E35"/>
    <w:rsid w:val="41C20D1A"/>
    <w:rsid w:val="41D3573A"/>
    <w:rsid w:val="41D44F29"/>
    <w:rsid w:val="41D61543"/>
    <w:rsid w:val="41DB2FFE"/>
    <w:rsid w:val="41DD6AD4"/>
    <w:rsid w:val="41DE0A1F"/>
    <w:rsid w:val="41E33C60"/>
    <w:rsid w:val="41E41EB2"/>
    <w:rsid w:val="41EF2605"/>
    <w:rsid w:val="420C31B7"/>
    <w:rsid w:val="42154762"/>
    <w:rsid w:val="42177E0D"/>
    <w:rsid w:val="421F2EEA"/>
    <w:rsid w:val="42204EB5"/>
    <w:rsid w:val="423544BC"/>
    <w:rsid w:val="42360234"/>
    <w:rsid w:val="424E1A22"/>
    <w:rsid w:val="42576B28"/>
    <w:rsid w:val="426254CD"/>
    <w:rsid w:val="42664FBD"/>
    <w:rsid w:val="42674891"/>
    <w:rsid w:val="42694E79"/>
    <w:rsid w:val="427447C8"/>
    <w:rsid w:val="428E0070"/>
    <w:rsid w:val="429F0470"/>
    <w:rsid w:val="42BC6F7D"/>
    <w:rsid w:val="42C1425F"/>
    <w:rsid w:val="42C76B3B"/>
    <w:rsid w:val="42CB6BCE"/>
    <w:rsid w:val="42D24401"/>
    <w:rsid w:val="42D44852"/>
    <w:rsid w:val="42D96731"/>
    <w:rsid w:val="42F51E9D"/>
    <w:rsid w:val="42FE0D52"/>
    <w:rsid w:val="43000F6E"/>
    <w:rsid w:val="431C2480"/>
    <w:rsid w:val="43202F27"/>
    <w:rsid w:val="432C24B3"/>
    <w:rsid w:val="432E715D"/>
    <w:rsid w:val="433B01F8"/>
    <w:rsid w:val="434370AD"/>
    <w:rsid w:val="434F5A51"/>
    <w:rsid w:val="43882D11"/>
    <w:rsid w:val="43994F1E"/>
    <w:rsid w:val="43A55671"/>
    <w:rsid w:val="43AA712C"/>
    <w:rsid w:val="43B27D8E"/>
    <w:rsid w:val="43C0001A"/>
    <w:rsid w:val="43C743B1"/>
    <w:rsid w:val="43CC2B9A"/>
    <w:rsid w:val="43EE7018"/>
    <w:rsid w:val="43F65ECD"/>
    <w:rsid w:val="440525B4"/>
    <w:rsid w:val="440E10EE"/>
    <w:rsid w:val="440F6F8F"/>
    <w:rsid w:val="44223166"/>
    <w:rsid w:val="44242A3A"/>
    <w:rsid w:val="44246EDE"/>
    <w:rsid w:val="44330ECF"/>
    <w:rsid w:val="44332C7D"/>
    <w:rsid w:val="443D58AA"/>
    <w:rsid w:val="44442D6E"/>
    <w:rsid w:val="444F0B46"/>
    <w:rsid w:val="444F55DD"/>
    <w:rsid w:val="4456696C"/>
    <w:rsid w:val="445A645C"/>
    <w:rsid w:val="445B21D4"/>
    <w:rsid w:val="44607A6E"/>
    <w:rsid w:val="44654E01"/>
    <w:rsid w:val="44702B3E"/>
    <w:rsid w:val="44780FD8"/>
    <w:rsid w:val="447D65EE"/>
    <w:rsid w:val="4489511F"/>
    <w:rsid w:val="44901E7E"/>
    <w:rsid w:val="449851D6"/>
    <w:rsid w:val="449D459A"/>
    <w:rsid w:val="449F7D81"/>
    <w:rsid w:val="44A46AC9"/>
    <w:rsid w:val="44AB6CB7"/>
    <w:rsid w:val="44B32413"/>
    <w:rsid w:val="44B71B00"/>
    <w:rsid w:val="44B918C1"/>
    <w:rsid w:val="44C10289"/>
    <w:rsid w:val="44C61B6C"/>
    <w:rsid w:val="44D77AAC"/>
    <w:rsid w:val="44DF3D8B"/>
    <w:rsid w:val="44E42B11"/>
    <w:rsid w:val="44E73A68"/>
    <w:rsid w:val="44ED72D0"/>
    <w:rsid w:val="45080DD4"/>
    <w:rsid w:val="450A60D4"/>
    <w:rsid w:val="451E56DB"/>
    <w:rsid w:val="45252F0E"/>
    <w:rsid w:val="45254284"/>
    <w:rsid w:val="452F78E8"/>
    <w:rsid w:val="45321187"/>
    <w:rsid w:val="453749EF"/>
    <w:rsid w:val="45486BFC"/>
    <w:rsid w:val="45603F46"/>
    <w:rsid w:val="456357E4"/>
    <w:rsid w:val="4568009D"/>
    <w:rsid w:val="45690535"/>
    <w:rsid w:val="457E617A"/>
    <w:rsid w:val="45822D6C"/>
    <w:rsid w:val="458D79A0"/>
    <w:rsid w:val="459F48A0"/>
    <w:rsid w:val="45AF0A29"/>
    <w:rsid w:val="45B002FD"/>
    <w:rsid w:val="45C344D5"/>
    <w:rsid w:val="45C83899"/>
    <w:rsid w:val="45D67D64"/>
    <w:rsid w:val="45E76415"/>
    <w:rsid w:val="45F203A1"/>
    <w:rsid w:val="45F43C56"/>
    <w:rsid w:val="45F4643C"/>
    <w:rsid w:val="45F823D0"/>
    <w:rsid w:val="45F91CA4"/>
    <w:rsid w:val="460348D1"/>
    <w:rsid w:val="46036521"/>
    <w:rsid w:val="460A5C60"/>
    <w:rsid w:val="461A0599"/>
    <w:rsid w:val="461E795D"/>
    <w:rsid w:val="461F45F4"/>
    <w:rsid w:val="46207231"/>
    <w:rsid w:val="46244F73"/>
    <w:rsid w:val="463B050F"/>
    <w:rsid w:val="4642189D"/>
    <w:rsid w:val="46456C98"/>
    <w:rsid w:val="464D3DB3"/>
    <w:rsid w:val="46546F3A"/>
    <w:rsid w:val="465F41FD"/>
    <w:rsid w:val="46640ECD"/>
    <w:rsid w:val="466A4950"/>
    <w:rsid w:val="467852BF"/>
    <w:rsid w:val="467E1E91"/>
    <w:rsid w:val="467E4117"/>
    <w:rsid w:val="467F664E"/>
    <w:rsid w:val="468D45CC"/>
    <w:rsid w:val="468E4AE3"/>
    <w:rsid w:val="46AB7A83"/>
    <w:rsid w:val="46AC6D17"/>
    <w:rsid w:val="46B300A5"/>
    <w:rsid w:val="46BF4C9C"/>
    <w:rsid w:val="46C74B20"/>
    <w:rsid w:val="46D0726F"/>
    <w:rsid w:val="46E91D19"/>
    <w:rsid w:val="46EB30F9"/>
    <w:rsid w:val="46F661E4"/>
    <w:rsid w:val="46F72688"/>
    <w:rsid w:val="470449DA"/>
    <w:rsid w:val="4712301E"/>
    <w:rsid w:val="4723522B"/>
    <w:rsid w:val="472B40E0"/>
    <w:rsid w:val="47321912"/>
    <w:rsid w:val="473867FC"/>
    <w:rsid w:val="474402F6"/>
    <w:rsid w:val="47451645"/>
    <w:rsid w:val="47525B10"/>
    <w:rsid w:val="47543636"/>
    <w:rsid w:val="47694C08"/>
    <w:rsid w:val="476A10AC"/>
    <w:rsid w:val="4770243A"/>
    <w:rsid w:val="47743CD8"/>
    <w:rsid w:val="479A3D49"/>
    <w:rsid w:val="47A14FC9"/>
    <w:rsid w:val="47B57E4D"/>
    <w:rsid w:val="47B95B8F"/>
    <w:rsid w:val="47CD163B"/>
    <w:rsid w:val="47D23DB4"/>
    <w:rsid w:val="48224E01"/>
    <w:rsid w:val="484D0086"/>
    <w:rsid w:val="484D3044"/>
    <w:rsid w:val="48600960"/>
    <w:rsid w:val="48685367"/>
    <w:rsid w:val="48686106"/>
    <w:rsid w:val="48747A31"/>
    <w:rsid w:val="487B5A68"/>
    <w:rsid w:val="487F59B9"/>
    <w:rsid w:val="48834E50"/>
    <w:rsid w:val="48852288"/>
    <w:rsid w:val="4893018E"/>
    <w:rsid w:val="489839F7"/>
    <w:rsid w:val="489F2FD7"/>
    <w:rsid w:val="48A51C70"/>
    <w:rsid w:val="48B56357"/>
    <w:rsid w:val="48C06AA9"/>
    <w:rsid w:val="48C90054"/>
    <w:rsid w:val="48F549A5"/>
    <w:rsid w:val="48FE3445"/>
    <w:rsid w:val="4900334A"/>
    <w:rsid w:val="4907292A"/>
    <w:rsid w:val="490746D8"/>
    <w:rsid w:val="49156307"/>
    <w:rsid w:val="491F7C74"/>
    <w:rsid w:val="492822E2"/>
    <w:rsid w:val="493279A7"/>
    <w:rsid w:val="49463453"/>
    <w:rsid w:val="494871CB"/>
    <w:rsid w:val="494B2817"/>
    <w:rsid w:val="49575660"/>
    <w:rsid w:val="495F388A"/>
    <w:rsid w:val="49627B61"/>
    <w:rsid w:val="496C3162"/>
    <w:rsid w:val="49757894"/>
    <w:rsid w:val="49787384"/>
    <w:rsid w:val="498A77E3"/>
    <w:rsid w:val="498E0956"/>
    <w:rsid w:val="49A2349F"/>
    <w:rsid w:val="49A44445"/>
    <w:rsid w:val="49CF169A"/>
    <w:rsid w:val="49D40A5E"/>
    <w:rsid w:val="49D7054F"/>
    <w:rsid w:val="49E15DA4"/>
    <w:rsid w:val="49EA64D4"/>
    <w:rsid w:val="49EF5898"/>
    <w:rsid w:val="4A0C170B"/>
    <w:rsid w:val="4A1672C9"/>
    <w:rsid w:val="4A2844C6"/>
    <w:rsid w:val="4A331C29"/>
    <w:rsid w:val="4A547DF1"/>
    <w:rsid w:val="4A5C0EF6"/>
    <w:rsid w:val="4A5D4EF8"/>
    <w:rsid w:val="4A633B90"/>
    <w:rsid w:val="4A713BA9"/>
    <w:rsid w:val="4A7D34F5"/>
    <w:rsid w:val="4A9F5C76"/>
    <w:rsid w:val="4AD52CE0"/>
    <w:rsid w:val="4ADB7BCB"/>
    <w:rsid w:val="4AF173EE"/>
    <w:rsid w:val="4AF528F5"/>
    <w:rsid w:val="4AFB06DE"/>
    <w:rsid w:val="4AFF1B0B"/>
    <w:rsid w:val="4B0A12D3"/>
    <w:rsid w:val="4B1747FF"/>
    <w:rsid w:val="4B1A0571"/>
    <w:rsid w:val="4B1F03FF"/>
    <w:rsid w:val="4B3519D1"/>
    <w:rsid w:val="4B46773A"/>
    <w:rsid w:val="4B490FDF"/>
    <w:rsid w:val="4B5D43C3"/>
    <w:rsid w:val="4B826031"/>
    <w:rsid w:val="4BAE52DF"/>
    <w:rsid w:val="4BCA052C"/>
    <w:rsid w:val="4BCF5981"/>
    <w:rsid w:val="4BE17463"/>
    <w:rsid w:val="4C152E18"/>
    <w:rsid w:val="4C1930A0"/>
    <w:rsid w:val="4C272DFE"/>
    <w:rsid w:val="4C341C88"/>
    <w:rsid w:val="4C371778"/>
    <w:rsid w:val="4C3E475F"/>
    <w:rsid w:val="4C4179C2"/>
    <w:rsid w:val="4C4A325A"/>
    <w:rsid w:val="4C5E4F57"/>
    <w:rsid w:val="4C771B75"/>
    <w:rsid w:val="4C7C718B"/>
    <w:rsid w:val="4C8F2D15"/>
    <w:rsid w:val="4C9A41A0"/>
    <w:rsid w:val="4CB61830"/>
    <w:rsid w:val="4CB86415"/>
    <w:rsid w:val="4CBB2B97"/>
    <w:rsid w:val="4CBD7ED0"/>
    <w:rsid w:val="4CC0176E"/>
    <w:rsid w:val="4CF662CC"/>
    <w:rsid w:val="4CF80F08"/>
    <w:rsid w:val="4CFA4C80"/>
    <w:rsid w:val="4CFB6302"/>
    <w:rsid w:val="4CFD651E"/>
    <w:rsid w:val="4D01600E"/>
    <w:rsid w:val="4D1D096E"/>
    <w:rsid w:val="4D221AE1"/>
    <w:rsid w:val="4D2515D1"/>
    <w:rsid w:val="4D297313"/>
    <w:rsid w:val="4D2B308B"/>
    <w:rsid w:val="4D2B5102"/>
    <w:rsid w:val="4D2C295F"/>
    <w:rsid w:val="4D330192"/>
    <w:rsid w:val="4D3B00A3"/>
    <w:rsid w:val="4D3F08E5"/>
    <w:rsid w:val="4D492C42"/>
    <w:rsid w:val="4D553C64"/>
    <w:rsid w:val="4D616AAD"/>
    <w:rsid w:val="4D6C7200"/>
    <w:rsid w:val="4D717553"/>
    <w:rsid w:val="4D7F5185"/>
    <w:rsid w:val="4D9C1893"/>
    <w:rsid w:val="4DA82987"/>
    <w:rsid w:val="4DAF7614"/>
    <w:rsid w:val="4DB03590"/>
    <w:rsid w:val="4DB12E65"/>
    <w:rsid w:val="4DB21EB1"/>
    <w:rsid w:val="4DB27309"/>
    <w:rsid w:val="4DD52FF7"/>
    <w:rsid w:val="4DD5496A"/>
    <w:rsid w:val="4DDA6459"/>
    <w:rsid w:val="4DDA776A"/>
    <w:rsid w:val="4DE60D60"/>
    <w:rsid w:val="4E0F6509"/>
    <w:rsid w:val="4E1D1A68"/>
    <w:rsid w:val="4E200716"/>
    <w:rsid w:val="4E3A10AC"/>
    <w:rsid w:val="4E3C6BD2"/>
    <w:rsid w:val="4E4B72E5"/>
    <w:rsid w:val="4E516261"/>
    <w:rsid w:val="4E533B10"/>
    <w:rsid w:val="4E571C5E"/>
    <w:rsid w:val="4E612ADD"/>
    <w:rsid w:val="4E862690"/>
    <w:rsid w:val="4E882FA1"/>
    <w:rsid w:val="4E8D742E"/>
    <w:rsid w:val="4E8F764A"/>
    <w:rsid w:val="4EBC7D13"/>
    <w:rsid w:val="4EC56BC8"/>
    <w:rsid w:val="4EC77E93"/>
    <w:rsid w:val="4ECE2EEB"/>
    <w:rsid w:val="4ED24BC6"/>
    <w:rsid w:val="4ED84B4D"/>
    <w:rsid w:val="4EDC5C58"/>
    <w:rsid w:val="4EF37BD9"/>
    <w:rsid w:val="4F0E056F"/>
    <w:rsid w:val="4F2064F4"/>
    <w:rsid w:val="4F271D3E"/>
    <w:rsid w:val="4F284F40"/>
    <w:rsid w:val="4F3F683D"/>
    <w:rsid w:val="4F53601C"/>
    <w:rsid w:val="4F6374DE"/>
    <w:rsid w:val="4F6B5360"/>
    <w:rsid w:val="4F8627FB"/>
    <w:rsid w:val="4F8A3D9F"/>
    <w:rsid w:val="4F95534D"/>
    <w:rsid w:val="4FB07878"/>
    <w:rsid w:val="4FBA06F6"/>
    <w:rsid w:val="4FBF7ABB"/>
    <w:rsid w:val="4FC155E1"/>
    <w:rsid w:val="4FCD042A"/>
    <w:rsid w:val="4FD35314"/>
    <w:rsid w:val="4FDA66A3"/>
    <w:rsid w:val="4FDF63AF"/>
    <w:rsid w:val="4FFF25AD"/>
    <w:rsid w:val="50305F10"/>
    <w:rsid w:val="504F52E3"/>
    <w:rsid w:val="5052092F"/>
    <w:rsid w:val="50637001"/>
    <w:rsid w:val="506B19F1"/>
    <w:rsid w:val="507A6580"/>
    <w:rsid w:val="507C775A"/>
    <w:rsid w:val="508C257C"/>
    <w:rsid w:val="508E5E86"/>
    <w:rsid w:val="508F56DF"/>
    <w:rsid w:val="5095081C"/>
    <w:rsid w:val="50A84DAD"/>
    <w:rsid w:val="50AC0B85"/>
    <w:rsid w:val="50B25872"/>
    <w:rsid w:val="50B75F83"/>
    <w:rsid w:val="50B96C00"/>
    <w:rsid w:val="50C22630"/>
    <w:rsid w:val="50E60CD1"/>
    <w:rsid w:val="50F419E6"/>
    <w:rsid w:val="50F47C38"/>
    <w:rsid w:val="50FD12C7"/>
    <w:rsid w:val="510065DD"/>
    <w:rsid w:val="51023107"/>
    <w:rsid w:val="51145BE4"/>
    <w:rsid w:val="51183927"/>
    <w:rsid w:val="511A58F1"/>
    <w:rsid w:val="511D718F"/>
    <w:rsid w:val="512C1180"/>
    <w:rsid w:val="512E4EF8"/>
    <w:rsid w:val="5154181C"/>
    <w:rsid w:val="51667392"/>
    <w:rsid w:val="516D1FD0"/>
    <w:rsid w:val="5176064D"/>
    <w:rsid w:val="51840FBC"/>
    <w:rsid w:val="5184720E"/>
    <w:rsid w:val="518F583E"/>
    <w:rsid w:val="51AC3A8A"/>
    <w:rsid w:val="51B82A14"/>
    <w:rsid w:val="51C4585C"/>
    <w:rsid w:val="51C55104"/>
    <w:rsid w:val="51FD2B1C"/>
    <w:rsid w:val="51FF4AE6"/>
    <w:rsid w:val="52075749"/>
    <w:rsid w:val="52171E30"/>
    <w:rsid w:val="521F2920"/>
    <w:rsid w:val="52224331"/>
    <w:rsid w:val="52263E21"/>
    <w:rsid w:val="52281131"/>
    <w:rsid w:val="523227C6"/>
    <w:rsid w:val="523D116B"/>
    <w:rsid w:val="5246001F"/>
    <w:rsid w:val="52495D62"/>
    <w:rsid w:val="525C5A95"/>
    <w:rsid w:val="525E543F"/>
    <w:rsid w:val="52603043"/>
    <w:rsid w:val="528448AD"/>
    <w:rsid w:val="529813CF"/>
    <w:rsid w:val="529945F3"/>
    <w:rsid w:val="52AF3E2F"/>
    <w:rsid w:val="52B508F7"/>
    <w:rsid w:val="52CA29FF"/>
    <w:rsid w:val="52E141EC"/>
    <w:rsid w:val="52F061DD"/>
    <w:rsid w:val="52F53C2A"/>
    <w:rsid w:val="52F65EE9"/>
    <w:rsid w:val="52F91536"/>
    <w:rsid w:val="53004672"/>
    <w:rsid w:val="53073C53"/>
    <w:rsid w:val="53211C20"/>
    <w:rsid w:val="533B1B4E"/>
    <w:rsid w:val="533F163E"/>
    <w:rsid w:val="53514ECE"/>
    <w:rsid w:val="537D42F8"/>
    <w:rsid w:val="538739F4"/>
    <w:rsid w:val="538E2A85"/>
    <w:rsid w:val="53940307"/>
    <w:rsid w:val="539F0FE9"/>
    <w:rsid w:val="53A07C03"/>
    <w:rsid w:val="53AC0BFD"/>
    <w:rsid w:val="53B237F3"/>
    <w:rsid w:val="53C733E2"/>
    <w:rsid w:val="53C9715A"/>
    <w:rsid w:val="53D278B5"/>
    <w:rsid w:val="53E207B0"/>
    <w:rsid w:val="53E775E0"/>
    <w:rsid w:val="53F21C60"/>
    <w:rsid w:val="53F3339E"/>
    <w:rsid w:val="541A1764"/>
    <w:rsid w:val="543A3BB4"/>
    <w:rsid w:val="54714642"/>
    <w:rsid w:val="547E7F44"/>
    <w:rsid w:val="54847A5D"/>
    <w:rsid w:val="54857A3D"/>
    <w:rsid w:val="5486329D"/>
    <w:rsid w:val="54901A26"/>
    <w:rsid w:val="54947768"/>
    <w:rsid w:val="54AA034C"/>
    <w:rsid w:val="54AD4386"/>
    <w:rsid w:val="54AE61A9"/>
    <w:rsid w:val="54BA7EAD"/>
    <w:rsid w:val="54C662FF"/>
    <w:rsid w:val="54DF6509"/>
    <w:rsid w:val="54F1396F"/>
    <w:rsid w:val="54F70963"/>
    <w:rsid w:val="5503044A"/>
    <w:rsid w:val="55172147"/>
    <w:rsid w:val="551B5793"/>
    <w:rsid w:val="551E34D6"/>
    <w:rsid w:val="55346855"/>
    <w:rsid w:val="55432F3C"/>
    <w:rsid w:val="55442D10"/>
    <w:rsid w:val="555111B5"/>
    <w:rsid w:val="555946E3"/>
    <w:rsid w:val="555B0286"/>
    <w:rsid w:val="5560764A"/>
    <w:rsid w:val="55675971"/>
    <w:rsid w:val="55782471"/>
    <w:rsid w:val="557B5277"/>
    <w:rsid w:val="55826059"/>
    <w:rsid w:val="558F6181"/>
    <w:rsid w:val="55AA648C"/>
    <w:rsid w:val="55B55BE8"/>
    <w:rsid w:val="55B94FAC"/>
    <w:rsid w:val="55C75900"/>
    <w:rsid w:val="55CC21BF"/>
    <w:rsid w:val="55CC5DDD"/>
    <w:rsid w:val="55D5350A"/>
    <w:rsid w:val="55D600BF"/>
    <w:rsid w:val="55D668A1"/>
    <w:rsid w:val="55E0078B"/>
    <w:rsid w:val="55E36E1D"/>
    <w:rsid w:val="56102E1E"/>
    <w:rsid w:val="56151937"/>
    <w:rsid w:val="561B14C6"/>
    <w:rsid w:val="561F3061"/>
    <w:rsid w:val="5630526E"/>
    <w:rsid w:val="56321BBE"/>
    <w:rsid w:val="56384123"/>
    <w:rsid w:val="564515C1"/>
    <w:rsid w:val="564B654C"/>
    <w:rsid w:val="565151E5"/>
    <w:rsid w:val="56563ADF"/>
    <w:rsid w:val="565847C5"/>
    <w:rsid w:val="56662E78"/>
    <w:rsid w:val="566B44F9"/>
    <w:rsid w:val="56725887"/>
    <w:rsid w:val="5699657E"/>
    <w:rsid w:val="56A65531"/>
    <w:rsid w:val="56A906C7"/>
    <w:rsid w:val="56B714EC"/>
    <w:rsid w:val="56CB31E9"/>
    <w:rsid w:val="56CB4F43"/>
    <w:rsid w:val="56E9366F"/>
    <w:rsid w:val="56ED13B1"/>
    <w:rsid w:val="56F3629C"/>
    <w:rsid w:val="56F40992"/>
    <w:rsid w:val="57081D47"/>
    <w:rsid w:val="570C524E"/>
    <w:rsid w:val="571701DC"/>
    <w:rsid w:val="5717469B"/>
    <w:rsid w:val="57475C4D"/>
    <w:rsid w:val="574F3E1A"/>
    <w:rsid w:val="57530B53"/>
    <w:rsid w:val="575907F5"/>
    <w:rsid w:val="575B456D"/>
    <w:rsid w:val="575E22AF"/>
    <w:rsid w:val="5765128E"/>
    <w:rsid w:val="57811AFA"/>
    <w:rsid w:val="57825F9E"/>
    <w:rsid w:val="57835872"/>
    <w:rsid w:val="578D66F1"/>
    <w:rsid w:val="578E2DE2"/>
    <w:rsid w:val="578F5A75"/>
    <w:rsid w:val="5798124F"/>
    <w:rsid w:val="57B1418D"/>
    <w:rsid w:val="57B27F05"/>
    <w:rsid w:val="57C02622"/>
    <w:rsid w:val="57CC546B"/>
    <w:rsid w:val="57D67F12"/>
    <w:rsid w:val="57EC1669"/>
    <w:rsid w:val="57EF2F07"/>
    <w:rsid w:val="57F00F2E"/>
    <w:rsid w:val="57FB093E"/>
    <w:rsid w:val="581035A9"/>
    <w:rsid w:val="581D136C"/>
    <w:rsid w:val="58215EFA"/>
    <w:rsid w:val="583B5CA3"/>
    <w:rsid w:val="58583623"/>
    <w:rsid w:val="586E207E"/>
    <w:rsid w:val="587177C3"/>
    <w:rsid w:val="58770836"/>
    <w:rsid w:val="587F24DD"/>
    <w:rsid w:val="587F428B"/>
    <w:rsid w:val="588C0756"/>
    <w:rsid w:val="588E44CE"/>
    <w:rsid w:val="58A40196"/>
    <w:rsid w:val="58A67A6A"/>
    <w:rsid w:val="58A81A34"/>
    <w:rsid w:val="58A91308"/>
    <w:rsid w:val="58B51F19"/>
    <w:rsid w:val="58BA52C3"/>
    <w:rsid w:val="58D850D3"/>
    <w:rsid w:val="58FA1B64"/>
    <w:rsid w:val="5903310E"/>
    <w:rsid w:val="591405FA"/>
    <w:rsid w:val="591930C3"/>
    <w:rsid w:val="592F7A5F"/>
    <w:rsid w:val="593B28A8"/>
    <w:rsid w:val="59535037"/>
    <w:rsid w:val="595828E8"/>
    <w:rsid w:val="596D61C1"/>
    <w:rsid w:val="59777658"/>
    <w:rsid w:val="597853E0"/>
    <w:rsid w:val="597D6F92"/>
    <w:rsid w:val="597E09E7"/>
    <w:rsid w:val="597E40F8"/>
    <w:rsid w:val="59914276"/>
    <w:rsid w:val="599975CF"/>
    <w:rsid w:val="59A07D9A"/>
    <w:rsid w:val="59B144D1"/>
    <w:rsid w:val="59B817D3"/>
    <w:rsid w:val="59BC1723"/>
    <w:rsid w:val="59E20F76"/>
    <w:rsid w:val="59EC76FE"/>
    <w:rsid w:val="59F760A3"/>
    <w:rsid w:val="5A0A4028"/>
    <w:rsid w:val="5A0E58C7"/>
    <w:rsid w:val="5A160C1F"/>
    <w:rsid w:val="5A19427B"/>
    <w:rsid w:val="5A1C482A"/>
    <w:rsid w:val="5A2C21F1"/>
    <w:rsid w:val="5A3C6FC5"/>
    <w:rsid w:val="5A3D7F5A"/>
    <w:rsid w:val="5A4536A8"/>
    <w:rsid w:val="5A504F51"/>
    <w:rsid w:val="5A6574B1"/>
    <w:rsid w:val="5A6C1447"/>
    <w:rsid w:val="5A7013AB"/>
    <w:rsid w:val="5A715E56"/>
    <w:rsid w:val="5A753287"/>
    <w:rsid w:val="5A814CA9"/>
    <w:rsid w:val="5AA1673B"/>
    <w:rsid w:val="5AAB580B"/>
    <w:rsid w:val="5AB04370"/>
    <w:rsid w:val="5AB83A84"/>
    <w:rsid w:val="5AC02939"/>
    <w:rsid w:val="5AC468CD"/>
    <w:rsid w:val="5AE14D89"/>
    <w:rsid w:val="5AE623A0"/>
    <w:rsid w:val="5AE91E90"/>
    <w:rsid w:val="5AF20E4A"/>
    <w:rsid w:val="5AFF3461"/>
    <w:rsid w:val="5B0809A3"/>
    <w:rsid w:val="5B0B62AA"/>
    <w:rsid w:val="5B1C04B7"/>
    <w:rsid w:val="5B200068"/>
    <w:rsid w:val="5B207980"/>
    <w:rsid w:val="5B231846"/>
    <w:rsid w:val="5B307ABF"/>
    <w:rsid w:val="5B362220"/>
    <w:rsid w:val="5B3A093D"/>
    <w:rsid w:val="5B4A632A"/>
    <w:rsid w:val="5B4D241F"/>
    <w:rsid w:val="5B4F2EB6"/>
    <w:rsid w:val="5B583863"/>
    <w:rsid w:val="5B694D7F"/>
    <w:rsid w:val="5B6D2AC1"/>
    <w:rsid w:val="5B7669C2"/>
    <w:rsid w:val="5B773940"/>
    <w:rsid w:val="5B7E766A"/>
    <w:rsid w:val="5B8C73EB"/>
    <w:rsid w:val="5BA87F9D"/>
    <w:rsid w:val="5BB727DA"/>
    <w:rsid w:val="5BBD6C53"/>
    <w:rsid w:val="5BBE331C"/>
    <w:rsid w:val="5BC14BBB"/>
    <w:rsid w:val="5BCC45D6"/>
    <w:rsid w:val="5BEA4CF5"/>
    <w:rsid w:val="5BF22FC6"/>
    <w:rsid w:val="5BF84A80"/>
    <w:rsid w:val="5BFE5B97"/>
    <w:rsid w:val="5C035904"/>
    <w:rsid w:val="5C043425"/>
    <w:rsid w:val="5C0E7FB1"/>
    <w:rsid w:val="5C1D5290"/>
    <w:rsid w:val="5C261656"/>
    <w:rsid w:val="5C2F7D76"/>
    <w:rsid w:val="5C311D40"/>
    <w:rsid w:val="5C3B671B"/>
    <w:rsid w:val="5C3D007D"/>
    <w:rsid w:val="5C423F4D"/>
    <w:rsid w:val="5C606182"/>
    <w:rsid w:val="5C6E5BEF"/>
    <w:rsid w:val="5C702869"/>
    <w:rsid w:val="5C98591B"/>
    <w:rsid w:val="5CB12E81"/>
    <w:rsid w:val="5CBA7F88"/>
    <w:rsid w:val="5CC11316"/>
    <w:rsid w:val="5CD55D14"/>
    <w:rsid w:val="5CDB3A5A"/>
    <w:rsid w:val="5CDF79EE"/>
    <w:rsid w:val="5CE054F0"/>
    <w:rsid w:val="5CE24DE9"/>
    <w:rsid w:val="5D02548B"/>
    <w:rsid w:val="5D066D29"/>
    <w:rsid w:val="5D1F428F"/>
    <w:rsid w:val="5D2F0E85"/>
    <w:rsid w:val="5D4A130C"/>
    <w:rsid w:val="5D5757D7"/>
    <w:rsid w:val="5D607F79"/>
    <w:rsid w:val="5D635F29"/>
    <w:rsid w:val="5D6A6BEF"/>
    <w:rsid w:val="5D6F38AA"/>
    <w:rsid w:val="5D755C5D"/>
    <w:rsid w:val="5D7F38FE"/>
    <w:rsid w:val="5D804D2D"/>
    <w:rsid w:val="5D83037A"/>
    <w:rsid w:val="5D8318C4"/>
    <w:rsid w:val="5D8660BC"/>
    <w:rsid w:val="5D921815"/>
    <w:rsid w:val="5DA327CA"/>
    <w:rsid w:val="5DA6050C"/>
    <w:rsid w:val="5DB46A5E"/>
    <w:rsid w:val="5DCA41FA"/>
    <w:rsid w:val="5DCC2FAA"/>
    <w:rsid w:val="5DCF1811"/>
    <w:rsid w:val="5DD47E86"/>
    <w:rsid w:val="5DED613B"/>
    <w:rsid w:val="5DF64FF0"/>
    <w:rsid w:val="5DF94AE0"/>
    <w:rsid w:val="5DFA32E2"/>
    <w:rsid w:val="5E096584"/>
    <w:rsid w:val="5E0F60B1"/>
    <w:rsid w:val="5E145319"/>
    <w:rsid w:val="5E173BB8"/>
    <w:rsid w:val="5E251431"/>
    <w:rsid w:val="5E285F9C"/>
    <w:rsid w:val="5E316028"/>
    <w:rsid w:val="5E3653EC"/>
    <w:rsid w:val="5E3B4EB0"/>
    <w:rsid w:val="5E412BD5"/>
    <w:rsid w:val="5E531331"/>
    <w:rsid w:val="5E540FCF"/>
    <w:rsid w:val="5E5B4E53"/>
    <w:rsid w:val="5E602469"/>
    <w:rsid w:val="5E68756F"/>
    <w:rsid w:val="5E6B326C"/>
    <w:rsid w:val="5E6D4B86"/>
    <w:rsid w:val="5E7423B8"/>
    <w:rsid w:val="5E7A79CF"/>
    <w:rsid w:val="5E8048B9"/>
    <w:rsid w:val="5E827D40"/>
    <w:rsid w:val="5E8819C0"/>
    <w:rsid w:val="5E9345EC"/>
    <w:rsid w:val="5E9640DD"/>
    <w:rsid w:val="5EA104AD"/>
    <w:rsid w:val="5EA93E10"/>
    <w:rsid w:val="5EAB6C27"/>
    <w:rsid w:val="5ED90201"/>
    <w:rsid w:val="5EDA1C7F"/>
    <w:rsid w:val="5EE035AA"/>
    <w:rsid w:val="5EEC6CF3"/>
    <w:rsid w:val="5EFA466C"/>
    <w:rsid w:val="5F15731E"/>
    <w:rsid w:val="5F16521D"/>
    <w:rsid w:val="5F1C2437"/>
    <w:rsid w:val="5F296CFF"/>
    <w:rsid w:val="5F3F720C"/>
    <w:rsid w:val="5F481CA4"/>
    <w:rsid w:val="5F577D10"/>
    <w:rsid w:val="5F5E475F"/>
    <w:rsid w:val="5F646965"/>
    <w:rsid w:val="5F683CCB"/>
    <w:rsid w:val="5F7C32D2"/>
    <w:rsid w:val="5F853CEC"/>
    <w:rsid w:val="5F881C77"/>
    <w:rsid w:val="5F8D4A8E"/>
    <w:rsid w:val="5F9A5E4E"/>
    <w:rsid w:val="5FA174C6"/>
    <w:rsid w:val="5FB44474"/>
    <w:rsid w:val="5FB449CD"/>
    <w:rsid w:val="5FCD1367"/>
    <w:rsid w:val="5FCD1D80"/>
    <w:rsid w:val="5FCE3C00"/>
    <w:rsid w:val="5FD368E0"/>
    <w:rsid w:val="5FDC772C"/>
    <w:rsid w:val="5FE652C4"/>
    <w:rsid w:val="60035826"/>
    <w:rsid w:val="60065292"/>
    <w:rsid w:val="600A086F"/>
    <w:rsid w:val="6014175D"/>
    <w:rsid w:val="60152602"/>
    <w:rsid w:val="601D2D07"/>
    <w:rsid w:val="60255718"/>
    <w:rsid w:val="602A0F80"/>
    <w:rsid w:val="60336139"/>
    <w:rsid w:val="603B13E0"/>
    <w:rsid w:val="603B4B59"/>
    <w:rsid w:val="60624BBE"/>
    <w:rsid w:val="606A75CF"/>
    <w:rsid w:val="60791F08"/>
    <w:rsid w:val="607B21B4"/>
    <w:rsid w:val="60847A10"/>
    <w:rsid w:val="60854409"/>
    <w:rsid w:val="608F2ABA"/>
    <w:rsid w:val="60932FCA"/>
    <w:rsid w:val="60AC2084"/>
    <w:rsid w:val="60BB7F81"/>
    <w:rsid w:val="60C00AC0"/>
    <w:rsid w:val="60C55510"/>
    <w:rsid w:val="60C6278F"/>
    <w:rsid w:val="60C74A21"/>
    <w:rsid w:val="60C969EB"/>
    <w:rsid w:val="60D16016"/>
    <w:rsid w:val="60DF620F"/>
    <w:rsid w:val="60F17CF0"/>
    <w:rsid w:val="61066396"/>
    <w:rsid w:val="610F0176"/>
    <w:rsid w:val="611539DF"/>
    <w:rsid w:val="61161505"/>
    <w:rsid w:val="61261FAC"/>
    <w:rsid w:val="61296823"/>
    <w:rsid w:val="61330309"/>
    <w:rsid w:val="613C7BA6"/>
    <w:rsid w:val="61412A26"/>
    <w:rsid w:val="615F3FDE"/>
    <w:rsid w:val="616365BA"/>
    <w:rsid w:val="616B7B35"/>
    <w:rsid w:val="617A1A94"/>
    <w:rsid w:val="618E3791"/>
    <w:rsid w:val="61A94127"/>
    <w:rsid w:val="61AB1547"/>
    <w:rsid w:val="61AE5BE1"/>
    <w:rsid w:val="61AF5DE8"/>
    <w:rsid w:val="61B825BC"/>
    <w:rsid w:val="61C251E9"/>
    <w:rsid w:val="61CC5522"/>
    <w:rsid w:val="61D45648"/>
    <w:rsid w:val="61D814EE"/>
    <w:rsid w:val="61D92C5E"/>
    <w:rsid w:val="61D94C85"/>
    <w:rsid w:val="61DB4C28"/>
    <w:rsid w:val="61E6537B"/>
    <w:rsid w:val="61E77036"/>
    <w:rsid w:val="61E909C7"/>
    <w:rsid w:val="62051CA5"/>
    <w:rsid w:val="620C681E"/>
    <w:rsid w:val="620D46B6"/>
    <w:rsid w:val="62165C60"/>
    <w:rsid w:val="621C4C1B"/>
    <w:rsid w:val="622540F5"/>
    <w:rsid w:val="622B0FE0"/>
    <w:rsid w:val="623205C0"/>
    <w:rsid w:val="623600B0"/>
    <w:rsid w:val="624C7A0B"/>
    <w:rsid w:val="624F6F55"/>
    <w:rsid w:val="625422E5"/>
    <w:rsid w:val="625D29E9"/>
    <w:rsid w:val="625E7607"/>
    <w:rsid w:val="6263077A"/>
    <w:rsid w:val="62703EA6"/>
    <w:rsid w:val="62782028"/>
    <w:rsid w:val="627A696C"/>
    <w:rsid w:val="62853BC4"/>
    <w:rsid w:val="62966DA1"/>
    <w:rsid w:val="62980E91"/>
    <w:rsid w:val="629E5C56"/>
    <w:rsid w:val="62CD0461"/>
    <w:rsid w:val="62EF64B1"/>
    <w:rsid w:val="63070BFB"/>
    <w:rsid w:val="630755A9"/>
    <w:rsid w:val="63141A74"/>
    <w:rsid w:val="631640B1"/>
    <w:rsid w:val="631D301E"/>
    <w:rsid w:val="631E435E"/>
    <w:rsid w:val="63316ACA"/>
    <w:rsid w:val="63330FFD"/>
    <w:rsid w:val="63332842"/>
    <w:rsid w:val="63377C30"/>
    <w:rsid w:val="63414F5F"/>
    <w:rsid w:val="635527B8"/>
    <w:rsid w:val="635D78BF"/>
    <w:rsid w:val="6362757D"/>
    <w:rsid w:val="63676048"/>
    <w:rsid w:val="63765739"/>
    <w:rsid w:val="63870498"/>
    <w:rsid w:val="63892462"/>
    <w:rsid w:val="638F4BFB"/>
    <w:rsid w:val="63950E07"/>
    <w:rsid w:val="639826A5"/>
    <w:rsid w:val="63B75733"/>
    <w:rsid w:val="63B75C6E"/>
    <w:rsid w:val="63BF6FD1"/>
    <w:rsid w:val="63C24D92"/>
    <w:rsid w:val="63D80CF3"/>
    <w:rsid w:val="63DC1A59"/>
    <w:rsid w:val="63DE16B9"/>
    <w:rsid w:val="63E777BB"/>
    <w:rsid w:val="63EB3090"/>
    <w:rsid w:val="63EE6769"/>
    <w:rsid w:val="63F7174F"/>
    <w:rsid w:val="63FA3360"/>
    <w:rsid w:val="63FC0E86"/>
    <w:rsid w:val="64055F8C"/>
    <w:rsid w:val="64063AB3"/>
    <w:rsid w:val="641461CF"/>
    <w:rsid w:val="641F4B74"/>
    <w:rsid w:val="64326656"/>
    <w:rsid w:val="643423CE"/>
    <w:rsid w:val="64525B96"/>
    <w:rsid w:val="64550596"/>
    <w:rsid w:val="645F0EE1"/>
    <w:rsid w:val="64664551"/>
    <w:rsid w:val="647E7AED"/>
    <w:rsid w:val="64990483"/>
    <w:rsid w:val="649976C7"/>
    <w:rsid w:val="64A8658B"/>
    <w:rsid w:val="64AA2690"/>
    <w:rsid w:val="64C06765"/>
    <w:rsid w:val="64CC2606"/>
    <w:rsid w:val="64CC2A37"/>
    <w:rsid w:val="64E742EF"/>
    <w:rsid w:val="64E97686"/>
    <w:rsid w:val="64EC2CA8"/>
    <w:rsid w:val="64F93617"/>
    <w:rsid w:val="65051FBC"/>
    <w:rsid w:val="650923E1"/>
    <w:rsid w:val="650D2C1F"/>
    <w:rsid w:val="65175FC1"/>
    <w:rsid w:val="65387C9C"/>
    <w:rsid w:val="654A5C21"/>
    <w:rsid w:val="65501489"/>
    <w:rsid w:val="656B7183"/>
    <w:rsid w:val="6578453C"/>
    <w:rsid w:val="659155FE"/>
    <w:rsid w:val="659438DB"/>
    <w:rsid w:val="659770B8"/>
    <w:rsid w:val="65AB453F"/>
    <w:rsid w:val="65CD232B"/>
    <w:rsid w:val="65D336CE"/>
    <w:rsid w:val="65D5198E"/>
    <w:rsid w:val="65E035FB"/>
    <w:rsid w:val="65E35C92"/>
    <w:rsid w:val="65F30067"/>
    <w:rsid w:val="65F45C20"/>
    <w:rsid w:val="65FF07B9"/>
    <w:rsid w:val="660B53B0"/>
    <w:rsid w:val="66212E26"/>
    <w:rsid w:val="66246472"/>
    <w:rsid w:val="662B5A52"/>
    <w:rsid w:val="6635242D"/>
    <w:rsid w:val="66383CCB"/>
    <w:rsid w:val="66460DBA"/>
    <w:rsid w:val="66484177"/>
    <w:rsid w:val="664A412A"/>
    <w:rsid w:val="664A7186"/>
    <w:rsid w:val="66521231"/>
    <w:rsid w:val="665C60D3"/>
    <w:rsid w:val="666A0329"/>
    <w:rsid w:val="667473F9"/>
    <w:rsid w:val="667A3BF3"/>
    <w:rsid w:val="669929BC"/>
    <w:rsid w:val="66CC0FE3"/>
    <w:rsid w:val="66F83B86"/>
    <w:rsid w:val="67000C8D"/>
    <w:rsid w:val="67002A3B"/>
    <w:rsid w:val="670921B5"/>
    <w:rsid w:val="670F185C"/>
    <w:rsid w:val="6712234E"/>
    <w:rsid w:val="6716400D"/>
    <w:rsid w:val="671675EC"/>
    <w:rsid w:val="672229B1"/>
    <w:rsid w:val="672F3320"/>
    <w:rsid w:val="6736645D"/>
    <w:rsid w:val="673A42FE"/>
    <w:rsid w:val="674522B1"/>
    <w:rsid w:val="6751773B"/>
    <w:rsid w:val="67644D30"/>
    <w:rsid w:val="67707AD1"/>
    <w:rsid w:val="67890C82"/>
    <w:rsid w:val="67945892"/>
    <w:rsid w:val="6796351C"/>
    <w:rsid w:val="6796514D"/>
    <w:rsid w:val="67A21D44"/>
    <w:rsid w:val="67A535E2"/>
    <w:rsid w:val="67AE2497"/>
    <w:rsid w:val="67B11F87"/>
    <w:rsid w:val="67B37A94"/>
    <w:rsid w:val="67B64415"/>
    <w:rsid w:val="67C021CA"/>
    <w:rsid w:val="67C648EF"/>
    <w:rsid w:val="67EC2FBF"/>
    <w:rsid w:val="68057461"/>
    <w:rsid w:val="68177C84"/>
    <w:rsid w:val="682B68CB"/>
    <w:rsid w:val="684B5F38"/>
    <w:rsid w:val="684E5A28"/>
    <w:rsid w:val="68511756"/>
    <w:rsid w:val="68725BBA"/>
    <w:rsid w:val="687E00BB"/>
    <w:rsid w:val="687F3E33"/>
    <w:rsid w:val="68833924"/>
    <w:rsid w:val="688B41A9"/>
    <w:rsid w:val="688E4077"/>
    <w:rsid w:val="689D108C"/>
    <w:rsid w:val="68AA017E"/>
    <w:rsid w:val="68AC37F1"/>
    <w:rsid w:val="68B059AC"/>
    <w:rsid w:val="68BB30BE"/>
    <w:rsid w:val="68D21A6C"/>
    <w:rsid w:val="68D67EF7"/>
    <w:rsid w:val="68E048D2"/>
    <w:rsid w:val="68E63EB3"/>
    <w:rsid w:val="68F47416"/>
    <w:rsid w:val="68FB3A5E"/>
    <w:rsid w:val="690332BB"/>
    <w:rsid w:val="690345F1"/>
    <w:rsid w:val="690A5DF3"/>
    <w:rsid w:val="69137C36"/>
    <w:rsid w:val="69286279"/>
    <w:rsid w:val="692C3FBB"/>
    <w:rsid w:val="693764BC"/>
    <w:rsid w:val="69431305"/>
    <w:rsid w:val="6946142F"/>
    <w:rsid w:val="695B664F"/>
    <w:rsid w:val="695C5695"/>
    <w:rsid w:val="69603C65"/>
    <w:rsid w:val="69735746"/>
    <w:rsid w:val="69794E5B"/>
    <w:rsid w:val="6980454F"/>
    <w:rsid w:val="698C4A5A"/>
    <w:rsid w:val="699102C2"/>
    <w:rsid w:val="69BF6BDD"/>
    <w:rsid w:val="69C50153"/>
    <w:rsid w:val="69C61149"/>
    <w:rsid w:val="69CF4947"/>
    <w:rsid w:val="69EC54F9"/>
    <w:rsid w:val="69EE301F"/>
    <w:rsid w:val="69F83E9D"/>
    <w:rsid w:val="6A061647"/>
    <w:rsid w:val="6A0942FC"/>
    <w:rsid w:val="6A1709C7"/>
    <w:rsid w:val="6A1E0CEF"/>
    <w:rsid w:val="6A1F58CE"/>
    <w:rsid w:val="6A276531"/>
    <w:rsid w:val="6A2C15CD"/>
    <w:rsid w:val="6A42336B"/>
    <w:rsid w:val="6A471EFD"/>
    <w:rsid w:val="6A49294B"/>
    <w:rsid w:val="6A4B221F"/>
    <w:rsid w:val="6A553BF7"/>
    <w:rsid w:val="6A617C95"/>
    <w:rsid w:val="6A667059"/>
    <w:rsid w:val="6A753097"/>
    <w:rsid w:val="6A835E5D"/>
    <w:rsid w:val="6A876FCF"/>
    <w:rsid w:val="6A8B3D7E"/>
    <w:rsid w:val="6AA61BD5"/>
    <w:rsid w:val="6AC30092"/>
    <w:rsid w:val="6ACD70D8"/>
    <w:rsid w:val="6AD4585A"/>
    <w:rsid w:val="6ADC3625"/>
    <w:rsid w:val="6AE711B9"/>
    <w:rsid w:val="6AEA44E8"/>
    <w:rsid w:val="6B052831"/>
    <w:rsid w:val="6B1654D4"/>
    <w:rsid w:val="6B1765A5"/>
    <w:rsid w:val="6B237606"/>
    <w:rsid w:val="6B32518D"/>
    <w:rsid w:val="6B4B24B1"/>
    <w:rsid w:val="6B511AB7"/>
    <w:rsid w:val="6B525830"/>
    <w:rsid w:val="6B6C68F1"/>
    <w:rsid w:val="6B715CB5"/>
    <w:rsid w:val="6B817D1D"/>
    <w:rsid w:val="6B881251"/>
    <w:rsid w:val="6B8C0D41"/>
    <w:rsid w:val="6B947BF6"/>
    <w:rsid w:val="6BA65274"/>
    <w:rsid w:val="6BA936A1"/>
    <w:rsid w:val="6BB65DBE"/>
    <w:rsid w:val="6BBB33D4"/>
    <w:rsid w:val="6BCC55E2"/>
    <w:rsid w:val="6BD526E8"/>
    <w:rsid w:val="6BDD77EF"/>
    <w:rsid w:val="6BE2382F"/>
    <w:rsid w:val="6C180827"/>
    <w:rsid w:val="6C1C0317"/>
    <w:rsid w:val="6C3A079D"/>
    <w:rsid w:val="6C496C32"/>
    <w:rsid w:val="6C5B69BA"/>
    <w:rsid w:val="6C6C259A"/>
    <w:rsid w:val="6C7A503E"/>
    <w:rsid w:val="6C847C6A"/>
    <w:rsid w:val="6C8859AD"/>
    <w:rsid w:val="6C894CB3"/>
    <w:rsid w:val="6C8B2DA7"/>
    <w:rsid w:val="6C8D2FC3"/>
    <w:rsid w:val="6C924135"/>
    <w:rsid w:val="6CA43E69"/>
    <w:rsid w:val="6CB0280D"/>
    <w:rsid w:val="6CB22A29"/>
    <w:rsid w:val="6CC31982"/>
    <w:rsid w:val="6CD04C5E"/>
    <w:rsid w:val="6CD52274"/>
    <w:rsid w:val="6CDE3DB2"/>
    <w:rsid w:val="6CE20145"/>
    <w:rsid w:val="6CEA0129"/>
    <w:rsid w:val="6CED1CB3"/>
    <w:rsid w:val="6CED3A62"/>
    <w:rsid w:val="6CF46B9E"/>
    <w:rsid w:val="6CF92406"/>
    <w:rsid w:val="6D21195D"/>
    <w:rsid w:val="6D231231"/>
    <w:rsid w:val="6D2A08D5"/>
    <w:rsid w:val="6D2F4E5D"/>
    <w:rsid w:val="6D30394E"/>
    <w:rsid w:val="6D325918"/>
    <w:rsid w:val="6D341690"/>
    <w:rsid w:val="6D434DE7"/>
    <w:rsid w:val="6D47594E"/>
    <w:rsid w:val="6D566DCE"/>
    <w:rsid w:val="6D6C4A41"/>
    <w:rsid w:val="6D7101EF"/>
    <w:rsid w:val="6D853C9A"/>
    <w:rsid w:val="6D8B30C2"/>
    <w:rsid w:val="6DAA54AF"/>
    <w:rsid w:val="6DB4457F"/>
    <w:rsid w:val="6DB874E1"/>
    <w:rsid w:val="6DD469CF"/>
    <w:rsid w:val="6DE23EC4"/>
    <w:rsid w:val="6DEF55B7"/>
    <w:rsid w:val="6DF42BCE"/>
    <w:rsid w:val="6DF80910"/>
    <w:rsid w:val="6E2434B3"/>
    <w:rsid w:val="6E25722B"/>
    <w:rsid w:val="6E3B25AB"/>
    <w:rsid w:val="6E4E6782"/>
    <w:rsid w:val="6E5D6DD7"/>
    <w:rsid w:val="6E754B3F"/>
    <w:rsid w:val="6E7E414F"/>
    <w:rsid w:val="6E895A0C"/>
    <w:rsid w:val="6E8B4A99"/>
    <w:rsid w:val="6E91020B"/>
    <w:rsid w:val="6E9315D8"/>
    <w:rsid w:val="6E977A55"/>
    <w:rsid w:val="6EAD34A8"/>
    <w:rsid w:val="6EC466C2"/>
    <w:rsid w:val="6EC602C5"/>
    <w:rsid w:val="6EC95E08"/>
    <w:rsid w:val="6ED44ED9"/>
    <w:rsid w:val="6ED612B2"/>
    <w:rsid w:val="6ED8604B"/>
    <w:rsid w:val="6EDE7B06"/>
    <w:rsid w:val="6EF07839"/>
    <w:rsid w:val="6EFF0D82"/>
    <w:rsid w:val="6F12155D"/>
    <w:rsid w:val="6F162CBE"/>
    <w:rsid w:val="6F2F65B3"/>
    <w:rsid w:val="6F3C65DA"/>
    <w:rsid w:val="6F4D07E7"/>
    <w:rsid w:val="6F4E48BB"/>
    <w:rsid w:val="6F8A674D"/>
    <w:rsid w:val="6F8B50A9"/>
    <w:rsid w:val="6F8D32DA"/>
    <w:rsid w:val="6F8D5088"/>
    <w:rsid w:val="6F915B8B"/>
    <w:rsid w:val="6F975F07"/>
    <w:rsid w:val="6F9B77A5"/>
    <w:rsid w:val="6F9E1043"/>
    <w:rsid w:val="6FBC3D46"/>
    <w:rsid w:val="6FC211D5"/>
    <w:rsid w:val="6FC50CC6"/>
    <w:rsid w:val="6FD40F09"/>
    <w:rsid w:val="6FD44A65"/>
    <w:rsid w:val="6FDB4E2B"/>
    <w:rsid w:val="6FDE58E3"/>
    <w:rsid w:val="6FF62C2D"/>
    <w:rsid w:val="6FFE7D34"/>
    <w:rsid w:val="70025A76"/>
    <w:rsid w:val="700C06A3"/>
    <w:rsid w:val="701121D0"/>
    <w:rsid w:val="702D5B0F"/>
    <w:rsid w:val="70345611"/>
    <w:rsid w:val="703E6382"/>
    <w:rsid w:val="70651B61"/>
    <w:rsid w:val="70652CA1"/>
    <w:rsid w:val="70657DB3"/>
    <w:rsid w:val="70781894"/>
    <w:rsid w:val="708C3591"/>
    <w:rsid w:val="70934920"/>
    <w:rsid w:val="709E7E23"/>
    <w:rsid w:val="70AB487B"/>
    <w:rsid w:val="70B054D2"/>
    <w:rsid w:val="70B86135"/>
    <w:rsid w:val="70CC5B3A"/>
    <w:rsid w:val="70D4229D"/>
    <w:rsid w:val="70EB2185"/>
    <w:rsid w:val="70EC5DDE"/>
    <w:rsid w:val="70F34365"/>
    <w:rsid w:val="70F829D5"/>
    <w:rsid w:val="70FA04FB"/>
    <w:rsid w:val="70FC24C5"/>
    <w:rsid w:val="71054604"/>
    <w:rsid w:val="71072C18"/>
    <w:rsid w:val="710B6BAC"/>
    <w:rsid w:val="7121200D"/>
    <w:rsid w:val="713752AB"/>
    <w:rsid w:val="71414959"/>
    <w:rsid w:val="71493231"/>
    <w:rsid w:val="715F2A54"/>
    <w:rsid w:val="717402AD"/>
    <w:rsid w:val="71A82012"/>
    <w:rsid w:val="71B44B4E"/>
    <w:rsid w:val="71BA3C77"/>
    <w:rsid w:val="71BC3A02"/>
    <w:rsid w:val="71C034F3"/>
    <w:rsid w:val="71C40754"/>
    <w:rsid w:val="71D652C5"/>
    <w:rsid w:val="71D84CE0"/>
    <w:rsid w:val="71DD22F7"/>
    <w:rsid w:val="71FA7C7A"/>
    <w:rsid w:val="71FF2A05"/>
    <w:rsid w:val="72071122"/>
    <w:rsid w:val="720F7FD6"/>
    <w:rsid w:val="7231619E"/>
    <w:rsid w:val="72367718"/>
    <w:rsid w:val="723932A5"/>
    <w:rsid w:val="72536115"/>
    <w:rsid w:val="725D6F93"/>
    <w:rsid w:val="727F33AE"/>
    <w:rsid w:val="72805D21"/>
    <w:rsid w:val="729130E1"/>
    <w:rsid w:val="7298446F"/>
    <w:rsid w:val="72A2006A"/>
    <w:rsid w:val="72A9536C"/>
    <w:rsid w:val="72AA75E5"/>
    <w:rsid w:val="72B72541"/>
    <w:rsid w:val="72E7285D"/>
    <w:rsid w:val="72EB459F"/>
    <w:rsid w:val="72F1522F"/>
    <w:rsid w:val="72F21DD2"/>
    <w:rsid w:val="72F25079"/>
    <w:rsid w:val="72FB055A"/>
    <w:rsid w:val="72FD2525"/>
    <w:rsid w:val="730257DC"/>
    <w:rsid w:val="73155AC0"/>
    <w:rsid w:val="731A6C33"/>
    <w:rsid w:val="73261311"/>
    <w:rsid w:val="732E03E7"/>
    <w:rsid w:val="733028FA"/>
    <w:rsid w:val="73320420"/>
    <w:rsid w:val="73354040"/>
    <w:rsid w:val="733F6699"/>
    <w:rsid w:val="735A7977"/>
    <w:rsid w:val="735F0AE9"/>
    <w:rsid w:val="735F2305"/>
    <w:rsid w:val="73650000"/>
    <w:rsid w:val="73662FC8"/>
    <w:rsid w:val="736B3932"/>
    <w:rsid w:val="737A3B75"/>
    <w:rsid w:val="73832A2A"/>
    <w:rsid w:val="73836ECE"/>
    <w:rsid w:val="739011FE"/>
    <w:rsid w:val="739C7F8F"/>
    <w:rsid w:val="73B00E80"/>
    <w:rsid w:val="73B07597"/>
    <w:rsid w:val="73B40E35"/>
    <w:rsid w:val="73C66DBA"/>
    <w:rsid w:val="73C848E1"/>
    <w:rsid w:val="73CD639B"/>
    <w:rsid w:val="73CF5C6F"/>
    <w:rsid w:val="73DB2866"/>
    <w:rsid w:val="73E11809"/>
    <w:rsid w:val="73E65026"/>
    <w:rsid w:val="73EB05CF"/>
    <w:rsid w:val="73FC458A"/>
    <w:rsid w:val="74143C2D"/>
    <w:rsid w:val="742A559B"/>
    <w:rsid w:val="74393A30"/>
    <w:rsid w:val="74403E36"/>
    <w:rsid w:val="744A1799"/>
    <w:rsid w:val="74650381"/>
    <w:rsid w:val="746F2FAE"/>
    <w:rsid w:val="74822D12"/>
    <w:rsid w:val="748E1279"/>
    <w:rsid w:val="749C34D3"/>
    <w:rsid w:val="74A40EAA"/>
    <w:rsid w:val="74AC7D5E"/>
    <w:rsid w:val="74C552BF"/>
    <w:rsid w:val="74D00AA2"/>
    <w:rsid w:val="74D774D1"/>
    <w:rsid w:val="74EA0887"/>
    <w:rsid w:val="74EC53FB"/>
    <w:rsid w:val="7501454E"/>
    <w:rsid w:val="75157FF9"/>
    <w:rsid w:val="75295853"/>
    <w:rsid w:val="7533053B"/>
    <w:rsid w:val="75483F2B"/>
    <w:rsid w:val="75504B8E"/>
    <w:rsid w:val="75510906"/>
    <w:rsid w:val="75524DAA"/>
    <w:rsid w:val="7559369A"/>
    <w:rsid w:val="755F3023"/>
    <w:rsid w:val="75620101"/>
    <w:rsid w:val="756C44E1"/>
    <w:rsid w:val="756F0684"/>
    <w:rsid w:val="756F3599"/>
    <w:rsid w:val="75792336"/>
    <w:rsid w:val="757A60AE"/>
    <w:rsid w:val="757C4F9A"/>
    <w:rsid w:val="75834F63"/>
    <w:rsid w:val="758F2B31"/>
    <w:rsid w:val="75934720"/>
    <w:rsid w:val="75B275F6"/>
    <w:rsid w:val="75BA694C"/>
    <w:rsid w:val="75C777FE"/>
    <w:rsid w:val="75CF516A"/>
    <w:rsid w:val="75D62912"/>
    <w:rsid w:val="75DC2171"/>
    <w:rsid w:val="75E4177A"/>
    <w:rsid w:val="75EF084A"/>
    <w:rsid w:val="75EF25F8"/>
    <w:rsid w:val="7629236B"/>
    <w:rsid w:val="762D1373"/>
    <w:rsid w:val="76312C11"/>
    <w:rsid w:val="76312F35"/>
    <w:rsid w:val="763B3A90"/>
    <w:rsid w:val="76414D79"/>
    <w:rsid w:val="76465F91"/>
    <w:rsid w:val="764861AD"/>
    <w:rsid w:val="764C7A4B"/>
    <w:rsid w:val="765D3A06"/>
    <w:rsid w:val="767825EE"/>
    <w:rsid w:val="768014A2"/>
    <w:rsid w:val="768F16E6"/>
    <w:rsid w:val="76946CFC"/>
    <w:rsid w:val="76A1185A"/>
    <w:rsid w:val="76BE2277"/>
    <w:rsid w:val="76C03F95"/>
    <w:rsid w:val="76E54C06"/>
    <w:rsid w:val="76E71522"/>
    <w:rsid w:val="76E77774"/>
    <w:rsid w:val="76F36118"/>
    <w:rsid w:val="76F37EC6"/>
    <w:rsid w:val="76FD2AF3"/>
    <w:rsid w:val="77060EB2"/>
    <w:rsid w:val="771614A7"/>
    <w:rsid w:val="771D3195"/>
    <w:rsid w:val="77476464"/>
    <w:rsid w:val="77512E3F"/>
    <w:rsid w:val="775C1F10"/>
    <w:rsid w:val="775D0B49"/>
    <w:rsid w:val="776370C9"/>
    <w:rsid w:val="776B5CAF"/>
    <w:rsid w:val="7782124A"/>
    <w:rsid w:val="77822FF8"/>
    <w:rsid w:val="77862AE9"/>
    <w:rsid w:val="77905715"/>
    <w:rsid w:val="77985B42"/>
    <w:rsid w:val="77B05304"/>
    <w:rsid w:val="77B51620"/>
    <w:rsid w:val="77B83A96"/>
    <w:rsid w:val="77B96DD4"/>
    <w:rsid w:val="77BF424C"/>
    <w:rsid w:val="77C33D3D"/>
    <w:rsid w:val="77C74EAF"/>
    <w:rsid w:val="77D221D2"/>
    <w:rsid w:val="77D73CB6"/>
    <w:rsid w:val="77EE0F80"/>
    <w:rsid w:val="77FD5DA7"/>
    <w:rsid w:val="77FF76BB"/>
    <w:rsid w:val="78014865"/>
    <w:rsid w:val="780660C3"/>
    <w:rsid w:val="780B56E4"/>
    <w:rsid w:val="781F09F2"/>
    <w:rsid w:val="78216CB5"/>
    <w:rsid w:val="783469E8"/>
    <w:rsid w:val="783562BD"/>
    <w:rsid w:val="783A3737"/>
    <w:rsid w:val="784F55D0"/>
    <w:rsid w:val="785B3F75"/>
    <w:rsid w:val="785C7CED"/>
    <w:rsid w:val="78664144"/>
    <w:rsid w:val="78681D5F"/>
    <w:rsid w:val="7870298D"/>
    <w:rsid w:val="787C57E1"/>
    <w:rsid w:val="78B02AB1"/>
    <w:rsid w:val="78CD4747"/>
    <w:rsid w:val="78D67AA0"/>
    <w:rsid w:val="78E33F6B"/>
    <w:rsid w:val="78E421BD"/>
    <w:rsid w:val="78E55F35"/>
    <w:rsid w:val="78EA70A7"/>
    <w:rsid w:val="78F10436"/>
    <w:rsid w:val="78FE60EF"/>
    <w:rsid w:val="79085A98"/>
    <w:rsid w:val="79273E57"/>
    <w:rsid w:val="79294073"/>
    <w:rsid w:val="79346574"/>
    <w:rsid w:val="793D367B"/>
    <w:rsid w:val="794A5D98"/>
    <w:rsid w:val="7956298E"/>
    <w:rsid w:val="795D3D1D"/>
    <w:rsid w:val="795D5ACB"/>
    <w:rsid w:val="797177C8"/>
    <w:rsid w:val="79786DA9"/>
    <w:rsid w:val="797F5A41"/>
    <w:rsid w:val="798B2638"/>
    <w:rsid w:val="79921F1C"/>
    <w:rsid w:val="79955265"/>
    <w:rsid w:val="79982FA7"/>
    <w:rsid w:val="79B02245"/>
    <w:rsid w:val="79B416DB"/>
    <w:rsid w:val="79B75D49"/>
    <w:rsid w:val="79BA2F1D"/>
    <w:rsid w:val="79D25064"/>
    <w:rsid w:val="79D833A4"/>
    <w:rsid w:val="79DA65D2"/>
    <w:rsid w:val="79E7016D"/>
    <w:rsid w:val="79E85CDC"/>
    <w:rsid w:val="79F226B7"/>
    <w:rsid w:val="79F857F4"/>
    <w:rsid w:val="79FF0773"/>
    <w:rsid w:val="7A1563A6"/>
    <w:rsid w:val="7A274863"/>
    <w:rsid w:val="7A2B3E1B"/>
    <w:rsid w:val="7A3D6F22"/>
    <w:rsid w:val="7A402399"/>
    <w:rsid w:val="7A4822D7"/>
    <w:rsid w:val="7A491A73"/>
    <w:rsid w:val="7A4F7B0A"/>
    <w:rsid w:val="7A5275FA"/>
    <w:rsid w:val="7A6115EB"/>
    <w:rsid w:val="7A64716D"/>
    <w:rsid w:val="7A6F5AB6"/>
    <w:rsid w:val="7A772BBC"/>
    <w:rsid w:val="7A7C4677"/>
    <w:rsid w:val="7A9E45ED"/>
    <w:rsid w:val="7AB931D5"/>
    <w:rsid w:val="7ACD0A2E"/>
    <w:rsid w:val="7ACD6C80"/>
    <w:rsid w:val="7AD149C3"/>
    <w:rsid w:val="7AD43DD1"/>
    <w:rsid w:val="7ADB4D39"/>
    <w:rsid w:val="7AE07C8F"/>
    <w:rsid w:val="7AE42B0A"/>
    <w:rsid w:val="7AE446F6"/>
    <w:rsid w:val="7AF366E7"/>
    <w:rsid w:val="7B151F81"/>
    <w:rsid w:val="7B1D3764"/>
    <w:rsid w:val="7B1F572E"/>
    <w:rsid w:val="7B2368A0"/>
    <w:rsid w:val="7B2E771F"/>
    <w:rsid w:val="7B310FBD"/>
    <w:rsid w:val="7B3F7B89"/>
    <w:rsid w:val="7B424F78"/>
    <w:rsid w:val="7B512E8E"/>
    <w:rsid w:val="7B537AD4"/>
    <w:rsid w:val="7B5E079D"/>
    <w:rsid w:val="7B670E83"/>
    <w:rsid w:val="7B6A2721"/>
    <w:rsid w:val="7B846A51"/>
    <w:rsid w:val="7B8D17FF"/>
    <w:rsid w:val="7B933A26"/>
    <w:rsid w:val="7B9A3006"/>
    <w:rsid w:val="7B9F282A"/>
    <w:rsid w:val="7BB140AB"/>
    <w:rsid w:val="7BBA7205"/>
    <w:rsid w:val="7BD02338"/>
    <w:rsid w:val="7BD81D81"/>
    <w:rsid w:val="7BE14791"/>
    <w:rsid w:val="7BF00E78"/>
    <w:rsid w:val="7C0C5586"/>
    <w:rsid w:val="7C11491A"/>
    <w:rsid w:val="7C18217D"/>
    <w:rsid w:val="7C23124E"/>
    <w:rsid w:val="7C296138"/>
    <w:rsid w:val="7C365DE1"/>
    <w:rsid w:val="7C4D62CB"/>
    <w:rsid w:val="7C6361AD"/>
    <w:rsid w:val="7C705B15"/>
    <w:rsid w:val="7C7F3FAA"/>
    <w:rsid w:val="7C8617DD"/>
    <w:rsid w:val="7C8963D7"/>
    <w:rsid w:val="7C9712F4"/>
    <w:rsid w:val="7CA13F21"/>
    <w:rsid w:val="7CA270D6"/>
    <w:rsid w:val="7CAB1522"/>
    <w:rsid w:val="7CAD6D69"/>
    <w:rsid w:val="7CBE03EA"/>
    <w:rsid w:val="7CC145C3"/>
    <w:rsid w:val="7CD9190C"/>
    <w:rsid w:val="7CD92EB0"/>
    <w:rsid w:val="7CEC7892"/>
    <w:rsid w:val="7CF93D5D"/>
    <w:rsid w:val="7CFC086A"/>
    <w:rsid w:val="7CFE66BC"/>
    <w:rsid w:val="7D051F63"/>
    <w:rsid w:val="7D060228"/>
    <w:rsid w:val="7D0746CC"/>
    <w:rsid w:val="7D0753DD"/>
    <w:rsid w:val="7D0821F2"/>
    <w:rsid w:val="7D20753B"/>
    <w:rsid w:val="7D254B52"/>
    <w:rsid w:val="7D285395"/>
    <w:rsid w:val="7D3134F6"/>
    <w:rsid w:val="7D3A16E9"/>
    <w:rsid w:val="7D420907"/>
    <w:rsid w:val="7D450D50"/>
    <w:rsid w:val="7D546072"/>
    <w:rsid w:val="7D566EE8"/>
    <w:rsid w:val="7D755AD9"/>
    <w:rsid w:val="7D782ED3"/>
    <w:rsid w:val="7D7D04EA"/>
    <w:rsid w:val="7D7F0706"/>
    <w:rsid w:val="7D910439"/>
    <w:rsid w:val="7D937D0D"/>
    <w:rsid w:val="7DA0242A"/>
    <w:rsid w:val="7DAF370D"/>
    <w:rsid w:val="7DB3215D"/>
    <w:rsid w:val="7DB61C4E"/>
    <w:rsid w:val="7DBA34EC"/>
    <w:rsid w:val="7DC26844"/>
    <w:rsid w:val="7DCC76C3"/>
    <w:rsid w:val="7DD270EF"/>
    <w:rsid w:val="7DD5168C"/>
    <w:rsid w:val="7DD722F0"/>
    <w:rsid w:val="7DD82F61"/>
    <w:rsid w:val="7DDB24FD"/>
    <w:rsid w:val="7DE95316"/>
    <w:rsid w:val="7DF12C86"/>
    <w:rsid w:val="7E0155BF"/>
    <w:rsid w:val="7E062BD5"/>
    <w:rsid w:val="7E12157A"/>
    <w:rsid w:val="7E132209"/>
    <w:rsid w:val="7E1A78D3"/>
    <w:rsid w:val="7E1D3A7B"/>
    <w:rsid w:val="7E1E36D8"/>
    <w:rsid w:val="7E2E5C88"/>
    <w:rsid w:val="7E2E7A36"/>
    <w:rsid w:val="7E435F80"/>
    <w:rsid w:val="7E440EAA"/>
    <w:rsid w:val="7E464D80"/>
    <w:rsid w:val="7E786213"/>
    <w:rsid w:val="7E7C4C45"/>
    <w:rsid w:val="7E8B1BA5"/>
    <w:rsid w:val="7E8B30DA"/>
    <w:rsid w:val="7E97148B"/>
    <w:rsid w:val="7E97382D"/>
    <w:rsid w:val="7EB414BE"/>
    <w:rsid w:val="7EB51F05"/>
    <w:rsid w:val="7EC30AC6"/>
    <w:rsid w:val="7EC42148"/>
    <w:rsid w:val="7EC607AE"/>
    <w:rsid w:val="7EC81C39"/>
    <w:rsid w:val="7ECF1219"/>
    <w:rsid w:val="7EED78F1"/>
    <w:rsid w:val="7EF667A6"/>
    <w:rsid w:val="7F182880"/>
    <w:rsid w:val="7F1B7D95"/>
    <w:rsid w:val="7F2D4C94"/>
    <w:rsid w:val="7F2F7211"/>
    <w:rsid w:val="7F392B36"/>
    <w:rsid w:val="7F496B47"/>
    <w:rsid w:val="7F5259A6"/>
    <w:rsid w:val="7F5765FC"/>
    <w:rsid w:val="7F604567"/>
    <w:rsid w:val="7F663D79"/>
    <w:rsid w:val="7F6A37A6"/>
    <w:rsid w:val="7F824394"/>
    <w:rsid w:val="7F831643"/>
    <w:rsid w:val="7F833DB1"/>
    <w:rsid w:val="7F871AF4"/>
    <w:rsid w:val="7FC9210C"/>
    <w:rsid w:val="7FC95C68"/>
    <w:rsid w:val="7FD34D39"/>
    <w:rsid w:val="7FD42764"/>
    <w:rsid w:val="7FD4460D"/>
    <w:rsid w:val="7FDF723A"/>
    <w:rsid w:val="7FF13411"/>
    <w:rsid w:val="7FF2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1"/>
    <w:qFormat/>
    <w:uiPriority w:val="0"/>
    <w:pPr>
      <w:jc w:val="left"/>
    </w:pPr>
  </w:style>
  <w:style w:type="paragraph" w:styleId="7">
    <w:name w:val="Salutation"/>
    <w:basedOn w:val="1"/>
    <w:next w:val="1"/>
    <w:unhideWhenUsed/>
    <w:qFormat/>
    <w:uiPriority w:val="99"/>
    <w:rPr>
      <w:rFonts w:ascii="Calibri" w:hAnsi="Calibri" w:eastAsia="仿宋_GB2312" w:cs="Times New Roman"/>
      <w:sz w:val="32"/>
    </w:rPr>
  </w:style>
  <w:style w:type="paragraph" w:styleId="8">
    <w:name w:val="Body Text"/>
    <w:basedOn w:val="1"/>
    <w:next w:val="1"/>
    <w:qFormat/>
    <w:uiPriority w:val="0"/>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annotation subject"/>
    <w:basedOn w:val="6"/>
    <w:next w:val="6"/>
    <w:link w:val="32"/>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basedOn w:val="18"/>
    <w:qFormat/>
    <w:uiPriority w:val="0"/>
    <w:rPr>
      <w:sz w:val="21"/>
      <w:szCs w:val="21"/>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宋体" w:hAnsi="宋体" w:eastAsia="宋体" w:cs="宋体"/>
      <w:sz w:val="20"/>
      <w:szCs w:val="20"/>
      <w:lang w:eastAsia="en-US"/>
    </w:rPr>
  </w:style>
  <w:style w:type="character" w:customStyle="1" w:styleId="23">
    <w:name w:val="font31"/>
    <w:basedOn w:val="18"/>
    <w:qFormat/>
    <w:uiPriority w:val="0"/>
    <w:rPr>
      <w:rFonts w:ascii="仿宋_GB2312" w:hAnsi="仿宋_GB2312" w:eastAsia="仿宋_GB2312" w:cs="仿宋_GB2312"/>
      <w:b/>
      <w:bCs/>
      <w:color w:val="000000"/>
      <w:sz w:val="24"/>
      <w:szCs w:val="24"/>
      <w:u w:val="none"/>
    </w:rPr>
  </w:style>
  <w:style w:type="character" w:customStyle="1" w:styleId="24">
    <w:name w:val="font01"/>
    <w:basedOn w:val="18"/>
    <w:qFormat/>
    <w:uiPriority w:val="0"/>
    <w:rPr>
      <w:rFonts w:hint="eastAsia" w:ascii="宋体" w:hAnsi="宋体" w:eastAsia="宋体" w:cs="宋体"/>
      <w:color w:val="000000"/>
      <w:sz w:val="24"/>
      <w:szCs w:val="24"/>
      <w:u w:val="none"/>
    </w:rPr>
  </w:style>
  <w:style w:type="character" w:customStyle="1" w:styleId="25">
    <w:name w:val="font11"/>
    <w:basedOn w:val="18"/>
    <w:qFormat/>
    <w:uiPriority w:val="0"/>
    <w:rPr>
      <w:rFonts w:hint="default" w:ascii="Times New Roman" w:hAnsi="Times New Roman" w:cs="Times New Roman"/>
      <w:color w:val="000000"/>
      <w:sz w:val="24"/>
      <w:szCs w:val="24"/>
      <w:u w:val="none"/>
    </w:rPr>
  </w:style>
  <w:style w:type="character" w:customStyle="1" w:styleId="26">
    <w:name w:val="font51"/>
    <w:basedOn w:val="18"/>
    <w:qFormat/>
    <w:uiPriority w:val="0"/>
    <w:rPr>
      <w:rFonts w:hint="eastAsia" w:ascii="宋体" w:hAnsi="宋体" w:eastAsia="宋体" w:cs="宋体"/>
      <w:color w:val="FF0000"/>
      <w:sz w:val="24"/>
      <w:szCs w:val="24"/>
      <w:u w:val="none"/>
    </w:rPr>
  </w:style>
  <w:style w:type="character" w:customStyle="1" w:styleId="27">
    <w:name w:val="font41"/>
    <w:basedOn w:val="18"/>
    <w:qFormat/>
    <w:uiPriority w:val="0"/>
    <w:rPr>
      <w:rFonts w:hint="default" w:ascii="Times New Roman" w:hAnsi="Times New Roman" w:cs="Times New Roman"/>
      <w:color w:val="FF0000"/>
      <w:sz w:val="24"/>
      <w:szCs w:val="24"/>
      <w:u w:val="none"/>
    </w:rPr>
  </w:style>
  <w:style w:type="character" w:customStyle="1" w:styleId="28">
    <w:name w:val="font71"/>
    <w:basedOn w:val="18"/>
    <w:qFormat/>
    <w:uiPriority w:val="0"/>
    <w:rPr>
      <w:rFonts w:hint="eastAsia" w:ascii="宋体" w:hAnsi="宋体" w:eastAsia="宋体" w:cs="宋体"/>
      <w:color w:val="333333"/>
      <w:sz w:val="24"/>
      <w:szCs w:val="24"/>
      <w:u w:val="none"/>
    </w:rPr>
  </w:style>
  <w:style w:type="character" w:customStyle="1" w:styleId="29">
    <w:name w:val="font61"/>
    <w:basedOn w:val="18"/>
    <w:qFormat/>
    <w:uiPriority w:val="0"/>
    <w:rPr>
      <w:rFonts w:hint="default" w:ascii="Times New Roman" w:hAnsi="Times New Roman" w:cs="Times New Roman"/>
      <w:color w:val="333333"/>
      <w:sz w:val="24"/>
      <w:szCs w:val="24"/>
      <w:u w:val="none"/>
    </w:rPr>
  </w:style>
  <w:style w:type="paragraph" w:customStyle="1" w:styleId="30">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1">
    <w:name w:val="批注文字 字符"/>
    <w:basedOn w:val="18"/>
    <w:link w:val="6"/>
    <w:qFormat/>
    <w:uiPriority w:val="0"/>
    <w:rPr>
      <w:kern w:val="2"/>
      <w:sz w:val="21"/>
      <w:szCs w:val="24"/>
    </w:rPr>
  </w:style>
  <w:style w:type="character" w:customStyle="1" w:styleId="32">
    <w:name w:val="批注主题 字符"/>
    <w:basedOn w:val="31"/>
    <w:link w:val="15"/>
    <w:qFormat/>
    <w:uiPriority w:val="0"/>
    <w:rPr>
      <w:b/>
      <w:bCs/>
      <w:kern w:val="2"/>
      <w:sz w:val="21"/>
      <w:szCs w:val="24"/>
    </w:rPr>
  </w:style>
  <w:style w:type="character" w:customStyle="1" w:styleId="33">
    <w:name w:val="font21"/>
    <w:basedOn w:val="18"/>
    <w:qFormat/>
    <w:uiPriority w:val="0"/>
    <w:rPr>
      <w:rFonts w:hint="default" w:ascii="Times New Roman" w:hAnsi="Times New Roman" w:cs="Times New Roman"/>
      <w:color w:val="FF0000"/>
      <w:sz w:val="24"/>
      <w:szCs w:val="24"/>
      <w:u w:val="none"/>
    </w:rPr>
  </w:style>
  <w:style w:type="paragraph" w:customStyle="1" w:styleId="34">
    <w:name w:val="表格内容"/>
    <w:basedOn w:val="1"/>
    <w:qFormat/>
    <w:uiPriority w:val="0"/>
    <w:pPr>
      <w:adjustRightInd w:val="0"/>
      <w:snapToGrid w:val="0"/>
      <w:spacing w:line="360" w:lineRule="exact"/>
      <w:ind w:firstLine="0" w:firstLineChars="0"/>
      <w:jc w:val="center"/>
    </w:pPr>
    <w:rPr>
      <w:rFonts w:hint="eastAsia" w:ascii="Times New Roman" w:hAnsi="Times New Roman"/>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321fce20-9047-4f50-b33f-ae835f769a6f</errorID>
      <errorWord>当前和今后一段时期</errorWord>
      <group>L1_Political</group>
      <groupName>政治性问题</groupName>
      <ability>L2_Keyword</ability>
      <abilityName>固定表述</abilityName>
      <candidateList>
        <item>当前和今后一个时期</item>
      </candidateList>
      <explain>词汇“当前和今后一个时期”在特定场景下为固定表述形式，请确认此处的“当前和今后一段时期”是否存在不当。</explain>
      <paraID>27B81DE1</paraID>
      <start>123</start>
      <end>132</end>
      <status>unmodified</status>
      <modifiedWord/>
      <trackRevisions>false</trackRevisions>
    </reviewItem>
    <reviewItem>
      <errorID>9102dea2-fd4c-4849-80e7-aca249ea6582</errorID>
      <errorWord>凌峋</errorWord>
      <group>L1_Word</group>
      <groupName>字词问题</groupName>
      <ability>L2_Typo</ability>
      <abilityName>字词错误</abilityName>
      <candidateList>
        <item>嶙峋</item>
      </candidateList>
      <explain/>
      <paraID>6CB830CA</paraID>
      <start>152</start>
      <end>154</end>
      <status>modified</status>
      <modifiedWord>嶙峋</modifiedWord>
      <trackRevisions>false</trackRevisions>
    </reviewItem>
    <reviewItem>
      <errorID>99eb01ab-4248-475c-b0f8-4b2c2a4817c1</errorID>
      <errorWord>80～200千</errorWord>
      <group>L1_Knowledge</group>
      <groupName>知识性问题</groupName>
      <ability>L2_Knowledge</ability>
      <abilityName>其他知识</abilityName>
      <candidateList>
        <item>80千～200千</item>
      </candidateList>
      <explain>1. “80～200千”中的单位“千”仅出现在后一个数字上，容易引起歧义；根据《现代汉语标点符号数字用法规范手册》，数字表示范围两边需要使用统一的格式。2. 根据标点国标 4.13 中的规则，数字、时间或地域连接符应使用（视觉上更长的）“—”或“～”。</explain>
      <paraID>49917E38</paraID>
      <start>234</start>
      <end>241</end>
      <status>unmodified</status>
      <modifiedWord/>
      <trackRevisions>false</trackRevisions>
    </reviewItem>
    <reviewItem>
      <errorID>a2ea7c2d-1cc5-45c7-85dc-4bbc4281f288</errorID>
      <errorWord>80～200千</errorWord>
      <group>L1_Knowledge</group>
      <groupName>知识性问题</groupName>
      <ability>L2_Knowledge</ability>
      <abilityName>其他知识</abilityName>
      <candidateList>
        <item>80千～200千</item>
      </candidateList>
      <explain>1. “80～200千”中的单位“千”仅出现在后一个数字上，容易引起歧义；根据《现代汉语标点符号数字用法规范手册》，数字表示范围两边需要使用统一的格式。2. 根据标点国标 4.13 中的规则，数字、时间或地域连接符应使用（视觉上更长的）“—”或“～”。</explain>
      <paraID>49917E38</paraID>
      <start>252</start>
      <end>259</end>
      <status>unmodified</status>
      <modifiedWord/>
      <trackRevisions>false</trackRevisions>
    </reviewItem>
    <reviewItem>
      <errorID>972b8c25-1a77-4bcd-aebb-dfdd444c2114</errorID>
      <errorWord>：</errorWord>
      <group>L1_Format</group>
      <groupName>格式问题</groupName>
      <ability>L2_HalfPunc</ability>
      <abilityName>全半角检查</abilityName>
      <candidateList>
        <item>:</item>
      </candidateList>
      <explain>文本全半角错误。</explain>
      <paraID> 2C4CC9E</paraID>
      <start>133</start>
      <end>134</end>
      <status>modified</status>
      <modifiedWord>:</modifiedWord>
      <trackRevisions>false</trackRevisions>
    </reviewItem>
    <reviewItem>
      <errorID>cc4d0c87-1342-494a-bd83-add226dc151d</errorID>
      <errorWord>：</errorWord>
      <group>L1_Format</group>
      <groupName>格式问题</groupName>
      <ability>L2_HalfPunc</ability>
      <abilityName>全半角检查</abilityName>
      <candidateList>
        <item>:</item>
      </candidateList>
      <explain>文本全半角错误。</explain>
      <paraID> 2C4CC9E</paraID>
      <start>138</start>
      <end>139</end>
      <status>modified</status>
      <modifiedWord>:</modifiedWord>
      <trackRevisions>false</trackRevisions>
    </reviewItem>
    <reviewItem>
      <errorID>2a4aef25-f8d9-4a51-a0f9-11c3eb7c91a6</errorID>
      <errorWord>：</errorWord>
      <group>L1_Format</group>
      <groupName>格式问题</groupName>
      <ability>L2_HalfPunc</ability>
      <abilityName>全半角检查</abilityName>
      <candidateList>
        <item>:</item>
      </candidateList>
      <explain>文本全半角错误。</explain>
      <paraID> 2C4CC9E</paraID>
      <start>159</start>
      <end>160</end>
      <status>modified</status>
      <modifiedWord>:</modifiedWord>
      <trackRevisions>false</trackRevisions>
    </reviewItem>
    <reviewItem>
      <errorID>cd5c5f5d-dcd5-42a0-a25e-5b0c85fdc298</errorID>
      <errorWord>：</errorWord>
      <group>L1_Format</group>
      <groupName>格式问题</groupName>
      <ability>L2_HalfPunc</ability>
      <abilityName>全半角检查</abilityName>
      <candidateList>
        <item>:</item>
      </candidateList>
      <explain>文本全半角错误。</explain>
      <paraID> 2C4CC9E</paraID>
      <start>164</start>
      <end>165</end>
      <status>modified</status>
      <modifiedWord>:</modifiedWord>
      <trackRevisions>false</trackRevisions>
    </reviewItem>
    <reviewItem>
      <errorID>1b20d5e6-ab0d-4860-9168-a9002f94d292</errorID>
      <errorWord>去年</errorWord>
      <group>L1_Knowledge</group>
      <groupName>知识性问题</groupName>
      <ability>L2_Time</ability>
      <abilityName>日期时间</abilityName>
      <candidateList/>
      <explain>在公文场景，请避免使用“去年”这种模糊表述。</explain>
      <paraID> E8FC173</paraID>
      <start>20</start>
      <end>22</end>
      <status>unmodified</status>
      <modifiedWord/>
      <trackRevisions>false</trackRevisions>
    </reviewItem>
    <reviewItem>
      <errorID>a4f77abb-8844-453d-891c-c214441c0d07</errorID>
      <errorWord>，</errorWord>
      <group>L1_Word</group>
      <groupName>字词问题</groupName>
      <ability>L2_Typo</ability>
      <abilityName>字词错误</abilityName>
      <candidateList>
        <item>，非</item>
      </candidateList>
      <explain/>
      <paraID>1324B5E9</paraID>
      <start>70</start>
      <end>71</end>
      <status>unmodified</status>
      <modifiedWord/>
      <trackRevisions>false</trackRevisions>
    </reviewItem>
    <reviewItem>
      <errorID>a4a3e148-80e4-443b-b81c-7d2baf3abee1</errorID>
      <errorWord>川年</errorWord>
      <group>L1_Word</group>
      <groupName>字词问题</groupName>
      <ability>L2_Typo</ability>
      <abilityName>字词错误</abilityName>
      <candidateList>
        <item>川马</item>
      </candidateList>
      <explain/>
      <paraID>7EF015A8</paraID>
      <start>138</start>
      <end>140</end>
      <status>unmodified</status>
      <modifiedWord/>
      <trackRevisions>false</trackRevisions>
    </reviewItem>
    <reviewItem>
      <errorID>b69d9790-1269-4661-b023-a1b0896fb82a</errorID>
      <errorWord>护</errorWord>
      <group>L1_Word</group>
      <groupName>字词问题</groupName>
      <ability>L2_Typo</ability>
      <abilityName>字词错误</abilityName>
      <candidateList>
        <item>护和</item>
      </candidateList>
      <explain/>
      <paraID>5B7BC671</paraID>
      <start>10</start>
      <end>11</end>
      <status>unmodified</status>
      <modifiedWord/>
      <trackRevisions>false</trackRevisions>
    </reviewItem>
    <reviewItem>
      <errorID>682d2e02-d6a0-4357-a16c-f83f8e6bfa31</errorID>
      <errorWord>种草</errorWord>
      <group>L1_Official</group>
      <groupName>公文问题</groupName>
      <ability>L2_Official</ability>
      <abilityName>公文问题</abilityName>
      <candidateList/>
      <explain>公文中禁止出现该词语</explain>
      <paraID>3678B2FF</paraID>
      <start>227</start>
      <end>229</end>
      <status>unmodified</status>
      <modifiedWord/>
      <trackRevisions>false</trackRevisions>
    </reviewItem>
    <reviewItem>
      <errorID>2130113c-9282-4869-9366-a7652a0dc573</errorID>
      <errorWord>、</errorWord>
      <group>L1_Word</group>
      <groupName>字词问题</groupName>
      <ability>L2_Typo</ability>
      <abilityName>字词错误</abilityName>
      <candidateList>
        <item>、病</item>
      </candidateList>
      <explain/>
      <paraID>3678B2FF</paraID>
      <start>301</start>
      <end>302</end>
      <status>unmodified</status>
      <modifiedWord/>
      <trackRevisions>false</trackRevisions>
    </reviewItem>
    <reviewItem>
      <errorID>71ea0f0b-4200-4390-8883-c099be496899</errorID>
      <errorWord>务</errorWord>
      <group>L1_Word</group>
      <groupName>字词问题</groupName>
      <ability>L2_Typo</ability>
      <abilityName>字词错误</abilityName>
      <candidateList>
        <item>云</item>
      </candidateList>
      <explain/>
      <paraID>3678B2FF</paraID>
      <start>366</start>
      <end>367</end>
      <status>unmodified</status>
      <modifiedWord/>
      <trackRevisions>false</trackRevisions>
    </reviewItem>
    <reviewItem>
      <errorID>b2f70a7f-c5e3-4fda-a6b7-9df1feebcc90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6F9F1F05</paraID>
      <start>336</start>
      <end>337</end>
      <status>unmodified</status>
      <modifiedWord/>
      <trackRevisions>false</trackRevisions>
    </reviewItem>
    <reviewItem>
      <errorID>156611e0-e36d-4166-ab09-07c0b1be21ad</errorID>
      <errorWord>-</errorWord>
      <group>L1_Format</group>
      <groupName>格式问题</groupName>
      <ability>L2_HalfPunc</ability>
      <abilityName>全半角检查</abilityName>
      <candidateList>
        <item>－</item>
      </candidateList>
      <explain>文本全半角错误。</explain>
      <paraID>77C4E8DB</paraID>
      <start>94</start>
      <end>95</end>
      <status>unmodified</status>
      <modifiedWord/>
      <trackRevisions>false</trackRevisions>
    </reviewItem>
    <reviewItem>
      <errorID>bb141c16-b99a-44a2-a585-ca96ebad263a</errorID>
      <errorWord>双减</errorWord>
      <group>L1_Political</group>
      <groupName>政治性问题</groupName>
      <ability>L2_Keyword</ability>
      <abilityName>固定表述</abilityName>
      <candidateList>
        <item>“双减”</item>
      </candidateList>
      <explain>注意检查当前固定表述标点是否使用规范。</explain>
      <paraID>4206A054</paraID>
      <start>90</start>
      <end>92</end>
      <status>unmodified</status>
      <modifiedWord/>
      <trackRevisions>false</trackRevisions>
    </reviewItem>
    <reviewItem>
      <errorID>744f54ed-245f-4cf1-852c-358776380459</errorID>
      <errorWord>力</errorWord>
      <group>L1_Word</group>
      <groupName>字词问题</groupName>
      <ability>L2_Typo</ability>
      <abilityName>字词错误</abilityName>
      <candidateList>
        <item>力和</item>
      </candidateList>
      <explain/>
      <paraID>1BA5F539</paraID>
      <start>68</start>
      <end>69</end>
      <status>unmodified</status>
      <modifiedWord/>
      <trackRevisions>false</trackRevisions>
    </reviewItem>
    <reviewItem>
      <errorID>c7f689e6-d779-4a70-a968-e467ccc78ffd</errorID>
      <errorWord>维护</errorWord>
      <group>L1_Word</group>
      <groupName>字词问题</groupName>
      <ability>L2_Typo</ability>
      <abilityName>字词错误</abilityName>
      <candidateList>
        <item>确保</item>
      </candidateList>
      <explain>“维护～可控”搭配不当，建议修改为“确保～可控”。</explain>
      <paraID>58028989</paraID>
      <start>0</start>
      <end>2</end>
      <status>unmodified</status>
      <modifiedWord/>
      <trackRevisions>false</trackRevisions>
    </reviewItem>
    <reviewItem>
      <errorID>4cbe42a7-bc6c-48d0-8452-e7daff6eb890</errorID>
      <errorWord>国</errorWord>
      <group>L1_Word</group>
      <groupName>字词问题</groupName>
      <ability>L2_Typo</ability>
      <abilityName>字词错误</abilityName>
      <candidateList>
        <item>国家</item>
      </candidateList>
      <explain/>
      <paraID>7B42B3A0</paraID>
      <start>4</start>
      <end>5</end>
      <status>unmodified</status>
      <modifiedWord/>
      <trackRevisions>false</trackRevisions>
    </reviewItem>
    <reviewItem>
      <errorID>3eec4096-ddb4-4932-85cf-10c272ce774b</errorID>
      <errorWord>加强</errorWord>
      <group>L1_Word</group>
      <groupName>字词问题</groupName>
      <ability>L2_Typo</ability>
      <abilityName>字词错误</abilityName>
      <candidateList>
        <item>加大</item>
      </candidateList>
      <explain>“加强～力度”搭配不当，建议修改为“加大～力度”。</explain>
      <paraID>7732583D</paraID>
      <start>91</start>
      <end>93</end>
      <status>unmodified</status>
      <modifiedWord/>
      <trackRevisions>false</trackRevisions>
    </reviewItem>
    <reviewItem>
      <errorID>423b54c6-d2af-4b70-9832-b082bcd3bddd</errorID>
      <errorWord>甘孜州传统村落保护与利用条例</errorWord>
      <group>L1_Knowledge</group>
      <groupName>知识性问题</groupName>
      <ability>L2_Knowledge</ability>
      <abilityName>其他知识</abilityName>
      <candidateList/>
      <explain>当前法律法规未收录或尚未生效，注意核查是否正确。</explain>
      <paraID>7732583D</paraID>
      <start>177</start>
      <end>191</end>
      <status>unmodified</status>
      <modifiedWord/>
      <trackRevisions>false</trackRevisions>
    </reviewItem>
    <reviewItem>
      <errorID>b7d7d5f1-d70d-40c9-817a-784a3f8f7513</errorID>
      <errorWord>乡村旅游精品工程</errorWord>
      <group>L1_Political</group>
      <groupName>政治性问题</groupName>
      <ability>L2_Keyword</ability>
      <abilityName>固定表述</abilityName>
      <candidateList>
        <item>乡村休闲旅游精品工程</item>
      </candidateList>
      <explain>词汇“乡村休闲旅游精品工程”在特定场景下为固定表述形式，请确认此处的“乡村旅游精品工程”是否存在不当。</explain>
      <paraID> C320484</paraID>
      <start>377</start>
      <end>385</end>
      <status>unmodified</status>
      <modifiedWord/>
      <trackRevisions>false</trackRevisions>
    </reviewItem>
    <reviewItem>
      <errorID>d449f957-5937-4205-840c-d98698eb9610</errorID>
      <errorWord>络</errorWord>
      <group>L1_Word</group>
      <groupName>字词问题</groupName>
      <ability>L2_Typo</ability>
      <abilityName>字词错误</abilityName>
      <candidateList>
        <item>络和</item>
      </candidateList>
      <explain/>
      <paraID>2D9B4A52</paraID>
      <start>203</start>
      <end>204</end>
      <status>unmodified</status>
      <modifiedWord/>
      <trackRevisions>false</trackRevisions>
    </reviewItem>
    <reviewItem>
      <errorID>b4d514aa-4242-4461-9cd3-f6893d02a7fb</errorID>
      <errorWord>提高</errorWord>
      <group>L1_Word</group>
      <groupName>字词问题</groupName>
      <ability>L2_Typo</ability>
      <abilityName>字词错误</abilityName>
      <candidateList>
        <item>增强</item>
      </candidateList>
      <explain>“提高～意识”搭配不当，建议修改为“增强～意识”。</explain>
      <paraID> FFDA84D</paraID>
      <start>204</start>
      <end>206</end>
      <status>unmodified</status>
      <modifiedWord/>
      <trackRevisions>false</trackRevisions>
    </reviewItem>
    <reviewItem>
      <errorID>4fe81907-c59c-465e-bd0a-c650e712e5d8</errorID>
      <errorWord>节气</errorWord>
      <group>L1_Word</group>
      <groupName>字词问题</groupName>
      <ability>L2_Typo</ability>
      <abilityName>字词错误</abilityName>
      <candidateList>
        <item>节庆</item>
      </candidateList>
      <explain/>
      <paraID>399522A5</paraID>
      <start>132</start>
      <end>134</end>
      <status>unmodified</status>
      <modifiedWord/>
      <trackRevisions>false</trackRevisions>
    </reviewItem>
    <reviewItem>
      <errorID>e2a9ff7b-38ce-4980-b07b-6126813e7077</errorID>
      <errorWord>建设宜居宜业美丽乡村</errorWord>
      <group>L1_Political</group>
      <groupName>政治性问题</groupName>
      <ability>L2_Keyword</ability>
      <abilityName>固定表述</abilityName>
      <candidateList>
        <item>建设宜居宜业和美乡村</item>
      </candidateList>
      <explain>词汇“建设宜居宜业和美乡村”在特定场景下为固定表述形式，请确认此处的“建设宜居宜业美丽乡村”是否存在不当。</explain>
      <paraID>  6E2358</paraID>
      <start>7</start>
      <end>17</end>
      <status>unmodified</status>
      <modifiedWord/>
      <trackRevisions>false</trackRevisions>
    </reviewItem>
    <reviewItem>
      <errorID>fe2423af-7a61-4af7-8173-b6263b1c7db4</errorID>
      <errorWord>重、特大</errorWord>
      <group>L1_Punc</group>
      <groupName>标点问题</groupName>
      <ability>L2_Punc</ability>
      <abilityName>标点符号检查</abilityName>
      <candidateList>
        <item>重特大</item>
      </candidateList>
      <explain/>
      <paraID>3CB91A13</paraID>
      <start>0</start>
      <end>4</end>
      <status>unmodified</status>
      <modifiedWord/>
      <trackRevisions>false</trackRevisions>
    </reviewItem>
    <reviewItem>
      <errorID>128bf18e-27be-476b-a9a2-88ba6c74c72f</errorID>
      <errorWord>种草</errorWord>
      <group>L1_Official</group>
      <groupName>公文问题</groupName>
      <ability>L2_Official</ability>
      <abilityName>公文问题</abilityName>
      <candidateList/>
      <explain>公文中禁止出现该词语</explain>
      <paraID>6684F556</paraID>
      <start>34</start>
      <end>36</end>
      <status>unmodified</status>
      <modifiedWord/>
      <trackRevisions>false</trackRevisions>
    </reviewItem>
    <reviewItem>
      <errorID>ec0bdc78-630b-48ae-a3a1-cd9305476be3</errorID>
      <errorWord>种草</errorWord>
      <group>L1_Official</group>
      <groupName>公文问题</groupName>
      <ability>L2_Official</ability>
      <abilityName>公文问题</abilityName>
      <candidateList/>
      <explain>公文中禁止出现该词语</explain>
      <paraID>15C4C19B</paraID>
      <start>25</start>
      <end>27</end>
      <status>unmodified</status>
      <modifiedWord/>
      <trackRevisions>false</trackRevisions>
    </reviewItem>
    <reviewItem>
      <errorID>181e74d8-cf30-47dc-87cd-b73da30cd486</errorID>
      <errorWord>种草</errorWord>
      <group>L1_Official</group>
      <groupName>公文问题</groupName>
      <ability>L2_Official</ability>
      <abilityName>公文问题</abilityName>
      <candidateList/>
      <explain>公文中禁止出现该词语</explain>
      <paraID>15C4C19B</paraID>
      <start>62</start>
      <end>64</end>
      <status>unmodified</status>
      <modifiedWord/>
      <trackRevisions>false</trackRevisions>
    </reviewItem>
    <reviewItem>
      <errorID>ec645d57-9498-43ad-8d57-aa1f99bf96c7</errorID>
      <errorWord>种草</errorWord>
      <group>L1_Official</group>
      <groupName>公文问题</groupName>
      <ability>L2_Official</ability>
      <abilityName>公文问题</abilityName>
      <candidateList/>
      <explain>公文中禁止出现该词语</explain>
      <paraID>38833821</paraID>
      <start>34</start>
      <end>36</end>
      <status>unmodified</status>
      <modifiedWord/>
      <trackRevisions>false</trackRevisions>
    </reviewItem>
    <reviewItem>
      <errorID>688e7582-8563-4e2b-962f-8ca14e0b8e81</errorID>
      <errorWord>种草</errorWord>
      <group>L1_Official</group>
      <groupName>公文问题</groupName>
      <ability>L2_Official</ability>
      <abilityName>公文问题</abilityName>
      <candidateList/>
      <explain>公文中禁止出现该词语</explain>
      <paraID>1D0D2747</paraID>
      <start>25</start>
      <end>27</end>
      <status>unmodified</status>
      <modifiedWord/>
      <trackRevisions>false</trackRevisions>
    </reviewItem>
    <reviewItem>
      <errorID>71198d71-458d-4c16-b996-dcb19df13870</errorID>
      <errorWord>种草</errorWord>
      <group>L1_Official</group>
      <groupName>公文问题</groupName>
      <ability>L2_Official</ability>
      <abilityName>公文问题</abilityName>
      <candidateList/>
      <explain>公文中禁止出现该词语</explain>
      <paraID>1D0D2747</paraID>
      <start>60</start>
      <end>62</end>
      <status>unmodified</status>
      <modifiedWord/>
      <trackRevisions>false</trackRevisions>
    </reviewItem>
    <reviewItem>
      <errorID>28cd2fd3-f8ed-4854-95c9-2780e650ba97</errorID>
      <errorWord>（</errorWord>
      <group>L1_Punc</group>
      <groupName>标点问题</groupName>
      <ability>L2_Punc</ability>
      <abilityName>标点符号检查</abilityName>
      <candidateList/>
      <explain/>
      <paraID>675C6351</paraID>
      <start>188</start>
      <end>189</end>
      <status>unmodified</status>
      <modifiedWord/>
      <trackRevisions>false</trackRevisions>
    </reviewItem>
    <reviewItem>
      <errorID>a45bb163-0760-459d-8ca3-14f93e848a59</errorID>
      <errorWord>美乡村建设</errorWord>
      <group>L1_Political</group>
      <groupName>政治性问题</groupName>
      <ability>L2_Keyword</ability>
      <abilityName>固定表述</abilityName>
      <candidateList>
        <item>美丽乡村建设</item>
      </candidateList>
      <explain>词汇“美丽乡村建设”在特定场景下为固定表述形式，请确认此处的“美乡村建设”是否存在不当。</explain>
      <paraID>26D3B502</paraID>
      <start>4</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97edb2-31ff-41d0-a155-798b75f43767}">
  <ds:schemaRefs/>
</ds:datastoreItem>
</file>

<file path=docProps/app.xml><?xml version="1.0" encoding="utf-8"?>
<Properties xmlns="http://schemas.openxmlformats.org/officeDocument/2006/extended-properties" xmlns:vt="http://schemas.openxmlformats.org/officeDocument/2006/docPropsVTypes">
  <Template>Normal</Template>
  <Pages>104</Pages>
  <Words>1674</Words>
  <Characters>1776</Characters>
  <Lines>1306</Lines>
  <Paragraphs>949</Paragraphs>
  <TotalTime>13</TotalTime>
  <ScaleCrop>false</ScaleCrop>
  <LinksUpToDate>false</LinksUpToDate>
  <CharactersWithSpaces>2173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2025-10-24T06:42:00Z</dcterms:created>
  <dc:creator>Predator</dc:creator>
  <cp:lastModifiedBy>南笙°</cp:lastModifiedBy>
  <cp:lastPrinted>2026-08-27T03:37:00Z</cp:lastPrinted>
  <dcterms:modified xsi:type="dcterms:W3CDTF">2026-09-08T07:42:23Z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E7401EE389DD4B71BF5F852AD4468F98_13</vt:lpwstr>
  </property>
  <property fmtid="{D5CDD505-2E9C-101B-9397-08002B2CF9AE}" pid="4" name="KSOTemplateDocerSaveRecord">
    <vt:lpwstr>eyJoZGlkIjoiNTkzN2I4NDNjMGM2NzI0MjVmM2MwNDA4MzlmZTRkNTIiLCJ1c2VySWQiOiIyMzQ3MDc2OTAifQ==</vt:lpwstr>
  </property>
</Properties>
</file>