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ordWrap/>
        <w:overflowPunct/>
        <w:topLinePunct w:val="0"/>
        <w:bidi w:val="0"/>
        <w:spacing w:line="560" w:lineRule="exact"/>
        <w:jc w:val="both"/>
      </w:pPr>
    </w:p>
    <w:p>
      <w:pPr>
        <w:pStyle w:val="3"/>
        <w:keepNext w:val="0"/>
        <w:keepLines w:val="0"/>
        <w:pageBreakBefore w:val="0"/>
        <w:wordWrap/>
        <w:overflowPunct/>
        <w:topLinePunct w:val="0"/>
        <w:bidi w:val="0"/>
        <w:spacing w:line="560" w:lineRule="exact"/>
        <w:jc w:val="center"/>
        <w:rPr>
          <w:rFonts w:hint="eastAsia" w:ascii="方正小标宋简体" w:hAnsi="方正小标宋简体" w:eastAsia="方正小标宋简体" w:cs="方正小标宋简体"/>
          <w:spacing w:val="-3"/>
          <w:sz w:val="44"/>
          <w:szCs w:val="44"/>
          <w:lang w:val="en-US" w:eastAsia="zh-CN"/>
        </w:rPr>
      </w:pPr>
      <w:r>
        <w:rPr>
          <w:rFonts w:hint="eastAsia" w:ascii="方正小标宋简体" w:hAnsi="方正小标宋简体" w:eastAsia="方正小标宋简体" w:cs="方正小标宋简体"/>
          <w:spacing w:val="-3"/>
          <w:sz w:val="44"/>
          <w:szCs w:val="44"/>
          <w:lang w:val="en-US" w:eastAsia="zh-CN"/>
        </w:rPr>
        <w:t>阿坝县中央、省、州和县级财政常态化</w:t>
      </w:r>
    </w:p>
    <w:p>
      <w:pPr>
        <w:pStyle w:val="3"/>
        <w:keepNext w:val="0"/>
        <w:keepLines w:val="0"/>
        <w:pageBreakBefore w:val="0"/>
        <w:wordWrap/>
        <w:overflowPunct/>
        <w:topLinePunct w:val="0"/>
        <w:bidi w:val="0"/>
        <w:spacing w:line="560" w:lineRule="exact"/>
        <w:jc w:val="center"/>
        <w:rPr>
          <w:rFonts w:hint="eastAsia" w:ascii="方正小标宋简体" w:hAnsi="方正小标宋简体" w:eastAsia="方正小标宋简体" w:cs="方正小标宋简体"/>
          <w:spacing w:val="-3"/>
          <w:sz w:val="44"/>
          <w:szCs w:val="44"/>
          <w:lang w:val="en-US" w:eastAsia="zh-CN"/>
        </w:rPr>
      </w:pPr>
      <w:r>
        <w:rPr>
          <w:rFonts w:hint="eastAsia" w:ascii="方正小标宋简体" w:hAnsi="方正小标宋简体" w:eastAsia="方正小标宋简体" w:cs="方正小标宋简体"/>
          <w:spacing w:val="-3"/>
          <w:sz w:val="44"/>
          <w:szCs w:val="44"/>
          <w:lang w:val="en-US" w:eastAsia="zh-CN"/>
        </w:rPr>
        <w:t>帮扶资金管理办法（征求意见稿</w:t>
      </w:r>
      <w:bookmarkStart w:id="0" w:name="_GoBack"/>
      <w:bookmarkEnd w:id="0"/>
      <w:r>
        <w:rPr>
          <w:rFonts w:hint="eastAsia" w:ascii="方正小标宋简体" w:hAnsi="方正小标宋简体" w:eastAsia="方正小标宋简体" w:cs="方正小标宋简体"/>
          <w:spacing w:val="-3"/>
          <w:sz w:val="44"/>
          <w:szCs w:val="44"/>
          <w:lang w:val="en-US" w:eastAsia="zh-CN"/>
        </w:rPr>
        <w:t>）</w:t>
      </w:r>
    </w:p>
    <w:p>
      <w:pPr>
        <w:pStyle w:val="3"/>
        <w:keepNext w:val="0"/>
        <w:keepLines w:val="0"/>
        <w:pageBreakBefore w:val="0"/>
        <w:wordWrap/>
        <w:overflowPunct/>
        <w:topLinePunct w:val="0"/>
        <w:bidi w:val="0"/>
        <w:spacing w:line="560" w:lineRule="exact"/>
        <w:jc w:val="both"/>
      </w:pPr>
    </w:p>
    <w:p>
      <w:pPr>
        <w:keepNext w:val="0"/>
        <w:keepLines w:val="0"/>
        <w:pageBreakBefore w:val="0"/>
        <w:wordWrap/>
        <w:overflowPunct/>
        <w:topLinePunct w:val="0"/>
        <w:bidi w:val="0"/>
        <w:spacing w:before="104" w:line="560" w:lineRule="exact"/>
        <w:ind w:left="3307"/>
        <w:jc w:val="both"/>
        <w:outlineLvl w:val="1"/>
        <w:rPr>
          <w:rFonts w:hint="eastAsia" w:ascii="黑体" w:hAnsi="黑体" w:eastAsia="黑体" w:cs="黑体"/>
          <w:b w:val="0"/>
          <w:bCs w:val="0"/>
          <w:sz w:val="32"/>
          <w:szCs w:val="32"/>
        </w:rPr>
      </w:pPr>
      <w:r>
        <w:rPr>
          <w:rFonts w:hint="eastAsia" w:ascii="黑体" w:hAnsi="黑体" w:eastAsia="黑体" w:cs="黑体"/>
          <w:b w:val="0"/>
          <w:bCs w:val="0"/>
          <w:spacing w:val="-8"/>
          <w:sz w:val="32"/>
          <w:szCs w:val="32"/>
        </w:rPr>
        <w:t>第一章</w:t>
      </w:r>
      <w:r>
        <w:rPr>
          <w:rFonts w:hint="eastAsia" w:ascii="黑体" w:hAnsi="黑体" w:eastAsia="仿宋_GB2312" w:cs="黑体"/>
          <w:b w:val="0"/>
          <w:bCs w:val="0"/>
          <w:spacing w:val="11"/>
          <w:sz w:val="32"/>
          <w:szCs w:val="32"/>
          <w:lang w:eastAsia="zh-CN"/>
        </w:rPr>
        <w:t xml:space="preserve"> </w:t>
      </w:r>
      <w:r>
        <w:rPr>
          <w:rFonts w:hint="eastAsia" w:ascii="黑体" w:hAnsi="黑体" w:eastAsia="黑体" w:cs="黑体"/>
          <w:b w:val="0"/>
          <w:bCs w:val="0"/>
          <w:spacing w:val="-8"/>
          <w:sz w:val="32"/>
          <w:szCs w:val="32"/>
        </w:rPr>
        <w:t>总则</w:t>
      </w:r>
    </w:p>
    <w:p>
      <w:pPr>
        <w:keepNext w:val="0"/>
        <w:keepLines w:val="0"/>
        <w:pageBreakBefore w:val="0"/>
        <w:widowControl/>
        <w:kinsoku w:val="0"/>
        <w:wordWrap/>
        <w:overflowPunct/>
        <w:topLinePunct w:val="0"/>
        <w:autoSpaceDE w:val="0"/>
        <w:autoSpaceDN w:val="0"/>
        <w:bidi w:val="0"/>
        <w:adjustRightInd w:val="0"/>
        <w:snapToGrid w:val="0"/>
        <w:spacing w:before="161" w:line="560" w:lineRule="exact"/>
        <w:ind w:left="3" w:firstLine="618" w:firstLineChars="200"/>
        <w:jc w:val="both"/>
        <w:textAlignment w:val="baseline"/>
        <w:rPr>
          <w:rFonts w:hint="eastAsia" w:ascii="仿宋_GB2312" w:hAnsi="仿宋_GB2312" w:eastAsia="仿宋_GB2312" w:cs="仿宋_GB2312"/>
          <w:sz w:val="32"/>
          <w:szCs w:val="32"/>
        </w:rPr>
      </w:pPr>
      <w:r>
        <w:rPr>
          <w:rFonts w:hint="eastAsia" w:ascii="楷体" w:hAnsi="楷体" w:eastAsia="楷体" w:cs="楷体"/>
          <w:b/>
          <w:bCs/>
          <w:spacing w:val="-6"/>
          <w:sz w:val="32"/>
          <w:szCs w:val="32"/>
        </w:rPr>
        <w:t>第一条</w:t>
      </w:r>
      <w:r>
        <w:rPr>
          <w:rFonts w:hint="eastAsia" w:ascii="仿宋_GB2312" w:hAnsi="仿宋_GB2312" w:eastAsia="仿宋_GB2312" w:cs="仿宋_GB2312"/>
          <w:spacing w:val="-6"/>
          <w:sz w:val="32"/>
          <w:szCs w:val="32"/>
          <w:lang w:eastAsia="zh-CN"/>
        </w:rPr>
        <w:t xml:space="preserve"> 为加强中央、省、州和县级财政常态化帮扶资金管理，规范资金使用流程，提高财政资金使用效益，根据《中华人民共和国预算法》及其实施条例、《中央财政常态化帮扶资金管理办法》（财农〔2026〕10号）、《四川省中央和省级财政常态化帮扶资金管理办法》（川财农〔2026〕31号）、《阿坝州中央、省和州级财政常态化帮扶资金管理办法》（阿州财农〔2026〕13号）等法规文件，结合我县实际，制定本办法。</w:t>
      </w:r>
    </w:p>
    <w:p>
      <w:pPr>
        <w:pStyle w:val="3"/>
        <w:keepNext w:val="0"/>
        <w:keepLines w:val="0"/>
        <w:pageBreakBefore w:val="0"/>
        <w:widowControl/>
        <w:kinsoku w:val="0"/>
        <w:wordWrap/>
        <w:overflowPunct/>
        <w:topLinePunct w:val="0"/>
        <w:autoSpaceDE w:val="0"/>
        <w:autoSpaceDN w:val="0"/>
        <w:bidi w:val="0"/>
        <w:adjustRightInd w:val="0"/>
        <w:snapToGrid w:val="0"/>
        <w:spacing w:before="1" w:line="560" w:lineRule="exact"/>
        <w:ind w:left="2" w:right="56" w:firstLine="622" w:firstLineChars="200"/>
        <w:jc w:val="both"/>
        <w:textAlignment w:val="baseline"/>
        <w:rPr>
          <w:rFonts w:hint="eastAsia" w:ascii="仿宋_GB2312" w:hAnsi="仿宋_GB2312" w:eastAsia="仿宋_GB2312" w:cs="仿宋_GB2312"/>
          <w:sz w:val="32"/>
          <w:szCs w:val="32"/>
          <w:highlight w:val="none"/>
        </w:rPr>
      </w:pPr>
      <w:r>
        <w:rPr>
          <w:rFonts w:hint="eastAsia" w:ascii="楷体" w:hAnsi="楷体" w:eastAsia="楷体" w:cs="楷体"/>
          <w:b/>
          <w:bCs/>
          <w:spacing w:val="-5"/>
          <w:sz w:val="32"/>
          <w:szCs w:val="32"/>
        </w:rPr>
        <w:t>第二条</w:t>
      </w:r>
      <w:r>
        <w:rPr>
          <w:rFonts w:hint="eastAsia" w:ascii="仿宋_GB2312" w:hAnsi="仿宋_GB2312" w:eastAsia="仿宋_GB2312" w:cs="仿宋_GB2312"/>
          <w:spacing w:val="-5"/>
          <w:sz w:val="32"/>
          <w:szCs w:val="32"/>
          <w:lang w:eastAsia="zh-CN"/>
        </w:rPr>
        <w:t xml:space="preserve"> </w:t>
      </w:r>
      <w:r>
        <w:rPr>
          <w:rFonts w:hint="eastAsia" w:ascii="仿宋_GB2312" w:hAnsi="仿宋_GB2312" w:eastAsia="仿宋_GB2312" w:cs="仿宋_GB2312"/>
          <w:snapToGrid/>
          <w:color w:val="auto"/>
          <w:kern w:val="2"/>
          <w:sz w:val="32"/>
          <w:szCs w:val="32"/>
          <w:highlight w:val="none"/>
          <w:lang w:val="en-US" w:eastAsia="zh-CN" w:bidi="ar-SA"/>
        </w:rPr>
        <w:t>本办法所称中央、省、州和县级财政常态化帮扶资金，是指中央、省、州和县级财政安排用于支持我县实施产业帮扶、就业帮扶和欠发达地区开发式帮扶的一般性转移支付资金和县级自有预算资金。</w:t>
      </w:r>
    </w:p>
    <w:p>
      <w:pPr>
        <w:keepNext w:val="0"/>
        <w:keepLines w:val="0"/>
        <w:pageBreakBefore w:val="0"/>
        <w:widowControl/>
        <w:kinsoku w:val="0"/>
        <w:wordWrap/>
        <w:overflowPunct/>
        <w:topLinePunct w:val="0"/>
        <w:autoSpaceDE w:val="0"/>
        <w:autoSpaceDN w:val="0"/>
        <w:bidi w:val="0"/>
        <w:adjustRightInd w:val="0"/>
        <w:snapToGrid w:val="0"/>
        <w:spacing w:before="1" w:line="560" w:lineRule="exact"/>
        <w:ind w:left="3" w:right="103" w:firstLine="670" w:firstLineChars="200"/>
        <w:jc w:val="both"/>
        <w:textAlignment w:val="baseline"/>
        <w:rPr>
          <w:rFonts w:hint="eastAsia" w:ascii="仿宋_GB2312" w:hAnsi="仿宋_GB2312" w:eastAsia="仿宋_GB2312" w:cs="仿宋_GB2312"/>
          <w:snapToGrid/>
          <w:color w:val="auto"/>
          <w:kern w:val="2"/>
          <w:sz w:val="32"/>
          <w:szCs w:val="32"/>
          <w:highlight w:val="none"/>
          <w:lang w:val="en-US" w:eastAsia="zh-CN" w:bidi="ar-SA"/>
        </w:rPr>
      </w:pPr>
      <w:r>
        <w:rPr>
          <w:rFonts w:hint="eastAsia" w:ascii="楷体" w:hAnsi="楷体" w:eastAsia="楷体" w:cs="楷体"/>
          <w:b/>
          <w:bCs/>
          <w:spacing w:val="7"/>
          <w:sz w:val="32"/>
          <w:szCs w:val="32"/>
        </w:rPr>
        <w:t>第三条</w:t>
      </w:r>
      <w:r>
        <w:rPr>
          <w:rFonts w:hint="eastAsia" w:ascii="仿宋_GB2312" w:hAnsi="仿宋_GB2312" w:eastAsia="仿宋_GB2312" w:cs="仿宋_GB2312"/>
          <w:spacing w:val="7"/>
          <w:sz w:val="32"/>
          <w:szCs w:val="32"/>
          <w:lang w:eastAsia="zh-CN"/>
        </w:rPr>
        <w:t xml:space="preserve"> </w:t>
      </w:r>
      <w:r>
        <w:rPr>
          <w:rFonts w:hint="eastAsia" w:ascii="仿宋_GB2312" w:hAnsi="仿宋_GB2312" w:eastAsia="仿宋_GB2312" w:cs="仿宋_GB2312"/>
          <w:snapToGrid/>
          <w:color w:val="auto"/>
          <w:kern w:val="2"/>
          <w:sz w:val="32"/>
          <w:szCs w:val="32"/>
          <w:highlight w:val="none"/>
          <w:lang w:val="en-US" w:eastAsia="zh-CN" w:bidi="ar-SA"/>
        </w:rPr>
        <w:t>中央、省、州和县级财政常态化帮扶资金分为开发式帮扶、以工代赈、少数民族发展、欠发达国有农场巩固提升、欠发达国有林场巩固提升5个任务方向。</w:t>
      </w:r>
    </w:p>
    <w:p>
      <w:pPr>
        <w:pStyle w:val="3"/>
        <w:keepNext w:val="0"/>
        <w:keepLines w:val="0"/>
        <w:pageBreakBefore w:val="0"/>
        <w:widowControl/>
        <w:kinsoku w:val="0"/>
        <w:wordWrap/>
        <w:overflowPunct/>
        <w:topLinePunct w:val="0"/>
        <w:autoSpaceDE w:val="0"/>
        <w:autoSpaceDN w:val="0"/>
        <w:bidi w:val="0"/>
        <w:adjustRightInd w:val="0"/>
        <w:snapToGrid w:val="0"/>
        <w:spacing w:before="9" w:line="560" w:lineRule="exact"/>
        <w:ind w:left="7" w:right="95" w:firstLine="670" w:firstLineChars="200"/>
        <w:jc w:val="both"/>
        <w:textAlignment w:val="baseline"/>
        <w:rPr>
          <w:rFonts w:hint="eastAsia" w:ascii="仿宋_GB2312" w:hAnsi="仿宋_GB2312" w:eastAsia="仿宋_GB2312" w:cs="仿宋_GB2312"/>
          <w:snapToGrid/>
          <w:color w:val="auto"/>
          <w:kern w:val="2"/>
          <w:sz w:val="32"/>
          <w:szCs w:val="32"/>
          <w:highlight w:val="none"/>
          <w:lang w:val="en-US" w:eastAsia="zh-CN" w:bidi="ar-SA"/>
        </w:rPr>
      </w:pPr>
      <w:r>
        <w:rPr>
          <w:rFonts w:hint="eastAsia" w:ascii="楷体" w:hAnsi="楷体" w:eastAsia="楷体" w:cs="楷体"/>
          <w:b/>
          <w:bCs/>
          <w:spacing w:val="7"/>
          <w:sz w:val="32"/>
          <w:szCs w:val="32"/>
        </w:rPr>
        <w:t>第</w:t>
      </w:r>
      <w:r>
        <w:rPr>
          <w:rFonts w:hint="eastAsia" w:ascii="楷体" w:hAnsi="楷体" w:eastAsia="楷体" w:cs="楷体"/>
          <w:b/>
          <w:bCs/>
          <w:spacing w:val="7"/>
          <w:sz w:val="32"/>
          <w:szCs w:val="32"/>
          <w:lang w:eastAsia="zh-CN"/>
        </w:rPr>
        <w:t>四</w:t>
      </w:r>
      <w:r>
        <w:rPr>
          <w:rFonts w:hint="eastAsia" w:ascii="楷体" w:hAnsi="楷体" w:eastAsia="楷体" w:cs="楷体"/>
          <w:b/>
          <w:bCs/>
          <w:spacing w:val="7"/>
          <w:sz w:val="32"/>
          <w:szCs w:val="32"/>
        </w:rPr>
        <w:t>条</w:t>
      </w:r>
      <w:r>
        <w:rPr>
          <w:rFonts w:hint="eastAsia" w:ascii="仿宋_GB2312" w:hAnsi="仿宋_GB2312" w:eastAsia="仿宋_GB2312" w:cs="仿宋_GB2312"/>
          <w:spacing w:val="7"/>
          <w:sz w:val="32"/>
          <w:szCs w:val="32"/>
          <w:lang w:eastAsia="zh-CN"/>
        </w:rPr>
        <w:t xml:space="preserve"> </w:t>
      </w:r>
      <w:r>
        <w:rPr>
          <w:rFonts w:hint="eastAsia" w:ascii="仿宋_GB2312" w:hAnsi="仿宋_GB2312" w:eastAsia="仿宋_GB2312" w:cs="仿宋_GB2312"/>
          <w:snapToGrid/>
          <w:color w:val="auto"/>
          <w:kern w:val="2"/>
          <w:sz w:val="32"/>
          <w:szCs w:val="32"/>
          <w:highlight w:val="none"/>
          <w:lang w:val="en-US" w:eastAsia="zh-CN" w:bidi="ar-SA"/>
        </w:rPr>
        <w:t>中央、省、州和县级财政常态化帮扶资金由县财政局会同县科学技术和农业畜牧水务局、县发展和改革局、县民族宗教局、县林业和草原局共同管理。其中：开发式帮扶、欠发达国有农场巩固提升任务方向资金由县财政局、县科学技术与农业畜牧局共同管理；以工代赈任务方向资金由县财政局、县发展和改革局共同管理；少数民族发展任务方向资金由县财政局、县民族宗教局共同管理；欠发达国有林场巩固提升任务方向资金由县财政局、县林业和草原局共同管理。县级财政和科农畜水、发展改革、民族宗教、林草等任务方向主管部门根据以下职责分工，履行资金使用管理职责。</w:t>
      </w:r>
    </w:p>
    <w:p>
      <w:pPr>
        <w:keepNext w:val="0"/>
        <w:keepLines w:val="0"/>
        <w:pageBreakBefore w:val="0"/>
        <w:widowControl/>
        <w:kinsoku w:val="0"/>
        <w:wordWrap/>
        <w:overflowPunct/>
        <w:topLinePunct w:val="0"/>
        <w:autoSpaceDE w:val="0"/>
        <w:autoSpaceDN w:val="0"/>
        <w:bidi w:val="0"/>
        <w:adjustRightInd w:val="0"/>
        <w:snapToGrid w:val="0"/>
        <w:spacing w:before="1" w:line="560" w:lineRule="exact"/>
        <w:ind w:left="3" w:right="103" w:firstLine="642" w:firstLineChars="200"/>
        <w:jc w:val="both"/>
        <w:textAlignment w:val="baseline"/>
        <w:rPr>
          <w:rFonts w:hint="default" w:ascii="仿宋_GB2312" w:hAnsi="仿宋_GB2312" w:eastAsia="仿宋_GB2312" w:cs="仿宋_GB2312"/>
          <w:snapToGrid/>
          <w:color w:val="auto"/>
          <w:kern w:val="2"/>
          <w:sz w:val="32"/>
          <w:szCs w:val="32"/>
          <w:highlight w:val="none"/>
          <w:lang w:val="en-US" w:eastAsia="zh-CN" w:bidi="ar-SA"/>
        </w:rPr>
      </w:pPr>
      <w:r>
        <w:rPr>
          <w:rFonts w:hint="default" w:ascii="仿宋_GB2312" w:hAnsi="仿宋_GB2312" w:eastAsia="仿宋_GB2312" w:cs="仿宋_GB2312"/>
          <w:b/>
          <w:bCs/>
          <w:snapToGrid/>
          <w:color w:val="auto"/>
          <w:kern w:val="2"/>
          <w:sz w:val="32"/>
          <w:szCs w:val="32"/>
          <w:highlight w:val="none"/>
          <w:lang w:val="en-US" w:eastAsia="zh-CN" w:bidi="ar-SA"/>
        </w:rPr>
        <w:t>（一）</w:t>
      </w:r>
      <w:r>
        <w:rPr>
          <w:rFonts w:hint="default" w:ascii="仿宋_GB2312" w:hAnsi="仿宋_GB2312" w:eastAsia="仿宋_GB2312" w:cs="仿宋_GB2312"/>
          <w:snapToGrid/>
          <w:color w:val="auto"/>
          <w:kern w:val="2"/>
          <w:sz w:val="32"/>
          <w:szCs w:val="32"/>
          <w:highlight w:val="none"/>
          <w:lang w:val="en-US" w:eastAsia="zh-CN" w:bidi="ar-SA"/>
        </w:rPr>
        <w:t>县财政局负责中央、省、州和县级财政常态化帮扶资金预算管理，对县级任务方向主管部门提出的资金分配建议方案进行合规性审核，办理资金预算下达，组织实施绩效管理和财会监督，指导县级任务方向主管部门加强资金监管和绩效管理等。</w:t>
      </w:r>
    </w:p>
    <w:p>
      <w:pPr>
        <w:keepNext w:val="0"/>
        <w:keepLines w:val="0"/>
        <w:pageBreakBefore w:val="0"/>
        <w:widowControl/>
        <w:kinsoku w:val="0"/>
        <w:wordWrap/>
        <w:overflowPunct/>
        <w:topLinePunct w:val="0"/>
        <w:autoSpaceDE w:val="0"/>
        <w:autoSpaceDN w:val="0"/>
        <w:bidi w:val="0"/>
        <w:adjustRightInd w:val="0"/>
        <w:snapToGrid w:val="0"/>
        <w:spacing w:before="1" w:line="560" w:lineRule="exact"/>
        <w:ind w:left="3" w:right="103" w:firstLine="642" w:firstLineChars="200"/>
        <w:jc w:val="both"/>
        <w:textAlignment w:val="baseline"/>
        <w:rPr>
          <w:rFonts w:hint="eastAsia" w:ascii="仿宋_GB2312" w:hAnsi="仿宋_GB2312" w:eastAsia="仿宋_GB2312" w:cs="仿宋_GB2312"/>
          <w:snapToGrid/>
          <w:color w:val="auto"/>
          <w:kern w:val="2"/>
          <w:sz w:val="32"/>
          <w:szCs w:val="32"/>
          <w:highlight w:val="none"/>
          <w:lang w:val="en-US" w:eastAsia="zh-CN" w:bidi="ar-SA"/>
        </w:rPr>
      </w:pPr>
      <w:r>
        <w:rPr>
          <w:rFonts w:hint="default" w:ascii="仿宋_GB2312" w:hAnsi="仿宋_GB2312" w:eastAsia="仿宋_GB2312" w:cs="仿宋_GB2312"/>
          <w:b/>
          <w:bCs/>
          <w:snapToGrid/>
          <w:color w:val="auto"/>
          <w:kern w:val="2"/>
          <w:sz w:val="32"/>
          <w:szCs w:val="32"/>
          <w:highlight w:val="none"/>
          <w:lang w:val="en-US" w:eastAsia="zh-CN" w:bidi="ar-SA"/>
        </w:rPr>
        <w:t>（二）</w:t>
      </w:r>
      <w:r>
        <w:rPr>
          <w:rFonts w:hint="default" w:ascii="仿宋_GB2312" w:hAnsi="仿宋_GB2312" w:eastAsia="仿宋_GB2312" w:cs="仿宋_GB2312"/>
          <w:snapToGrid/>
          <w:color w:val="auto"/>
          <w:kern w:val="2"/>
          <w:sz w:val="32"/>
          <w:szCs w:val="32"/>
          <w:highlight w:val="none"/>
          <w:lang w:val="en-US" w:eastAsia="zh-CN" w:bidi="ar-SA"/>
        </w:rPr>
        <w:t>县科学技术和农业畜牧</w:t>
      </w:r>
      <w:r>
        <w:rPr>
          <w:rFonts w:hint="eastAsia" w:ascii="仿宋_GB2312" w:hAnsi="仿宋_GB2312" w:eastAsia="仿宋_GB2312" w:cs="仿宋_GB2312"/>
          <w:snapToGrid/>
          <w:color w:val="auto"/>
          <w:kern w:val="2"/>
          <w:sz w:val="32"/>
          <w:szCs w:val="32"/>
          <w:highlight w:val="none"/>
          <w:lang w:val="en-US" w:eastAsia="zh-CN" w:bidi="ar-SA"/>
        </w:rPr>
        <w:t>水务</w:t>
      </w:r>
      <w:r>
        <w:rPr>
          <w:rFonts w:hint="default" w:ascii="仿宋_GB2312" w:hAnsi="仿宋_GB2312" w:eastAsia="仿宋_GB2312" w:cs="仿宋_GB2312"/>
          <w:snapToGrid/>
          <w:color w:val="auto"/>
          <w:kern w:val="2"/>
          <w:sz w:val="32"/>
          <w:szCs w:val="32"/>
          <w:highlight w:val="none"/>
          <w:lang w:val="en-US" w:eastAsia="zh-CN" w:bidi="ar-SA"/>
        </w:rPr>
        <w:t>局、县发展和改革局、县民族宗教局、县林业和草原局等县级任务方向主管部门按照“管资金必须管绩效和监督、管项目必须管绩效和监督、管政策必须管绩效和监督”要求，对中央、省、州和县级财政常态化帮扶资金使用、政策执行等承担主体责任。负责组织项目申报审核入库，收集审核基础数据，对测算所需行业基础数据真实性、准确性和及时性负责，拟定资金分配建议方案并会同县财政局按程序报批。开展资金项目和形成资产使用监管，组织实施绩效管理。指导监督项目业主单位做好资金使用项目实施管理等</w:t>
      </w:r>
      <w:r>
        <w:rPr>
          <w:rFonts w:hint="eastAsia" w:ascii="仿宋_GB2312" w:hAnsi="仿宋_GB2312" w:eastAsia="仿宋_GB2312" w:cs="仿宋_GB2312"/>
          <w:snapToGrid/>
          <w:color w:val="auto"/>
          <w:kern w:val="2"/>
          <w:sz w:val="32"/>
          <w:szCs w:val="32"/>
          <w:highlight w:val="none"/>
          <w:lang w:val="en-US" w:eastAsia="zh-CN" w:bidi="ar-SA"/>
        </w:rPr>
        <w:t>。</w:t>
      </w:r>
    </w:p>
    <w:p>
      <w:pPr>
        <w:keepNext w:val="0"/>
        <w:keepLines w:val="0"/>
        <w:pageBreakBefore w:val="0"/>
        <w:widowControl/>
        <w:kinsoku w:val="0"/>
        <w:wordWrap/>
        <w:overflowPunct/>
        <w:topLinePunct w:val="0"/>
        <w:autoSpaceDE w:val="0"/>
        <w:autoSpaceDN w:val="0"/>
        <w:bidi w:val="0"/>
        <w:adjustRightInd w:val="0"/>
        <w:snapToGrid w:val="0"/>
        <w:spacing w:before="1" w:line="560" w:lineRule="exact"/>
        <w:ind w:left="3" w:right="103" w:firstLine="642" w:firstLineChars="200"/>
        <w:jc w:val="both"/>
        <w:textAlignment w:val="baseline"/>
        <w:rPr>
          <w:rFonts w:hint="default" w:ascii="仿宋_GB2312" w:hAnsi="仿宋_GB2312" w:eastAsia="仿宋_GB2312" w:cs="仿宋_GB2312"/>
          <w:snapToGrid/>
          <w:color w:val="auto"/>
          <w:kern w:val="2"/>
          <w:sz w:val="32"/>
          <w:szCs w:val="32"/>
          <w:highlight w:val="none"/>
          <w:lang w:val="en-US" w:eastAsia="zh-CN" w:bidi="ar-SA"/>
        </w:rPr>
      </w:pPr>
      <w:r>
        <w:rPr>
          <w:rFonts w:hint="default" w:ascii="仿宋_GB2312" w:hAnsi="仿宋_GB2312" w:eastAsia="仿宋_GB2312" w:cs="仿宋_GB2312"/>
          <w:b/>
          <w:bCs/>
          <w:snapToGrid/>
          <w:color w:val="auto"/>
          <w:kern w:val="2"/>
          <w:sz w:val="32"/>
          <w:szCs w:val="32"/>
          <w:highlight w:val="none"/>
          <w:lang w:val="en-US" w:eastAsia="zh-CN" w:bidi="ar-SA"/>
        </w:rPr>
        <w:t>（三）</w:t>
      </w:r>
      <w:r>
        <w:rPr>
          <w:rFonts w:hint="default" w:ascii="仿宋_GB2312" w:hAnsi="仿宋_GB2312" w:eastAsia="仿宋_GB2312" w:cs="仿宋_GB2312"/>
          <w:snapToGrid/>
          <w:color w:val="auto"/>
          <w:kern w:val="2"/>
          <w:sz w:val="32"/>
          <w:szCs w:val="32"/>
          <w:highlight w:val="none"/>
          <w:lang w:val="en-US" w:eastAsia="zh-CN" w:bidi="ar-SA"/>
        </w:rPr>
        <w:t>县财政部门负责中央、省、州和县级财政常态化帮扶资金预算分解下达，配合县级任务方向主管部门做好项目申报、安排和基础数据上报，按程序拨付资金，组织实施绩效管理和财会监督，指导县级任务方向主管部门加强资金监管和绩效管理等。</w:t>
      </w:r>
    </w:p>
    <w:p>
      <w:pPr>
        <w:pStyle w:val="3"/>
        <w:keepNext w:val="0"/>
        <w:keepLines w:val="0"/>
        <w:pageBreakBefore w:val="0"/>
        <w:widowControl/>
        <w:kinsoku w:val="0"/>
        <w:wordWrap/>
        <w:overflowPunct/>
        <w:topLinePunct w:val="0"/>
        <w:autoSpaceDE w:val="0"/>
        <w:autoSpaceDN w:val="0"/>
        <w:bidi w:val="0"/>
        <w:adjustRightInd w:val="0"/>
        <w:snapToGrid w:val="0"/>
        <w:spacing w:before="9" w:line="560" w:lineRule="exact"/>
        <w:ind w:right="95" w:firstLine="642" w:firstLineChars="200"/>
        <w:jc w:val="both"/>
        <w:textAlignment w:val="baseline"/>
        <w:rPr>
          <w:rFonts w:hint="eastAsia" w:ascii="仿宋_GB2312" w:hAnsi="仿宋_GB2312" w:eastAsia="仿宋_GB2312" w:cs="仿宋_GB2312"/>
          <w:snapToGrid/>
          <w:color w:val="auto"/>
          <w:kern w:val="2"/>
          <w:sz w:val="32"/>
          <w:szCs w:val="32"/>
          <w:highlight w:val="none"/>
          <w:lang w:val="en-US" w:eastAsia="zh-CN" w:bidi="ar-SA"/>
        </w:rPr>
      </w:pPr>
      <w:r>
        <w:rPr>
          <w:rFonts w:hint="default" w:ascii="仿宋_GB2312" w:hAnsi="仿宋_GB2312" w:eastAsia="仿宋_GB2312" w:cs="仿宋_GB2312"/>
          <w:b/>
          <w:bCs/>
          <w:snapToGrid/>
          <w:color w:val="auto"/>
          <w:kern w:val="2"/>
          <w:sz w:val="32"/>
          <w:szCs w:val="32"/>
          <w:highlight w:val="none"/>
          <w:lang w:val="en-US" w:eastAsia="zh-CN" w:bidi="ar-SA"/>
        </w:rPr>
        <w:t>（四）</w:t>
      </w:r>
      <w:r>
        <w:rPr>
          <w:rFonts w:hint="eastAsia" w:ascii="仿宋_GB2312" w:hAnsi="仿宋_GB2312" w:eastAsia="仿宋_GB2312" w:cs="仿宋_GB2312"/>
          <w:snapToGrid/>
          <w:color w:val="auto"/>
          <w:kern w:val="2"/>
          <w:sz w:val="32"/>
          <w:szCs w:val="32"/>
          <w:highlight w:val="none"/>
          <w:lang w:val="en-US" w:eastAsia="zh-CN" w:bidi="ar-SA"/>
        </w:rPr>
        <w:t>县级任务方向主管部门是中央、省、州和县级财政常态化帮扶资金预算执行的责任主体，是对应任务方向资金和项目的主管部门，负责项目论证储备、基础数据报送、项目审核申报、项目资金安排、资金支出管理，开展形成资产具体使用监管，组织项目实施、监管、验收、具体绩效管理等。</w:t>
      </w:r>
    </w:p>
    <w:p>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outlineLvl w:val="1"/>
        <w:rPr>
          <w:rFonts w:hint="eastAsia" w:ascii="黑体" w:hAnsi="黑体" w:eastAsia="黑体" w:cs="黑体"/>
          <w:sz w:val="32"/>
          <w:szCs w:val="32"/>
          <w:lang w:eastAsia="zh-CN"/>
        </w:rPr>
      </w:pPr>
      <w:r>
        <w:rPr>
          <w:rFonts w:ascii="黑体" w:hAnsi="黑体" w:eastAsia="黑体" w:cs="黑体"/>
          <w:spacing w:val="-2"/>
          <w:sz w:val="32"/>
          <w:szCs w:val="32"/>
        </w:rPr>
        <w:t>第二章</w:t>
      </w:r>
      <w:r>
        <w:rPr>
          <w:rFonts w:hint="eastAsia" w:ascii="黑体" w:hAnsi="黑体" w:eastAsia="仿宋_GB2312" w:cs="黑体"/>
          <w:spacing w:val="-2"/>
          <w:sz w:val="32"/>
          <w:szCs w:val="32"/>
          <w:lang w:eastAsia="zh-CN"/>
        </w:rPr>
        <w:t xml:space="preserve"> </w:t>
      </w:r>
      <w:r>
        <w:rPr>
          <w:rFonts w:hint="eastAsia" w:ascii="黑体" w:hAnsi="黑体" w:eastAsia="黑体" w:cs="黑体"/>
          <w:spacing w:val="-2"/>
          <w:sz w:val="32"/>
          <w:szCs w:val="32"/>
          <w:lang w:eastAsia="zh-CN"/>
        </w:rPr>
        <w:t>资金用途</w:t>
      </w:r>
    </w:p>
    <w:p>
      <w:pPr>
        <w:keepNext w:val="0"/>
        <w:keepLines w:val="0"/>
        <w:pageBreakBefore w:val="0"/>
        <w:widowControl/>
        <w:kinsoku w:val="0"/>
        <w:wordWrap/>
        <w:overflowPunct/>
        <w:topLinePunct w:val="0"/>
        <w:autoSpaceDE w:val="0"/>
        <w:autoSpaceDN w:val="0"/>
        <w:bidi w:val="0"/>
        <w:adjustRightInd w:val="0"/>
        <w:snapToGrid w:val="0"/>
        <w:spacing w:before="2" w:line="560" w:lineRule="exact"/>
        <w:ind w:left="0" w:right="6" w:firstLine="642" w:firstLineChars="200"/>
        <w:jc w:val="both"/>
        <w:textAlignment w:val="baseline"/>
        <w:rPr>
          <w:rFonts w:hint="eastAsia" w:ascii="仿宋_GB2312" w:hAnsi="仿宋_GB2312" w:eastAsia="仿宋_GB2312" w:cs="仿宋_GB2312"/>
          <w:sz w:val="32"/>
          <w:szCs w:val="32"/>
          <w:lang w:eastAsia="zh-CN"/>
        </w:rPr>
      </w:pPr>
      <w:r>
        <w:rPr>
          <w:rFonts w:hint="eastAsia" w:ascii="楷体" w:hAnsi="楷体" w:eastAsia="楷体" w:cs="楷体"/>
          <w:b/>
          <w:bCs/>
          <w:sz w:val="32"/>
          <w:szCs w:val="32"/>
          <w:lang w:eastAsia="zh-CN"/>
        </w:rPr>
        <w:t>第五条</w:t>
      </w:r>
      <w:r>
        <w:rPr>
          <w:rFonts w:hint="eastAsia" w:ascii="楷体" w:hAnsi="楷体" w:eastAsia="楷体" w:cs="楷体"/>
          <w:b/>
          <w:bCs/>
          <w:sz w:val="32"/>
          <w:szCs w:val="32"/>
          <w:lang w:val="en-US" w:eastAsia="zh-CN"/>
        </w:rPr>
        <w:t xml:space="preserve"> </w:t>
      </w:r>
      <w:r>
        <w:rPr>
          <w:rFonts w:hint="eastAsia" w:ascii="仿宋_GB2312" w:hAnsi="仿宋_GB2312" w:eastAsia="仿宋_GB2312" w:cs="仿宋_GB2312"/>
          <w:sz w:val="32"/>
          <w:szCs w:val="32"/>
          <w:lang w:eastAsia="zh-CN"/>
        </w:rPr>
        <w:t>中央财政常态化帮扶资金支持范围：</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2" w:firstLineChars="200"/>
        <w:jc w:val="both"/>
        <w:textAlignment w:val="baseline"/>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（一）</w:t>
      </w:r>
      <w:r>
        <w:rPr>
          <w:rFonts w:hint="eastAsia" w:ascii="仿宋_GB2312" w:hAnsi="仿宋_GB2312" w:eastAsia="仿宋_GB2312" w:cs="仿宋_GB2312"/>
          <w:b w:val="0"/>
          <w:bCs w:val="0"/>
          <w:sz w:val="32"/>
          <w:szCs w:val="32"/>
          <w:lang w:eastAsia="zh-CN"/>
        </w:rPr>
        <w:t>重点支持帮扶产业发展，提升产业帮扶质效，优先用于带动防止返贫致贫对象和需要继续帮扶的原建档立卡脱贫人口(以下统称“重点帮扶群体”)通过产业增收。支持推动全产业链开发，壮大县域农业主导产业和特色产业发展；支持必要的产业配套基础设施建设；鼓励运用先进高效农业科学技术促进帮扶产业提档升级；可利用产业帮扶到户奖补政策，支持重点帮扶群体开展生产经营活动；对帮扶小额信贷予以贴息补助。按规定支持发展新型农村集体经济。各地可安排少数民族发展任务方向资金支持实施民族手工业等特色产业发展和推广困难群众饮用低氟边销茶；安排欠发达国有农场和林场巩固提升任务方向资金支持发展农场、林场的优势特色产业。</w:t>
      </w:r>
    </w:p>
    <w:p>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2" w:firstLineChars="200"/>
        <w:jc w:val="both"/>
        <w:textAlignment w:val="baseline"/>
        <w:rPr>
          <w:rFonts w:hint="eastAsia" w:ascii="Times New Roman" w:hAnsi="Times New Roman" w:eastAsia="方正仿宋_GBK" w:cs="Times New Roman"/>
          <w:snapToGrid/>
          <w:color w:val="auto"/>
          <w:kern w:val="2"/>
          <w:sz w:val="32"/>
          <w:szCs w:val="32"/>
          <w:highlight w:val="none"/>
          <w:lang w:val="en-US" w:eastAsia="zh-CN" w:bidi="ar-SA"/>
        </w:rPr>
      </w:pP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snapToGrid/>
          <w:color w:val="auto"/>
          <w:kern w:val="2"/>
          <w:sz w:val="32"/>
          <w:szCs w:val="32"/>
          <w:highlight w:val="none"/>
          <w:lang w:val="en-US" w:eastAsia="zh-CN" w:bidi="ar-SA"/>
        </w:rPr>
        <w:t>支持重点帮扶群体就业增收。支持吸纳重点帮扶群体等参与小型农村基础设施建设以工代赈项目；对重点帮扶群体开展生产经营和劳动技能培训；对重点帮扶群体家庭新成长劳动力参与“雨露计划”给予补助；对帮扶车间、乡村工匠、劳务品牌吸纳重点帮扶群体就业给予奖补。规范支持重点帮扶群体从事公益岗位。对重点帮扶群体中符合条件的跨省就业人员每年可安排一次性交通补助。</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2" w:firstLineChars="200"/>
        <w:jc w:val="both"/>
        <w:textAlignment w:val="baseline"/>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val="0"/>
          <w:bCs w:val="0"/>
          <w:sz w:val="32"/>
          <w:szCs w:val="32"/>
          <w:lang w:eastAsia="zh-CN"/>
        </w:rPr>
        <w:t>支持补齐必要的小型公益性基础设施建设短板。支持道路、饮水保障、排水等村（易地扶贫搬迁集中安置区、欠发达国有农场和林场）内户外小型公益性基础设施建设，解决影响群众基本生产生活的突出困难，促进改善农村人居环境。统筹考虑财力承受度和群众接受度，可以行政村或自然村组等为单位因地制宜片区化推进。</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2" w:firstLineChars="20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bCs/>
          <w:sz w:val="32"/>
          <w:szCs w:val="32"/>
          <w:lang w:eastAsia="zh-CN"/>
        </w:rPr>
        <w:t>（四）</w:t>
      </w:r>
      <w:r>
        <w:rPr>
          <w:rFonts w:hint="eastAsia" w:ascii="仿宋_GB2312" w:hAnsi="仿宋_GB2312" w:eastAsia="仿宋_GB2312" w:cs="仿宋_GB2312"/>
          <w:b w:val="0"/>
          <w:bCs w:val="0"/>
          <w:sz w:val="32"/>
          <w:szCs w:val="32"/>
          <w:lang w:eastAsia="zh-CN"/>
        </w:rPr>
        <w:t>其他方面。通过开发式帮扶任务方向资金继续推动做好“十三五”易地扶贫搬迁后续扶持工作，支持带动搬迁群众增收的项目，适当对社区综合服务设施建设予以补助，对纳入“十三五”易地扶贫搬迁规划的建档立卡贫困人口易地扶贫搬迁贷款和调整规范后的地方政府债券按规定予以贴息补助。落实党中央、国务院部署的其他相关任务事项。</w:t>
      </w:r>
    </w:p>
    <w:p>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2" w:firstLineChars="200"/>
        <w:jc w:val="both"/>
        <w:textAlignment w:val="baseline"/>
        <w:rPr>
          <w:rFonts w:hint="eastAsia" w:ascii="仿宋_GB2312" w:hAnsi="仿宋_GB2312" w:eastAsia="仿宋_GB2312" w:cs="仿宋_GB2312"/>
          <w:sz w:val="32"/>
          <w:szCs w:val="32"/>
          <w:lang w:eastAsia="zh-CN"/>
        </w:rPr>
      </w:pPr>
      <w:r>
        <w:rPr>
          <w:rFonts w:hint="eastAsia" w:ascii="楷体" w:hAnsi="楷体" w:eastAsia="楷体" w:cs="楷体"/>
          <w:b/>
          <w:bCs/>
          <w:sz w:val="32"/>
          <w:szCs w:val="32"/>
          <w:lang w:eastAsia="zh-CN"/>
        </w:rPr>
        <w:t>第六条</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napToGrid/>
          <w:color w:val="auto"/>
          <w:kern w:val="2"/>
          <w:sz w:val="32"/>
          <w:szCs w:val="32"/>
          <w:highlight w:val="none"/>
          <w:lang w:val="en-US" w:eastAsia="zh-CN" w:bidi="ar-SA"/>
        </w:rPr>
        <w:t>省级财政常态化帮扶资金除可用于中央财政常态化帮扶资金用途外，还可用于利用其他就业帮扶到户奖补政策，支持重点帮扶群体外出务工；支持重点帮扶群体从事山洪灾害危险区责任人公益岗位；支持解决重点帮扶群体安全饮水入户；按照帮扶小额信贷分险基金与贷款余额放大倍数要求，不足的可适当补充帮扶小额信贷分险基金；落实省委、省政府部署的其他相关任务事项，按程序明确后予以支持。</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2" w:firstLineChars="200"/>
        <w:jc w:val="both"/>
        <w:textAlignment w:val="baseline"/>
        <w:rPr>
          <w:rFonts w:hint="eastAsia" w:ascii="仿宋_GB2312" w:hAnsi="仿宋_GB2312" w:eastAsia="仿宋_GB2312" w:cs="仿宋_GB2312"/>
          <w:sz w:val="32"/>
          <w:szCs w:val="32"/>
          <w:lang w:eastAsia="zh-CN"/>
        </w:rPr>
      </w:pPr>
      <w:r>
        <w:rPr>
          <w:rFonts w:hint="eastAsia" w:ascii="楷体" w:hAnsi="楷体" w:eastAsia="楷体" w:cs="楷体"/>
          <w:b/>
          <w:bCs/>
          <w:sz w:val="32"/>
          <w:szCs w:val="32"/>
          <w:lang w:eastAsia="zh-CN"/>
        </w:rPr>
        <w:t>第七条</w:t>
      </w:r>
      <w:r>
        <w:rPr>
          <w:rFonts w:hint="eastAsia" w:ascii="仿宋_GB2312" w:hAnsi="仿宋_GB2312" w:eastAsia="仿宋_GB2312" w:cs="仿宋_GB2312"/>
          <w:sz w:val="32"/>
          <w:szCs w:val="32"/>
          <w:lang w:eastAsia="zh-CN"/>
        </w:rPr>
        <w:t xml:space="preserve"> 州级财政常态化帮扶资金除可用于中央和省级财政常态化帮扶资金用途外，还可用于州委、州政府确定的重点工作，包括“建圈强链”“三品一标”项目、国家和省重点帮扶县必要的基础设施建设补短项目、因极端天气等原因受灾县完善农牧业防灾减灾体系建设、高标准农田建设及后续管护工作、阿坝州“石榴籽”工程重点帮扶对象发展产业以及发展前景好、效益好的休闲农业乡村建设和乡村旅游设施补短等方面。</w:t>
      </w:r>
    </w:p>
    <w:p>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2" w:firstLineChars="200"/>
        <w:jc w:val="both"/>
        <w:textAlignment w:val="baseline"/>
        <w:rPr>
          <w:rFonts w:hint="eastAsia" w:ascii="仿宋_GB2312" w:hAnsi="仿宋_GB2312" w:eastAsia="仿宋_GB2312" w:cs="仿宋_GB2312"/>
          <w:b w:val="0"/>
          <w:bCs w:val="0"/>
          <w:snapToGrid/>
          <w:color w:val="auto"/>
          <w:kern w:val="2"/>
          <w:sz w:val="32"/>
          <w:szCs w:val="32"/>
          <w:highlight w:val="none"/>
          <w:lang w:val="en-US" w:eastAsia="zh-CN" w:bidi="ar-SA"/>
        </w:rPr>
      </w:pPr>
      <w:r>
        <w:rPr>
          <w:rFonts w:hint="eastAsia" w:ascii="楷体" w:hAnsi="楷体" w:eastAsia="楷体" w:cs="楷体"/>
          <w:b/>
          <w:bCs/>
          <w:sz w:val="32"/>
          <w:szCs w:val="32"/>
          <w:lang w:eastAsia="zh-CN"/>
        </w:rPr>
        <w:t>第八条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val="0"/>
          <w:bCs w:val="0"/>
          <w:snapToGrid/>
          <w:color w:val="auto"/>
          <w:kern w:val="2"/>
          <w:sz w:val="32"/>
          <w:szCs w:val="32"/>
          <w:highlight w:val="none"/>
          <w:lang w:val="en-US" w:eastAsia="zh-CN" w:bidi="ar-SA"/>
        </w:rPr>
        <w:t>县级财政常态化帮扶资金除可用于中央、省和州级财政常态化帮扶资金用途外，还可用于县委、县政府确定的重点工作，优先统筹支持家庭种植业、家庭养殖业发展所需必要产业配套基础设施建设、农业数字化建设、宜居宜业和美乡村建设、城乡基本公共服务等。包括农村教育事业、健康乡村建设、社会兜底保障，以及与乡村振兴建设有关的项目建设费用、项目管理费、工作经费等。</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2" w:firstLineChars="200"/>
        <w:jc w:val="both"/>
        <w:textAlignment w:val="baseline"/>
        <w:rPr>
          <w:rFonts w:hint="eastAsia" w:ascii="仿宋_GB2312" w:hAnsi="仿宋_GB2312" w:eastAsia="仿宋_GB2312" w:cs="仿宋_GB2312"/>
          <w:sz w:val="32"/>
          <w:szCs w:val="32"/>
          <w:lang w:eastAsia="zh-CN"/>
        </w:rPr>
      </w:pPr>
      <w:r>
        <w:rPr>
          <w:rFonts w:hint="eastAsia" w:ascii="楷体" w:hAnsi="楷体" w:eastAsia="楷体" w:cs="楷体"/>
          <w:b/>
          <w:bCs/>
          <w:sz w:val="32"/>
          <w:szCs w:val="32"/>
          <w:lang w:eastAsia="zh-CN"/>
        </w:rPr>
        <w:t>第九条</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rPr>
        <w:t>对过渡期通过中央、省</w:t>
      </w:r>
      <w:r>
        <w:rPr>
          <w:rFonts w:hint="eastAsia" w:ascii="仿宋_GB2312" w:hAnsi="仿宋_GB2312" w:eastAsia="仿宋_GB2312" w:cs="仿宋_GB2312"/>
          <w:sz w:val="32"/>
          <w:szCs w:val="32"/>
          <w:lang w:eastAsia="zh-CN"/>
        </w:rPr>
        <w:t>、州和县</w:t>
      </w:r>
      <w:r>
        <w:rPr>
          <w:rFonts w:hint="eastAsia" w:ascii="仿宋_GB2312" w:hAnsi="仿宋_GB2312" w:eastAsia="仿宋_GB2312" w:cs="仿宋_GB2312"/>
          <w:sz w:val="32"/>
          <w:szCs w:val="32"/>
        </w:rPr>
        <w:t>级财政衔接推进乡村振兴补助资金支持的、截至过渡期结束仍未实施完毕的项目或政策，可继续通过中央、省</w:t>
      </w:r>
      <w:r>
        <w:rPr>
          <w:rFonts w:hint="eastAsia" w:ascii="仿宋_GB2312" w:hAnsi="仿宋_GB2312" w:eastAsia="仿宋_GB2312" w:cs="仿宋_GB2312"/>
          <w:sz w:val="32"/>
          <w:szCs w:val="32"/>
          <w:lang w:eastAsia="zh-CN"/>
        </w:rPr>
        <w:t>、州</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级财政常态化帮扶资金予以支持，确保项目顺利实施、政策有序转换和退出</w:t>
      </w:r>
    </w:p>
    <w:p>
      <w:pPr>
        <w:keepNext w:val="0"/>
        <w:keepLines w:val="0"/>
        <w:pageBreakBefore w:val="0"/>
        <w:widowControl/>
        <w:kinsoku w:val="0"/>
        <w:wordWrap/>
        <w:overflowPunct/>
        <w:topLinePunct w:val="0"/>
        <w:autoSpaceDE w:val="0"/>
        <w:autoSpaceDN w:val="0"/>
        <w:bidi w:val="0"/>
        <w:adjustRightInd w:val="0"/>
        <w:snapToGrid w:val="0"/>
        <w:spacing w:before="2" w:line="560" w:lineRule="exact"/>
        <w:ind w:left="0" w:right="6" w:firstLine="642" w:firstLineChars="200"/>
        <w:jc w:val="both"/>
        <w:textAlignment w:val="baseline"/>
        <w:rPr>
          <w:rFonts w:hint="eastAsia" w:ascii="仿宋_GB2312" w:hAnsi="仿宋_GB2312" w:eastAsia="仿宋_GB2312" w:cs="仿宋_GB2312"/>
          <w:sz w:val="32"/>
          <w:szCs w:val="32"/>
          <w:lang w:val="en-US" w:eastAsia="zh-CN"/>
        </w:rPr>
      </w:pPr>
      <w:r>
        <w:rPr>
          <w:rFonts w:hint="eastAsia" w:ascii="楷体" w:hAnsi="楷体" w:eastAsia="楷体" w:cs="楷体"/>
          <w:b/>
          <w:bCs/>
          <w:sz w:val="32"/>
          <w:szCs w:val="32"/>
          <w:lang w:eastAsia="zh-CN"/>
        </w:rPr>
        <w:t>第十条</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lang w:val="en-US" w:eastAsia="zh-CN"/>
        </w:rPr>
        <w:t>各任务方向主管部门严格按照规定用途，安排使用中央、省、州和县级财政常态化帮扶资金，确保资金使用安全、规范、高效，不得擅自扩大资金使用范围。中央、省、州和县级财政常态化帮扶资金不得用于支持产业帮扶、就业帮扶和欠发达地区开发式帮扶等本办法规定之外的支出，包括：弥补预算支出缺口、单位基本支出、工作经费、办公设备购置、交通工具及通讯设施支出，修建楼堂馆所支出，“门墙亭廊栏”以及绿化和彩灯彩带等景观类设施、国省干道、县道乡道、乡镇污水处理以及垃圾转运和处理设施设备、大中型水利工程设施、农（畜）产品交易市场建设，各种奖金津贴和福利补助、偿还地方债务和垫资等，以及中介费用（除本办法规定的项目管理费外）。偿还“十三五”易地扶贫搬迁债务按有关规定执行。</w:t>
      </w:r>
    </w:p>
    <w:p>
      <w:pPr>
        <w:keepNext w:val="0"/>
        <w:keepLines w:val="0"/>
        <w:pageBreakBefore w:val="0"/>
        <w:widowControl/>
        <w:kinsoku w:val="0"/>
        <w:wordWrap/>
        <w:overflowPunct/>
        <w:topLinePunct w:val="0"/>
        <w:autoSpaceDE w:val="0"/>
        <w:autoSpaceDN w:val="0"/>
        <w:bidi w:val="0"/>
        <w:adjustRightInd w:val="0"/>
        <w:snapToGrid w:val="0"/>
        <w:spacing w:before="2" w:line="560" w:lineRule="exact"/>
        <w:ind w:left="0" w:right="6"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央、省、州财政常态化帮扶资金支持项目要避免与其他渠道安排的中央、省、州财政资金重复。中央、省、州财政常态化帮扶资金不得用于社会救助、公共卫生、养老保险、教育、文化等农村基本公共服务领域。重点帮扶群体的识别监测预警工作经费通过州、县财政预算安排。不得安排中央和省级财政常态化帮扶资金承担明确由州级、县级履行的支出责任。</w:t>
      </w:r>
    </w:p>
    <w:p>
      <w:pPr>
        <w:keepNext w:val="0"/>
        <w:keepLines w:val="0"/>
        <w:pageBreakBefore w:val="0"/>
        <w:widowControl/>
        <w:kinsoku w:val="0"/>
        <w:wordWrap/>
        <w:overflowPunct/>
        <w:topLinePunct w:val="0"/>
        <w:autoSpaceDE w:val="0"/>
        <w:autoSpaceDN w:val="0"/>
        <w:bidi w:val="0"/>
        <w:adjustRightInd w:val="0"/>
        <w:snapToGrid w:val="0"/>
        <w:spacing w:before="2" w:line="560" w:lineRule="exact"/>
        <w:ind w:left="0" w:right="6" w:firstLine="642" w:firstLineChars="200"/>
        <w:jc w:val="both"/>
        <w:textAlignment w:val="baseline"/>
        <w:rPr>
          <w:rFonts w:hint="eastAsia" w:ascii="仿宋_GB2312" w:hAnsi="仿宋_GB2312" w:eastAsia="仿宋_GB2312" w:cs="仿宋_GB2312"/>
          <w:sz w:val="32"/>
          <w:szCs w:val="32"/>
          <w:lang w:val="en-US" w:eastAsia="zh-CN"/>
        </w:rPr>
      </w:pPr>
      <w:r>
        <w:rPr>
          <w:rFonts w:hint="eastAsia" w:ascii="楷体" w:hAnsi="楷体" w:eastAsia="楷体" w:cs="楷体"/>
          <w:b/>
          <w:bCs/>
          <w:sz w:val="32"/>
          <w:szCs w:val="32"/>
          <w:lang w:eastAsia="zh-CN"/>
        </w:rPr>
        <w:t>第十一条</w:t>
      </w:r>
      <w:r>
        <w:rPr>
          <w:rFonts w:hint="eastAsia" w:ascii="仿宋_GB2312" w:hAnsi="仿宋_GB2312" w:eastAsia="仿宋_GB2312" w:cs="仿宋_GB2312"/>
          <w:sz w:val="32"/>
          <w:szCs w:val="32"/>
          <w:lang w:val="en-US" w:eastAsia="zh-CN"/>
        </w:rPr>
        <w:t xml:space="preserve"> 下达至县的中央、省和州级财政常态化帮扶资金，可按不超过2%的比例统筹安排使用项目管理费</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lang w:val="en-US" w:eastAsia="zh-CN"/>
        </w:rPr>
        <w:t>项目管理费主要用于项目前期设计、评审、招标、监理、验收、后续管护维护等与项目管理直接相关的支出。在此基础上，县级可从到县的省和州级财政常态化帮扶资金中按照不超过1%的比例</w:t>
      </w:r>
      <w:r>
        <w:rPr>
          <w:rFonts w:hint="eastAsia" w:ascii="仿宋_GB2312" w:hAnsi="仿宋_GB2312" w:eastAsia="仿宋_GB2312" w:cs="仿宋_GB2312"/>
          <w:sz w:val="32"/>
          <w:szCs w:val="32"/>
          <w:highlight w:val="none"/>
          <w:lang w:val="en-US" w:eastAsia="zh-CN"/>
        </w:rPr>
        <w:t>统筹安排使用项目资产管护费；县级本级安排的常态化帮扶资金，在保障项目实施建设的基础上，可统筹安排项目资产管护费。项目资产管护费</w:t>
      </w:r>
      <w:r>
        <w:rPr>
          <w:rFonts w:hint="eastAsia" w:ascii="仿宋_GB2312" w:hAnsi="仿宋_GB2312" w:eastAsia="仿宋_GB2312" w:cs="仿宋_GB2312"/>
          <w:sz w:val="32"/>
          <w:szCs w:val="32"/>
          <w:lang w:val="en-US" w:eastAsia="zh-CN"/>
        </w:rPr>
        <w:t>主要用于财政常态化帮扶资金、财政衔接推进乡村振兴补助资金、财政专项扶贫资金支持的项目形成的公益性资产后续管护维护直接相关的支出。同时，县级要制定项目资产管护费的具体使用规定，加强和规范资金管理使用。</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center"/>
        <w:textAlignment w:val="baseline"/>
        <w:outlineLvl w:val="1"/>
        <w:rPr>
          <w:rFonts w:hint="eastAsia" w:ascii="黑体" w:hAnsi="黑体" w:eastAsia="黑体" w:cs="黑体"/>
          <w:spacing w:val="-2"/>
          <w:sz w:val="32"/>
          <w:szCs w:val="32"/>
          <w:lang w:eastAsia="zh-CN"/>
        </w:rPr>
      </w:pPr>
      <w:r>
        <w:rPr>
          <w:rFonts w:hint="eastAsia" w:ascii="黑体" w:hAnsi="黑体" w:eastAsia="黑体" w:cs="黑体"/>
          <w:spacing w:val="-2"/>
          <w:sz w:val="32"/>
          <w:szCs w:val="32"/>
          <w:lang w:eastAsia="zh-CN"/>
        </w:rPr>
        <w:t>第三章</w:t>
      </w:r>
      <w:r>
        <w:rPr>
          <w:rFonts w:hint="eastAsia" w:ascii="黑体" w:hAnsi="黑体" w:eastAsia="仿宋_GB2312" w:cs="黑体"/>
          <w:spacing w:val="-2"/>
          <w:sz w:val="32"/>
          <w:szCs w:val="32"/>
          <w:lang w:eastAsia="zh-CN"/>
        </w:rPr>
        <w:t xml:space="preserve"> </w:t>
      </w:r>
      <w:r>
        <w:rPr>
          <w:rFonts w:hint="eastAsia" w:ascii="黑体" w:hAnsi="黑体" w:eastAsia="黑体" w:cs="黑体"/>
          <w:spacing w:val="-2"/>
          <w:sz w:val="32"/>
          <w:szCs w:val="32"/>
          <w:lang w:eastAsia="zh-CN"/>
        </w:rPr>
        <w:t>分配下达</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rightChars="0" w:firstLine="642" w:firstLineChars="200"/>
        <w:jc w:val="both"/>
        <w:textAlignment w:val="baseline"/>
        <w:rPr>
          <w:rFonts w:hint="eastAsia" w:ascii="仿宋_GB2312" w:hAnsi="仿宋_GB2312" w:eastAsia="仿宋_GB2312" w:cs="仿宋_GB2312"/>
          <w:sz w:val="32"/>
          <w:szCs w:val="32"/>
          <w:lang w:eastAsia="zh-CN"/>
        </w:rPr>
      </w:pPr>
      <w:r>
        <w:rPr>
          <w:rFonts w:hint="eastAsia" w:ascii="楷体" w:hAnsi="楷体" w:eastAsia="楷体" w:cs="楷体"/>
          <w:b/>
          <w:bCs/>
          <w:snapToGrid w:val="0"/>
          <w:color w:val="000000"/>
          <w:kern w:val="0"/>
          <w:sz w:val="32"/>
          <w:szCs w:val="32"/>
          <w:lang w:val="en-US" w:eastAsia="zh-CN" w:bidi="ar-SA"/>
        </w:rPr>
        <w:t>第十二条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中央、省、州和县级财政常态化帮扶资金主要采取因素法分配，对县级申报的部分产业项目适当采取项目法分配。</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rightChars="0" w:firstLine="642" w:firstLineChars="200"/>
        <w:jc w:val="both"/>
        <w:textAlignment w:val="baseline"/>
        <w:rPr>
          <w:rFonts w:hint="eastAsia" w:ascii="仿宋_GB2312" w:hAnsi="仿宋_GB2312" w:eastAsia="仿宋_GB2312" w:cs="仿宋_GB2312"/>
          <w:snapToGrid/>
          <w:color w:val="auto"/>
          <w:kern w:val="2"/>
          <w:sz w:val="32"/>
          <w:szCs w:val="32"/>
          <w:highlight w:val="none"/>
          <w:lang w:val="en-US" w:eastAsia="zh-CN" w:bidi="ar-SA"/>
        </w:rPr>
      </w:pPr>
      <w:r>
        <w:rPr>
          <w:rFonts w:hint="eastAsia" w:ascii="楷体" w:hAnsi="楷体" w:eastAsia="楷体" w:cs="楷体"/>
          <w:b/>
          <w:bCs/>
          <w:sz w:val="32"/>
          <w:szCs w:val="32"/>
          <w:lang w:eastAsia="zh-CN"/>
        </w:rPr>
        <w:t>第十三条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napToGrid/>
          <w:color w:val="auto"/>
          <w:kern w:val="2"/>
          <w:sz w:val="32"/>
          <w:szCs w:val="32"/>
          <w:highlight w:val="none"/>
          <w:lang w:val="en-US" w:eastAsia="zh-CN" w:bidi="ar-SA"/>
        </w:rPr>
        <w:t>采取因素法分配的中央、省、州和县级财政常态化帮扶资金，测算因素包括:基础性因素、政策性因素、绩效因素，并统筹考虑保障县级财政运行稳定性、常态化帮扶工作需要等情况进行适当调节。任务方向按照上述因素分别确定具体测算指标和权重（详见附件）。每年分配资金选择的具体因素和权重，可根据当年常态化帮扶工作重点进行适当调整。</w:t>
      </w:r>
    </w:p>
    <w:p>
      <w:pPr>
        <w:pStyle w:val="3"/>
        <w:keepNext w:val="0"/>
        <w:keepLines w:val="0"/>
        <w:pageBreakBefore w:val="0"/>
        <w:widowControl/>
        <w:kinsoku w:val="0"/>
        <w:wordWrap/>
        <w:overflowPunct/>
        <w:topLinePunct w:val="0"/>
        <w:autoSpaceDE w:val="0"/>
        <w:autoSpaceDN w:val="0"/>
        <w:bidi w:val="0"/>
        <w:adjustRightInd w:val="0"/>
        <w:snapToGrid w:val="0"/>
        <w:spacing w:before="9" w:line="560" w:lineRule="exact"/>
        <w:ind w:left="7" w:right="95" w:firstLine="594" w:firstLineChars="200"/>
        <w:jc w:val="both"/>
        <w:textAlignment w:val="baseline"/>
        <w:rPr>
          <w:rFonts w:hint="eastAsia" w:ascii="仿宋_GB2312" w:hAnsi="仿宋_GB2312" w:eastAsia="仿宋_GB2312" w:cs="仿宋_GB2312"/>
          <w:sz w:val="32"/>
          <w:szCs w:val="32"/>
          <w:lang w:eastAsia="zh-CN"/>
        </w:rPr>
      </w:pPr>
      <w:r>
        <w:rPr>
          <w:rFonts w:hint="eastAsia" w:ascii="楷体" w:hAnsi="楷体" w:eastAsia="楷体" w:cs="楷体"/>
          <w:b/>
          <w:bCs/>
          <w:spacing w:val="-12"/>
          <w:position w:val="1"/>
          <w:sz w:val="32"/>
          <w:szCs w:val="32"/>
        </w:rPr>
        <w:t>第</w:t>
      </w:r>
      <w:r>
        <w:rPr>
          <w:rFonts w:hint="eastAsia" w:ascii="楷体" w:hAnsi="楷体" w:eastAsia="楷体" w:cs="楷体"/>
          <w:b/>
          <w:bCs/>
          <w:spacing w:val="-12"/>
          <w:position w:val="1"/>
          <w:sz w:val="32"/>
          <w:szCs w:val="32"/>
          <w:lang w:eastAsia="zh-CN"/>
        </w:rPr>
        <w:t>十四</w:t>
      </w:r>
      <w:r>
        <w:rPr>
          <w:rFonts w:hint="eastAsia" w:ascii="楷体" w:hAnsi="楷体" w:eastAsia="楷体" w:cs="楷体"/>
          <w:b/>
          <w:bCs/>
          <w:spacing w:val="-12"/>
          <w:position w:val="1"/>
          <w:sz w:val="32"/>
          <w:szCs w:val="32"/>
        </w:rPr>
        <w:t>条</w:t>
      </w:r>
      <w:r>
        <w:rPr>
          <w:rFonts w:hint="eastAsia" w:ascii="仿宋_GB2312" w:hAnsi="仿宋_GB2312" w:eastAsia="仿宋_GB2312" w:cs="仿宋_GB2312"/>
          <w:spacing w:val="-12"/>
          <w:position w:val="1"/>
          <w:sz w:val="32"/>
          <w:szCs w:val="32"/>
          <w:lang w:eastAsia="zh-CN"/>
        </w:rPr>
        <w:t xml:space="preserve"> </w:t>
      </w:r>
      <w:r>
        <w:rPr>
          <w:rFonts w:hint="eastAsia" w:ascii="仿宋_GB2312" w:hAnsi="仿宋_GB2312" w:eastAsia="仿宋_GB2312" w:cs="仿宋_GB2312"/>
          <w:snapToGrid/>
          <w:color w:val="auto"/>
          <w:kern w:val="2"/>
          <w:sz w:val="32"/>
          <w:szCs w:val="32"/>
          <w:highlight w:val="none"/>
          <w:lang w:val="en-US" w:eastAsia="zh-CN" w:bidi="ar-SA"/>
        </w:rPr>
        <w:t>采取项目法分配的中央、省、州和县级财政常态化帮扶资金，由县级任务方向主管部门分别会同县财政局根据年度工作实际，组织项目申报，采取竞争立项等方式，确定支持的项目和补助额度。</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8" w:firstLine="642" w:firstLineChars="200"/>
        <w:jc w:val="both"/>
        <w:textAlignment w:val="baseline"/>
        <w:rPr>
          <w:rFonts w:hint="eastAsia" w:ascii="仿宋_GB2312" w:hAnsi="仿宋_GB2312" w:eastAsia="仿宋_GB2312" w:cs="仿宋_GB2312"/>
          <w:sz w:val="32"/>
          <w:szCs w:val="32"/>
          <w:lang w:eastAsia="zh-CN"/>
        </w:rPr>
      </w:pPr>
      <w:r>
        <w:rPr>
          <w:rFonts w:hint="eastAsia" w:ascii="楷体" w:hAnsi="楷体" w:eastAsia="楷体" w:cs="楷体"/>
          <w:b/>
          <w:bCs/>
          <w:sz w:val="32"/>
          <w:szCs w:val="32"/>
          <w:lang w:eastAsia="zh-CN"/>
        </w:rPr>
        <w:t>第十五条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val="0"/>
          <w:bCs w:val="0"/>
          <w:snapToGrid/>
          <w:color w:val="auto"/>
          <w:kern w:val="2"/>
          <w:sz w:val="32"/>
          <w:szCs w:val="32"/>
          <w:highlight w:val="none"/>
          <w:lang w:val="en-US" w:eastAsia="zh-CN" w:bidi="ar-SA"/>
        </w:rPr>
        <w:t>县级财政部门会同同级各任务方向主管部门安排中央、省、州和县级财政常态化帮扶资金时，要向发展相对滞后、帮扶任务重的乡镇、村和易地扶贫搬迁安置区倾斜，推动加快发展、缩小差距。</w:t>
      </w:r>
    </w:p>
    <w:p>
      <w:pPr>
        <w:pStyle w:val="3"/>
        <w:keepNext w:val="0"/>
        <w:keepLines w:val="0"/>
        <w:pageBreakBefore w:val="0"/>
        <w:widowControl/>
        <w:kinsoku w:val="0"/>
        <w:wordWrap/>
        <w:overflowPunct/>
        <w:topLinePunct w:val="0"/>
        <w:autoSpaceDE w:val="0"/>
        <w:autoSpaceDN w:val="0"/>
        <w:bidi w:val="0"/>
        <w:adjustRightInd w:val="0"/>
        <w:snapToGrid w:val="0"/>
        <w:spacing w:before="9" w:line="560" w:lineRule="exact"/>
        <w:ind w:left="7" w:right="95" w:firstLine="642" w:firstLineChars="200"/>
        <w:jc w:val="both"/>
        <w:textAlignment w:val="baseline"/>
        <w:rPr>
          <w:rFonts w:hint="eastAsia" w:ascii="仿宋_GB2312" w:hAnsi="仿宋_GB2312" w:eastAsia="仿宋_GB2312" w:cs="仿宋_GB2312"/>
          <w:snapToGrid/>
          <w:color w:val="auto"/>
          <w:kern w:val="2"/>
          <w:sz w:val="32"/>
          <w:szCs w:val="32"/>
          <w:highlight w:val="none"/>
          <w:lang w:val="en-US" w:eastAsia="zh-CN" w:bidi="ar-SA"/>
        </w:rPr>
      </w:pPr>
      <w:r>
        <w:rPr>
          <w:rFonts w:hint="eastAsia" w:ascii="楷体" w:hAnsi="楷体" w:eastAsia="楷体" w:cs="楷体"/>
          <w:b/>
          <w:bCs/>
          <w:sz w:val="32"/>
          <w:szCs w:val="32"/>
          <w:lang w:eastAsia="zh-CN"/>
        </w:rPr>
        <w:t>第十六条</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napToGrid/>
          <w:color w:val="auto"/>
          <w:kern w:val="2"/>
          <w:sz w:val="32"/>
          <w:szCs w:val="32"/>
          <w:highlight w:val="none"/>
          <w:lang w:val="en-US" w:eastAsia="zh-CN" w:bidi="ar-SA"/>
        </w:rPr>
        <w:t>县级财政部门和同级各任务方向主管部门收到中央、省、州和县级财政常态化帮扶资金后，采取因素法分配下达的资金，由县级根据本办法规定和常态化帮扶工作年度计划、目标任务等，按资金使用方向自主安排使用；采取项目法分配下达的资金，县级安排用于申报的项目，并严格按照本办法规定和实施方案管理使用。</w:t>
      </w:r>
    </w:p>
    <w:p>
      <w:pPr>
        <w:pStyle w:val="3"/>
        <w:keepNext w:val="0"/>
        <w:keepLines w:val="0"/>
        <w:pageBreakBefore w:val="0"/>
        <w:widowControl/>
        <w:kinsoku w:val="0"/>
        <w:wordWrap/>
        <w:overflowPunct/>
        <w:topLinePunct w:val="0"/>
        <w:autoSpaceDE w:val="0"/>
        <w:autoSpaceDN w:val="0"/>
        <w:bidi w:val="0"/>
        <w:adjustRightInd w:val="0"/>
        <w:snapToGrid w:val="0"/>
        <w:spacing w:before="9" w:line="560" w:lineRule="exact"/>
        <w:ind w:left="7" w:right="95" w:firstLine="642" w:firstLineChars="200"/>
        <w:jc w:val="both"/>
        <w:textAlignment w:val="baseline"/>
        <w:rPr>
          <w:rFonts w:hint="eastAsia" w:ascii="仿宋_GB2312" w:hAnsi="仿宋_GB2312" w:eastAsia="仿宋_GB2312" w:cs="仿宋_GB2312"/>
          <w:sz w:val="32"/>
          <w:szCs w:val="32"/>
          <w:lang w:eastAsia="zh-CN"/>
        </w:rPr>
      </w:pPr>
      <w:r>
        <w:rPr>
          <w:rFonts w:hint="eastAsia" w:ascii="楷体" w:hAnsi="楷体" w:eastAsia="楷体" w:cs="楷体"/>
          <w:b/>
          <w:bCs/>
          <w:sz w:val="32"/>
          <w:szCs w:val="32"/>
          <w:lang w:eastAsia="zh-CN"/>
        </w:rPr>
        <w:t>第十七条</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napToGrid/>
          <w:color w:val="auto"/>
          <w:kern w:val="2"/>
          <w:sz w:val="32"/>
          <w:szCs w:val="32"/>
          <w:highlight w:val="none"/>
          <w:lang w:val="en-US" w:eastAsia="zh-CN" w:bidi="ar-SA"/>
        </w:rPr>
        <w:t>县财政部门和同级各任务方向主管部门在收到中央、省、州和县级财政常态化帮扶资金预算文件后30日内将资金分解下达到具体项目。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8" w:firstLine="642" w:firstLineChars="200"/>
        <w:jc w:val="both"/>
        <w:textAlignment w:val="baseline"/>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第十八条</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napToGrid/>
          <w:color w:val="auto"/>
          <w:kern w:val="2"/>
          <w:sz w:val="32"/>
          <w:szCs w:val="32"/>
          <w:highlight w:val="none"/>
          <w:lang w:val="en-US" w:eastAsia="zh-CN" w:bidi="ar-SA"/>
        </w:rPr>
        <w:t>中央、省、州和县级财政常态化帮扶资金严格执行预算公开有关规定，县级各任务方向主管部门应当将资金分配结果在预算下达文件印发后20日内向社会公开。</w:t>
      </w:r>
    </w:p>
    <w:p>
      <w:pPr>
        <w:keepNext w:val="0"/>
        <w:keepLines w:val="0"/>
        <w:pageBreakBefore w:val="0"/>
        <w:widowControl/>
        <w:kinsoku w:val="0"/>
        <w:wordWrap/>
        <w:overflowPunct/>
        <w:topLinePunct w:val="0"/>
        <w:autoSpaceDE w:val="0"/>
        <w:autoSpaceDN w:val="0"/>
        <w:bidi w:val="0"/>
        <w:adjustRightInd w:val="0"/>
        <w:snapToGrid w:val="0"/>
        <w:spacing w:before="1" w:line="560" w:lineRule="exact"/>
        <w:ind w:left="0"/>
        <w:jc w:val="center"/>
        <w:textAlignment w:val="baseline"/>
        <w:outlineLvl w:val="1"/>
        <w:rPr>
          <w:rFonts w:ascii="黑体" w:hAnsi="黑体" w:eastAsia="黑体" w:cs="黑体"/>
          <w:sz w:val="32"/>
          <w:szCs w:val="32"/>
        </w:rPr>
      </w:pPr>
      <w:r>
        <w:rPr>
          <w:rFonts w:ascii="黑体" w:hAnsi="黑体" w:eastAsia="黑体" w:cs="黑体"/>
          <w:spacing w:val="-2"/>
          <w:sz w:val="32"/>
          <w:szCs w:val="32"/>
        </w:rPr>
        <w:t>第四章</w:t>
      </w:r>
      <w:r>
        <w:rPr>
          <w:rFonts w:hint="eastAsia" w:ascii="黑体" w:hAnsi="黑体" w:eastAsia="仿宋_GB2312" w:cs="黑体"/>
          <w:spacing w:val="-2"/>
          <w:sz w:val="32"/>
          <w:szCs w:val="32"/>
          <w:lang w:eastAsia="zh-CN"/>
        </w:rPr>
        <w:t xml:space="preserve"> </w:t>
      </w:r>
      <w:r>
        <w:rPr>
          <w:rFonts w:ascii="黑体" w:hAnsi="黑体" w:eastAsia="黑体" w:cs="黑体"/>
          <w:spacing w:val="-2"/>
          <w:sz w:val="32"/>
          <w:szCs w:val="32"/>
        </w:rPr>
        <w:t>资金管理</w:t>
      </w:r>
    </w:p>
    <w:p>
      <w:pPr>
        <w:pStyle w:val="3"/>
        <w:keepNext w:val="0"/>
        <w:keepLines w:val="0"/>
        <w:pageBreakBefore w:val="0"/>
        <w:widowControl/>
        <w:kinsoku w:val="0"/>
        <w:wordWrap/>
        <w:overflowPunct/>
        <w:topLinePunct w:val="0"/>
        <w:autoSpaceDE w:val="0"/>
        <w:autoSpaceDN w:val="0"/>
        <w:bidi w:val="0"/>
        <w:adjustRightInd w:val="0"/>
        <w:snapToGrid w:val="0"/>
        <w:spacing w:before="9" w:line="560" w:lineRule="exact"/>
        <w:ind w:left="7" w:right="95" w:firstLine="622" w:firstLineChars="200"/>
        <w:jc w:val="both"/>
        <w:textAlignment w:val="baseline"/>
        <w:rPr>
          <w:rFonts w:ascii="仿宋" w:hAnsi="仿宋" w:eastAsia="仿宋" w:cs="仿宋"/>
          <w:sz w:val="32"/>
          <w:szCs w:val="32"/>
        </w:rPr>
      </w:pPr>
      <w:r>
        <w:rPr>
          <w:rFonts w:hint="eastAsia" w:ascii="楷体" w:hAnsi="楷体" w:eastAsia="楷体" w:cs="楷体"/>
          <w:b/>
          <w:bCs/>
          <w:spacing w:val="-5"/>
          <w:sz w:val="32"/>
          <w:szCs w:val="32"/>
        </w:rPr>
        <w:t>第十</w:t>
      </w:r>
      <w:r>
        <w:rPr>
          <w:rFonts w:hint="eastAsia" w:ascii="楷体" w:hAnsi="楷体" w:eastAsia="楷体" w:cs="楷体"/>
          <w:b/>
          <w:bCs/>
          <w:spacing w:val="-5"/>
          <w:sz w:val="32"/>
          <w:szCs w:val="32"/>
          <w:lang w:eastAsia="zh-CN"/>
        </w:rPr>
        <w:t>九</w:t>
      </w:r>
      <w:r>
        <w:rPr>
          <w:rFonts w:hint="eastAsia" w:ascii="楷体" w:hAnsi="楷体" w:eastAsia="楷体" w:cs="楷体"/>
          <w:b/>
          <w:bCs/>
          <w:spacing w:val="-5"/>
          <w:sz w:val="32"/>
          <w:szCs w:val="32"/>
        </w:rPr>
        <w:t>条</w:t>
      </w:r>
      <w:r>
        <w:rPr>
          <w:rFonts w:hint="eastAsia" w:ascii="仿宋_GB2312" w:hAnsi="仿宋_GB2312" w:eastAsia="仿宋_GB2312" w:cs="仿宋_GB2312"/>
          <w:spacing w:val="-5"/>
          <w:sz w:val="32"/>
          <w:szCs w:val="32"/>
          <w:lang w:eastAsia="zh-CN"/>
        </w:rPr>
        <w:t xml:space="preserve"> </w:t>
      </w:r>
      <w:r>
        <w:rPr>
          <w:rFonts w:hint="eastAsia" w:ascii="仿宋_GB2312" w:hAnsi="仿宋_GB2312" w:eastAsia="仿宋_GB2312" w:cs="仿宋_GB2312"/>
          <w:snapToGrid/>
          <w:color w:val="auto"/>
          <w:kern w:val="2"/>
          <w:sz w:val="32"/>
          <w:szCs w:val="32"/>
          <w:highlight w:val="none"/>
          <w:lang w:val="en-US" w:eastAsia="zh-CN" w:bidi="ar-SA"/>
        </w:rPr>
        <w:t>中央、省、州和县级财政常态化帮扶资金纳入乡村振兴（高标准农田建设）账户管理，县级财政部门不得将专用账户资金调拨至本级国库基本账户和其他财政资金专户。</w:t>
      </w:r>
    </w:p>
    <w:p>
      <w:pPr>
        <w:pStyle w:val="3"/>
        <w:keepNext w:val="0"/>
        <w:keepLines w:val="0"/>
        <w:pageBreakBefore w:val="0"/>
        <w:widowControl/>
        <w:kinsoku w:val="0"/>
        <w:wordWrap/>
        <w:overflowPunct/>
        <w:topLinePunct w:val="0"/>
        <w:autoSpaceDE w:val="0"/>
        <w:autoSpaceDN w:val="0"/>
        <w:bidi w:val="0"/>
        <w:adjustRightInd w:val="0"/>
        <w:snapToGrid w:val="0"/>
        <w:spacing w:before="9" w:line="560" w:lineRule="exact"/>
        <w:ind w:left="7" w:right="95" w:firstLine="642" w:firstLineChars="200"/>
        <w:jc w:val="both"/>
        <w:textAlignment w:val="baseline"/>
        <w:rPr>
          <w:rFonts w:hint="eastAsia" w:ascii="仿宋_GB2312" w:hAnsi="仿宋_GB2312" w:eastAsia="仿宋_GB2312" w:cs="仿宋_GB2312"/>
          <w:snapToGrid/>
          <w:color w:val="auto"/>
          <w:kern w:val="2"/>
          <w:sz w:val="32"/>
          <w:szCs w:val="32"/>
          <w:highlight w:val="none"/>
          <w:lang w:val="en-US" w:eastAsia="zh-CN" w:bidi="ar-SA"/>
        </w:rPr>
      </w:pPr>
      <w:r>
        <w:rPr>
          <w:rFonts w:hint="eastAsia" w:ascii="楷体" w:hAnsi="楷体" w:eastAsia="楷体" w:cs="楷体"/>
          <w:b/>
          <w:bCs/>
          <w:snapToGrid/>
          <w:color w:val="auto"/>
          <w:kern w:val="2"/>
          <w:sz w:val="32"/>
          <w:szCs w:val="32"/>
          <w:highlight w:val="none"/>
          <w:lang w:val="en-US" w:eastAsia="zh-CN" w:bidi="ar-SA"/>
        </w:rPr>
        <w:t>第二十条</w:t>
      </w:r>
      <w:r>
        <w:rPr>
          <w:rFonts w:hint="eastAsia" w:ascii="仿宋_GB2312" w:hAnsi="仿宋_GB2312" w:eastAsia="仿宋_GB2312" w:cs="仿宋_GB2312"/>
          <w:spacing w:val="-5"/>
          <w:sz w:val="32"/>
          <w:szCs w:val="32"/>
          <w:lang w:eastAsia="zh-CN"/>
        </w:rPr>
        <w:t xml:space="preserve"> </w:t>
      </w:r>
      <w:r>
        <w:rPr>
          <w:rFonts w:hint="eastAsia" w:ascii="仿宋_GB2312" w:hAnsi="仿宋_GB2312" w:eastAsia="仿宋_GB2312" w:cs="仿宋_GB2312"/>
          <w:snapToGrid/>
          <w:color w:val="auto"/>
          <w:kern w:val="2"/>
          <w:sz w:val="32"/>
          <w:szCs w:val="32"/>
          <w:highlight w:val="none"/>
          <w:lang w:val="en-US" w:eastAsia="zh-CN" w:bidi="ar-SA"/>
        </w:rPr>
        <w:t>中央、省、州和县级财政常态化帮扶资金实行县级各任务方向主管部门报账制管理。资金支付严格执行国库集中支付制度，通过专用账户办理资金清算，严禁将资金拨付到预算单位实有资金账户、国有企业账户、村集体经济组织账户“以拨代支”“虚列支出”。国有企业、村集体经济组织作为项目施工单位的，支付其项目款情形除外。</w:t>
      </w:r>
    </w:p>
    <w:p>
      <w:pPr>
        <w:pStyle w:val="3"/>
        <w:keepNext w:val="0"/>
        <w:keepLines w:val="0"/>
        <w:pageBreakBefore w:val="0"/>
        <w:widowControl/>
        <w:kinsoku w:val="0"/>
        <w:wordWrap/>
        <w:overflowPunct/>
        <w:topLinePunct w:val="0"/>
        <w:autoSpaceDE w:val="0"/>
        <w:autoSpaceDN w:val="0"/>
        <w:bidi w:val="0"/>
        <w:adjustRightInd w:val="0"/>
        <w:snapToGrid w:val="0"/>
        <w:spacing w:before="9" w:line="560" w:lineRule="exact"/>
        <w:ind w:left="7" w:right="95" w:firstLine="642" w:firstLineChars="200"/>
        <w:jc w:val="both"/>
        <w:textAlignment w:val="baseline"/>
        <w:rPr>
          <w:rFonts w:hint="eastAsia" w:ascii="仿宋_GB2312" w:hAnsi="仿宋_GB2312" w:eastAsia="仿宋_GB2312" w:cs="仿宋_GB2312"/>
          <w:snapToGrid/>
          <w:color w:val="auto"/>
          <w:kern w:val="2"/>
          <w:sz w:val="32"/>
          <w:szCs w:val="32"/>
          <w:highlight w:val="none"/>
          <w:lang w:val="en-US" w:eastAsia="zh-CN" w:bidi="ar-SA"/>
        </w:rPr>
      </w:pPr>
      <w:r>
        <w:rPr>
          <w:rFonts w:hint="eastAsia" w:ascii="楷体" w:hAnsi="楷体" w:eastAsia="楷体" w:cs="楷体"/>
          <w:b/>
          <w:bCs/>
          <w:snapToGrid/>
          <w:color w:val="auto"/>
          <w:kern w:val="2"/>
          <w:sz w:val="32"/>
          <w:szCs w:val="32"/>
          <w:highlight w:val="none"/>
          <w:lang w:val="en-US" w:eastAsia="zh-CN" w:bidi="ar-SA"/>
        </w:rPr>
        <w:t>第二十一条</w:t>
      </w:r>
      <w:r>
        <w:rPr>
          <w:rFonts w:hint="eastAsia" w:ascii="仿宋_GB2312" w:hAnsi="仿宋_GB2312" w:eastAsia="仿宋_GB2312" w:cs="仿宋_GB2312"/>
          <w:snapToGrid/>
          <w:color w:val="auto"/>
          <w:kern w:val="2"/>
          <w:sz w:val="32"/>
          <w:szCs w:val="32"/>
          <w:highlight w:val="none"/>
          <w:lang w:val="en-US" w:eastAsia="zh-CN" w:bidi="ar-SA"/>
        </w:rPr>
        <w:t xml:space="preserve"> 县财政部门和同级各任务方向主管部门应当加快预算执行，按照项目实施进度及时拨付资金，提高资金使用效益。严格按照有关管理要求，及时清理盘活结转结余中央、省、州和县级财政常态化帮扶资金。结余的常态化帮扶资金，继续按照本办法规定的资金用途安排使用。</w:t>
      </w:r>
    </w:p>
    <w:p>
      <w:pPr>
        <w:pStyle w:val="3"/>
        <w:keepNext w:val="0"/>
        <w:keepLines w:val="0"/>
        <w:pageBreakBefore w:val="0"/>
        <w:widowControl/>
        <w:kinsoku w:val="0"/>
        <w:wordWrap/>
        <w:overflowPunct/>
        <w:topLinePunct w:val="0"/>
        <w:autoSpaceDE w:val="0"/>
        <w:autoSpaceDN w:val="0"/>
        <w:bidi w:val="0"/>
        <w:adjustRightInd w:val="0"/>
        <w:snapToGrid w:val="0"/>
        <w:spacing w:before="9" w:line="560" w:lineRule="exact"/>
        <w:ind w:left="7" w:right="95" w:firstLine="642" w:firstLineChars="200"/>
        <w:jc w:val="both"/>
        <w:textAlignment w:val="baseline"/>
        <w:rPr>
          <w:rFonts w:hint="eastAsia" w:ascii="仿宋_GB2312" w:hAnsi="仿宋_GB2312" w:eastAsia="仿宋_GB2312" w:cs="仿宋_GB2312"/>
          <w:sz w:val="32"/>
          <w:szCs w:val="32"/>
        </w:rPr>
      </w:pPr>
      <w:r>
        <w:rPr>
          <w:rFonts w:hint="eastAsia" w:ascii="楷体" w:hAnsi="楷体" w:eastAsia="楷体" w:cs="楷体"/>
          <w:b/>
          <w:bCs/>
          <w:snapToGrid/>
          <w:color w:val="auto"/>
          <w:kern w:val="2"/>
          <w:sz w:val="32"/>
          <w:szCs w:val="32"/>
          <w:highlight w:val="none"/>
          <w:lang w:val="en-US" w:eastAsia="zh-CN" w:bidi="ar-SA"/>
        </w:rPr>
        <w:t>第二十二条</w:t>
      </w:r>
      <w:r>
        <w:rPr>
          <w:rFonts w:hint="eastAsia" w:ascii="仿宋_GB2312" w:hAnsi="仿宋_GB2312" w:eastAsia="仿宋_GB2312" w:cs="仿宋_GB2312"/>
          <w:snapToGrid/>
          <w:color w:val="auto"/>
          <w:kern w:val="2"/>
          <w:sz w:val="32"/>
          <w:szCs w:val="32"/>
          <w:highlight w:val="none"/>
          <w:lang w:val="en-US" w:eastAsia="zh-CN" w:bidi="ar-SA"/>
        </w:rPr>
        <w:t xml:space="preserve"> </w:t>
      </w:r>
      <w:r>
        <w:rPr>
          <w:rFonts w:hint="eastAsia" w:ascii="仿宋_GB2312" w:hAnsi="仿宋_GB2312" w:eastAsia="仿宋_GB2312" w:cs="仿宋_GB2312"/>
          <w:sz w:val="32"/>
          <w:szCs w:val="32"/>
        </w:rPr>
        <w:t>中央、省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州</w:t>
      </w:r>
      <w:r>
        <w:rPr>
          <w:rFonts w:hint="eastAsia" w:ascii="仿宋_GB2312" w:hAnsi="仿宋_GB2312" w:eastAsia="仿宋_GB2312" w:cs="仿宋_GB2312"/>
          <w:sz w:val="32"/>
          <w:szCs w:val="32"/>
          <w:lang w:eastAsia="zh-CN"/>
        </w:rPr>
        <w:t>和县</w:t>
      </w:r>
      <w:r>
        <w:rPr>
          <w:rFonts w:hint="eastAsia" w:ascii="仿宋_GB2312" w:hAnsi="仿宋_GB2312" w:eastAsia="仿宋_GB2312" w:cs="仿宋_GB2312"/>
          <w:sz w:val="32"/>
          <w:szCs w:val="32"/>
        </w:rPr>
        <w:t>级财政常态化帮扶资金支持的项目涉及政府采购的，按照政府采购法律制度规定执行。工程建设类项目按照《中华人民共和国招标投标法》《中华人民共和国政府采购法》等规定执行，其中:符合规定的村庄小型建设项目可按规定施行简易审批。对投资规模小、技术门槛低、前期工作简单、务工技能要求不高的基础设施项目，大力推广以工代赈方式，吸纳重点帮扶群体务工增收。</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jc w:val="both"/>
        <w:textAlignment w:val="baseline"/>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第二十三条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中央、省</w:t>
      </w:r>
      <w:r>
        <w:rPr>
          <w:rFonts w:hint="eastAsia" w:ascii="仿宋_GB2312" w:hAnsi="仿宋_GB2312" w:eastAsia="仿宋_GB2312" w:cs="仿宋_GB2312"/>
          <w:sz w:val="32"/>
          <w:szCs w:val="32"/>
          <w:lang w:eastAsia="zh-CN"/>
        </w:rPr>
        <w:t>、州</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级财政常态化帮扶资金实施项目优先形成固定资产，具备条件的应尽量确权到村。各</w:t>
      </w:r>
      <w:r>
        <w:rPr>
          <w:rFonts w:hint="eastAsia" w:ascii="仿宋_GB2312" w:hAnsi="仿宋_GB2312" w:eastAsia="仿宋_GB2312" w:cs="仿宋_GB2312"/>
          <w:sz w:val="32"/>
          <w:szCs w:val="32"/>
          <w:lang w:eastAsia="zh-CN"/>
        </w:rPr>
        <w:t>任务方向主管部门</w:t>
      </w:r>
      <w:r>
        <w:rPr>
          <w:rFonts w:hint="eastAsia" w:ascii="仿宋_GB2312" w:hAnsi="仿宋_GB2312" w:eastAsia="仿宋_GB2312" w:cs="仿宋_GB2312"/>
          <w:sz w:val="32"/>
          <w:szCs w:val="32"/>
        </w:rPr>
        <w:t>要加强项目资产全过程管理，项目谋划时明确资产管护责任，完工验收后做好资产确权移交，加强资产后续运营管护，规范开展收益分配。</w:t>
      </w:r>
    </w:p>
    <w:p>
      <w:pPr>
        <w:keepNext w:val="0"/>
        <w:keepLines w:val="0"/>
        <w:pageBreakBefore w:val="0"/>
        <w:widowControl/>
        <w:kinsoku w:val="0"/>
        <w:wordWrap/>
        <w:overflowPunct/>
        <w:topLinePunct w:val="0"/>
        <w:autoSpaceDE w:val="0"/>
        <w:autoSpaceDN w:val="0"/>
        <w:bidi w:val="0"/>
        <w:adjustRightInd w:val="0"/>
        <w:snapToGrid w:val="0"/>
        <w:spacing w:before="1" w:line="560" w:lineRule="exact"/>
        <w:ind w:left="0"/>
        <w:jc w:val="center"/>
        <w:textAlignment w:val="baseline"/>
        <w:outlineLvl w:val="1"/>
        <w:rPr>
          <w:rFonts w:hint="default" w:ascii="宋体" w:eastAsia="宋体"/>
          <w:sz w:val="32"/>
          <w:szCs w:val="32"/>
          <w:lang w:val="en-US" w:eastAsia="zh-CN"/>
        </w:rPr>
      </w:pPr>
      <w:r>
        <w:rPr>
          <w:rFonts w:hint="eastAsia" w:ascii="黑体" w:hAnsi="黑体" w:eastAsia="黑体" w:cs="黑体"/>
          <w:spacing w:val="-2"/>
          <w:sz w:val="32"/>
          <w:szCs w:val="32"/>
          <w:lang w:eastAsia="zh-CN"/>
        </w:rPr>
        <w:t>第五章</w:t>
      </w:r>
      <w:r>
        <w:rPr>
          <w:rFonts w:hint="eastAsia" w:ascii="黑体" w:hAnsi="黑体" w:eastAsia="仿宋_GB2312" w:cs="黑体"/>
          <w:spacing w:val="-2"/>
          <w:sz w:val="32"/>
          <w:szCs w:val="32"/>
          <w:lang w:val="en-US" w:eastAsia="zh-CN"/>
        </w:rPr>
        <w:t xml:space="preserve"> </w:t>
      </w:r>
      <w:r>
        <w:rPr>
          <w:rFonts w:hint="eastAsia" w:ascii="黑体" w:hAnsi="黑体" w:eastAsia="黑体" w:cs="黑体"/>
          <w:spacing w:val="-2"/>
          <w:sz w:val="32"/>
          <w:szCs w:val="32"/>
          <w:lang w:val="en-US" w:eastAsia="zh-CN"/>
        </w:rPr>
        <w:t>项目管理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jc w:val="both"/>
        <w:textAlignment w:val="baseline"/>
        <w:rPr>
          <w:rFonts w:hint="eastAsia" w:ascii="仿宋_GB2312" w:hAnsi="仿宋_GB2312" w:eastAsia="仿宋_GB2312" w:cs="仿宋_GB2312"/>
          <w:sz w:val="32"/>
          <w:szCs w:val="32"/>
          <w:lang w:eastAsia="zh-CN"/>
        </w:rPr>
      </w:pPr>
      <w:r>
        <w:rPr>
          <w:rFonts w:hint="eastAsia" w:ascii="楷体" w:hAnsi="楷体" w:eastAsia="楷体" w:cs="楷体"/>
          <w:b/>
          <w:bCs/>
          <w:sz w:val="32"/>
          <w:szCs w:val="32"/>
          <w:lang w:eastAsia="zh-CN"/>
        </w:rPr>
        <w:t>第二十四条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中央、省</w:t>
      </w:r>
      <w:r>
        <w:rPr>
          <w:rFonts w:hint="eastAsia" w:ascii="仿宋_GB2312" w:hAnsi="仿宋_GB2312" w:eastAsia="仿宋_GB2312" w:cs="仿宋_GB2312"/>
          <w:sz w:val="32"/>
          <w:szCs w:val="32"/>
          <w:lang w:eastAsia="zh-CN"/>
        </w:rPr>
        <w:t>、州</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级</w:t>
      </w:r>
      <w:r>
        <w:rPr>
          <w:rFonts w:hint="eastAsia" w:ascii="仿宋_GB2312" w:hAnsi="仿宋_GB2312" w:eastAsia="仿宋_GB2312" w:cs="仿宋_GB2312"/>
          <w:sz w:val="32"/>
          <w:szCs w:val="32"/>
          <w:lang w:eastAsia="zh-CN"/>
        </w:rPr>
        <w:t>常态化帮扶资金项目审批权限下放到县，压实县级管理责任。</w:t>
      </w:r>
    </w:p>
    <w:p>
      <w:pPr>
        <w:pStyle w:val="3"/>
        <w:keepNext w:val="0"/>
        <w:keepLines w:val="0"/>
        <w:pageBreakBefore w:val="0"/>
        <w:widowControl/>
        <w:kinsoku w:val="0"/>
        <w:wordWrap/>
        <w:overflowPunct/>
        <w:topLinePunct w:val="0"/>
        <w:autoSpaceDE w:val="0"/>
        <w:autoSpaceDN w:val="0"/>
        <w:bidi w:val="0"/>
        <w:adjustRightInd w:val="0"/>
        <w:snapToGrid w:val="0"/>
        <w:spacing w:before="9" w:line="560" w:lineRule="exact"/>
        <w:ind w:left="7" w:right="95" w:firstLine="642" w:firstLineChars="200"/>
        <w:jc w:val="both"/>
        <w:textAlignment w:val="baseline"/>
        <w:rPr>
          <w:rFonts w:hint="eastAsia" w:ascii="仿宋_GB2312" w:hAnsi="仿宋_GB2312" w:eastAsia="仿宋_GB2312" w:cs="仿宋_GB2312"/>
          <w:snapToGrid/>
          <w:color w:val="auto"/>
          <w:kern w:val="2"/>
          <w:sz w:val="32"/>
          <w:szCs w:val="32"/>
          <w:highlight w:val="none"/>
          <w:lang w:val="en-US" w:eastAsia="zh-CN" w:bidi="ar-SA"/>
        </w:rPr>
      </w:pPr>
      <w:r>
        <w:rPr>
          <w:rFonts w:hint="eastAsia" w:ascii="楷体" w:hAnsi="楷体" w:eastAsia="楷体" w:cs="楷体"/>
          <w:b/>
          <w:bCs/>
          <w:sz w:val="32"/>
          <w:szCs w:val="32"/>
          <w:lang w:eastAsia="zh-CN"/>
        </w:rPr>
        <w:t>第二十五条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napToGrid/>
          <w:color w:val="auto"/>
          <w:kern w:val="2"/>
          <w:sz w:val="32"/>
          <w:szCs w:val="32"/>
          <w:highlight w:val="none"/>
          <w:lang w:val="en-US" w:eastAsia="zh-CN" w:bidi="ar-SA"/>
        </w:rPr>
        <w:t>各任务方向主管部门要建立并逐步完善财政常态化帮扶资金项目库，中央、省、州和县级财政常态化帮扶资金支持的项目应从项目库中选择且符合本办法规定的资金用途。县级各任务方向主管部门结合本县实际制定项目库建设管理制度，县级各任务方向主管部门按要求组织开展项目库建设管理。提前做好项目储备，当年年底前完成下年度项目申报、评审和入库。入库项目实行动态管理，有进有出，3年内未执行的项目自动出库，再次入库按照新项目办理。</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jc w:val="both"/>
        <w:textAlignment w:val="baseline"/>
        <w:rPr>
          <w:rFonts w:hint="eastAsia" w:ascii="宋体"/>
          <w:sz w:val="32"/>
          <w:szCs w:val="32"/>
        </w:rPr>
      </w:pPr>
      <w:r>
        <w:rPr>
          <w:rFonts w:hint="eastAsia" w:ascii="楷体" w:hAnsi="楷体" w:eastAsia="楷体" w:cs="楷体"/>
          <w:b/>
          <w:bCs/>
          <w:sz w:val="32"/>
          <w:szCs w:val="32"/>
          <w:lang w:val="en-US" w:eastAsia="zh-CN"/>
        </w:rPr>
        <w:t>第二十六条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级</w:t>
      </w:r>
      <w:r>
        <w:rPr>
          <w:rFonts w:hint="eastAsia" w:ascii="仿宋_GB2312" w:hAnsi="仿宋_GB2312" w:eastAsia="仿宋_GB2312" w:cs="仿宋_GB2312"/>
          <w:sz w:val="32"/>
          <w:szCs w:val="32"/>
        </w:rPr>
        <w:t>各任务方向主管部门严格按程序组织项目申报、评审和报批。根据项目规模、实施主体、覆盖区域等因素，由村(欠发达国有农场和林场)、乡镇或者县级部门等提出项目入库申请。项目单位提交入库申请时，应完成必要的前期工作，明确建设内容、投资概算及中央、省</w:t>
      </w:r>
      <w:r>
        <w:rPr>
          <w:rFonts w:hint="eastAsia" w:ascii="仿宋_GB2312" w:hAnsi="仿宋_GB2312" w:eastAsia="仿宋_GB2312" w:cs="仿宋_GB2312"/>
          <w:sz w:val="32"/>
          <w:szCs w:val="32"/>
          <w:lang w:eastAsia="zh-CN"/>
        </w:rPr>
        <w:t>、州和县</w:t>
      </w:r>
      <w:r>
        <w:rPr>
          <w:rFonts w:hint="eastAsia" w:ascii="仿宋_GB2312" w:hAnsi="仿宋_GB2312" w:eastAsia="仿宋_GB2312" w:cs="仿宋_GB2312"/>
          <w:sz w:val="32"/>
          <w:szCs w:val="32"/>
        </w:rPr>
        <w:t>级财政常态化帮扶资金申请额度、补助标准、支持内容和环节、预期绩效目标、利益联结机制、实施期限、资产后期管护等。</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jc w:val="both"/>
        <w:textAlignment w:val="baseline"/>
        <w:rPr>
          <w:rFonts w:hint="eastAsia" w:ascii="仿宋_GB2312" w:hAnsi="仿宋_GB2312" w:eastAsia="仿宋_GB2312" w:cs="仿宋_GB2312"/>
          <w:sz w:val="32"/>
          <w:szCs w:val="32"/>
        </w:rPr>
      </w:pPr>
      <w:r>
        <w:rPr>
          <w:rFonts w:hint="eastAsia" w:ascii="楷体" w:hAnsi="楷体" w:eastAsia="楷体" w:cs="楷体"/>
          <w:b/>
          <w:bCs/>
          <w:sz w:val="32"/>
          <w:szCs w:val="32"/>
          <w:lang w:val="en-US" w:eastAsia="zh-CN"/>
        </w:rPr>
        <w:t>第二十七条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级</w:t>
      </w:r>
      <w:r>
        <w:rPr>
          <w:rFonts w:hint="eastAsia" w:ascii="仿宋_GB2312" w:hAnsi="仿宋_GB2312" w:eastAsia="仿宋_GB2312" w:cs="仿宋_GB2312"/>
          <w:sz w:val="32"/>
          <w:szCs w:val="32"/>
        </w:rPr>
        <w:t>各任务方向主管部门严格对照入库要求审核，确保入库项目质量。县</w:t>
      </w:r>
      <w:r>
        <w:rPr>
          <w:rFonts w:hint="eastAsia" w:ascii="仿宋_GB2312" w:hAnsi="仿宋_GB2312" w:eastAsia="仿宋_GB2312" w:cs="仿宋_GB2312"/>
          <w:sz w:val="32"/>
          <w:szCs w:val="32"/>
          <w:lang w:eastAsia="zh-CN"/>
        </w:rPr>
        <w:t>级</w:t>
      </w:r>
      <w:r>
        <w:rPr>
          <w:rFonts w:hint="eastAsia" w:ascii="仿宋_GB2312" w:hAnsi="仿宋_GB2312" w:eastAsia="仿宋_GB2312" w:cs="仿宋_GB2312"/>
          <w:sz w:val="32"/>
          <w:szCs w:val="32"/>
        </w:rPr>
        <w:t>各任务方向主管部门评审确定的拟入库项目，由县</w:t>
      </w:r>
      <w:r>
        <w:rPr>
          <w:rFonts w:hint="eastAsia" w:ascii="仿宋_GB2312" w:hAnsi="仿宋_GB2312" w:eastAsia="仿宋_GB2312" w:cs="仿宋_GB2312"/>
          <w:sz w:val="32"/>
          <w:szCs w:val="32"/>
          <w:lang w:eastAsia="zh-CN"/>
        </w:rPr>
        <w:t>科学技术与农业畜牧水务局</w:t>
      </w:r>
      <w:r>
        <w:rPr>
          <w:rFonts w:hint="eastAsia" w:ascii="仿宋_GB2312" w:hAnsi="仿宋_GB2312" w:eastAsia="仿宋_GB2312" w:cs="仿宋_GB2312"/>
          <w:sz w:val="32"/>
          <w:szCs w:val="32"/>
        </w:rPr>
        <w:t>统一汇总报县委农村工作领导小组审批。</w:t>
      </w:r>
      <w:r>
        <w:rPr>
          <w:rFonts w:hint="eastAsia" w:ascii="仿宋_GB2312" w:hAnsi="仿宋_GB2312" w:eastAsia="仿宋_GB2312" w:cs="仿宋_GB2312"/>
          <w:sz w:val="32"/>
          <w:szCs w:val="32"/>
          <w:highlight w:val="none"/>
          <w:lang w:eastAsia="zh-CN"/>
        </w:rPr>
        <w:t>县级</w:t>
      </w:r>
      <w:r>
        <w:rPr>
          <w:rFonts w:hint="eastAsia" w:ascii="仿宋_GB2312" w:hAnsi="仿宋_GB2312" w:eastAsia="仿宋_GB2312" w:cs="仿宋_GB2312"/>
          <w:sz w:val="32"/>
          <w:szCs w:val="32"/>
          <w:highlight w:val="none"/>
        </w:rPr>
        <w:t>组织实施的项目，经</w:t>
      </w:r>
      <w:r>
        <w:rPr>
          <w:rFonts w:hint="eastAsia" w:ascii="仿宋_GB2312" w:hAnsi="仿宋_GB2312" w:eastAsia="仿宋_GB2312" w:cs="仿宋_GB2312"/>
          <w:sz w:val="32"/>
          <w:szCs w:val="32"/>
          <w:highlight w:val="none"/>
          <w:lang w:eastAsia="zh-CN"/>
        </w:rPr>
        <w:t>县</w:t>
      </w:r>
      <w:r>
        <w:rPr>
          <w:rFonts w:hint="eastAsia" w:ascii="仿宋_GB2312" w:hAnsi="仿宋_GB2312" w:eastAsia="仿宋_GB2312" w:cs="仿宋_GB2312"/>
          <w:sz w:val="32"/>
          <w:szCs w:val="32"/>
          <w:highlight w:val="none"/>
        </w:rPr>
        <w:t>级各任务方向主管部门集体决策后，一并纳入项目库管理。</w:t>
      </w:r>
      <w:r>
        <w:rPr>
          <w:rFonts w:hint="eastAsia" w:ascii="仿宋_GB2312" w:hAnsi="仿宋_GB2312" w:eastAsia="仿宋_GB2312" w:cs="仿宋_GB2312"/>
          <w:sz w:val="32"/>
          <w:szCs w:val="32"/>
        </w:rPr>
        <w:t>在项目申报、评审、批复各环节，严格落实公告公示要求，主动接受社会各界监督。</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对中央、省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州</w:t>
      </w:r>
      <w:r>
        <w:rPr>
          <w:rFonts w:hint="eastAsia" w:ascii="仿宋_GB2312" w:hAnsi="仿宋_GB2312" w:eastAsia="仿宋_GB2312" w:cs="仿宋_GB2312"/>
          <w:sz w:val="32"/>
          <w:szCs w:val="32"/>
          <w:lang w:eastAsia="zh-CN"/>
        </w:rPr>
        <w:t>和县</w:t>
      </w:r>
      <w:r>
        <w:rPr>
          <w:rFonts w:hint="eastAsia" w:ascii="仿宋_GB2312" w:hAnsi="仿宋_GB2312" w:eastAsia="仿宋_GB2312" w:cs="仿宋_GB2312"/>
          <w:sz w:val="32"/>
          <w:szCs w:val="32"/>
        </w:rPr>
        <w:t>级财政常态化帮扶资金单体投资或累计投资额度达到一定规模的拟入库项目，由省、州各任务方向主管部门组织开展提级综合论证。其中:1000(含)万元-3000(不含)万元的项目，由州级任务方向主管部门组织开展;3000(含)万元以上的项目，由省、州任务方向主管部门联合组织开展，按项目提出指导意见，县级修改完善后方可入库。</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依托新型农业经营主体实施、运营的单个项目或同一主体当年累计中央、省</w:t>
      </w:r>
      <w:r>
        <w:rPr>
          <w:rFonts w:hint="eastAsia" w:ascii="仿宋_GB2312" w:hAnsi="仿宋_GB2312" w:eastAsia="仿宋_GB2312" w:cs="仿宋_GB2312"/>
          <w:sz w:val="32"/>
          <w:szCs w:val="32"/>
          <w:lang w:eastAsia="zh-CN"/>
        </w:rPr>
        <w:t>、州</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级财政常态化帮扶资金投资规模达到一定标准的(农民专业合作社、家庭农场达到30万元以上，农业龙头企业达到100万元以上)，县</w:t>
      </w:r>
      <w:r>
        <w:rPr>
          <w:rFonts w:hint="eastAsia" w:ascii="仿宋_GB2312" w:hAnsi="仿宋_GB2312" w:eastAsia="仿宋_GB2312" w:cs="仿宋_GB2312"/>
          <w:sz w:val="32"/>
          <w:szCs w:val="32"/>
          <w:lang w:eastAsia="zh-CN"/>
        </w:rPr>
        <w:t>级</w:t>
      </w:r>
      <w:r>
        <w:rPr>
          <w:rFonts w:hint="eastAsia" w:ascii="仿宋_GB2312" w:hAnsi="仿宋_GB2312" w:eastAsia="仿宋_GB2312" w:cs="仿宋_GB2312"/>
          <w:sz w:val="32"/>
          <w:szCs w:val="32"/>
        </w:rPr>
        <w:t>任务方向主管部门要组织开展尽职调查。</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0" w:firstLineChars="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产业发展类项目入库时要明确运营方案，基础设施类项目入库时要明确管护机制和管护经费来源。跨年度实施的项目，要在实施方案中明确各年度建设内容及资金投入金额。</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jc w:val="both"/>
        <w:textAlignment w:val="baseline"/>
        <w:rPr>
          <w:rFonts w:hint="eastAsia" w:ascii="仿宋_GB2312" w:hAnsi="仿宋_GB2312" w:eastAsia="仿宋_GB2312" w:cs="仿宋_GB2312"/>
          <w:sz w:val="32"/>
          <w:szCs w:val="32"/>
        </w:rPr>
      </w:pPr>
      <w:r>
        <w:rPr>
          <w:rFonts w:hint="eastAsia" w:ascii="楷体" w:hAnsi="楷体" w:eastAsia="楷体" w:cs="楷体"/>
          <w:b/>
          <w:bCs/>
          <w:sz w:val="32"/>
          <w:szCs w:val="32"/>
          <w:lang w:val="en-US" w:eastAsia="zh-CN"/>
        </w:rPr>
        <w:t>第二十八条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级</w:t>
      </w:r>
      <w:r>
        <w:rPr>
          <w:rFonts w:hint="eastAsia" w:ascii="仿宋_GB2312" w:hAnsi="仿宋_GB2312" w:eastAsia="仿宋_GB2312" w:cs="仿宋_GB2312"/>
          <w:sz w:val="32"/>
          <w:szCs w:val="32"/>
        </w:rPr>
        <w:t>各任务方向主管部门要根据年度资金安排，商财政部门及时制定年度项目实施计划。对纳入年度实施计划的项目，组织编制项目实施方案。建成后形成固定资产的项目，要在实施方案中明确拟确权对象。</w:t>
      </w:r>
    </w:p>
    <w:p>
      <w:pPr>
        <w:pStyle w:val="3"/>
        <w:keepNext w:val="0"/>
        <w:keepLines w:val="0"/>
        <w:pageBreakBefore w:val="0"/>
        <w:widowControl/>
        <w:kinsoku w:val="0"/>
        <w:wordWrap/>
        <w:overflowPunct/>
        <w:topLinePunct w:val="0"/>
        <w:autoSpaceDE w:val="0"/>
        <w:autoSpaceDN w:val="0"/>
        <w:bidi w:val="0"/>
        <w:adjustRightInd w:val="0"/>
        <w:snapToGrid w:val="0"/>
        <w:spacing w:before="9" w:line="560" w:lineRule="exact"/>
        <w:ind w:left="7" w:right="95" w:firstLine="642" w:firstLineChars="200"/>
        <w:jc w:val="both"/>
        <w:textAlignment w:val="baseline"/>
        <w:rPr>
          <w:rFonts w:hint="eastAsia" w:ascii="仿宋_GB2312" w:hAnsi="仿宋_GB2312" w:eastAsia="仿宋_GB2312" w:cs="仿宋_GB2312"/>
          <w:snapToGrid/>
          <w:color w:val="auto"/>
          <w:kern w:val="2"/>
          <w:sz w:val="32"/>
          <w:szCs w:val="32"/>
          <w:highlight w:val="none"/>
          <w:lang w:val="en-US" w:eastAsia="zh-CN" w:bidi="ar-SA"/>
        </w:rPr>
      </w:pPr>
      <w:r>
        <w:rPr>
          <w:rFonts w:hint="eastAsia" w:ascii="楷体" w:hAnsi="楷体" w:eastAsia="楷体" w:cs="楷体"/>
          <w:b/>
          <w:bCs/>
          <w:sz w:val="32"/>
          <w:szCs w:val="32"/>
          <w:lang w:eastAsia="zh-CN"/>
        </w:rPr>
        <w:t>第二十九条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napToGrid/>
          <w:color w:val="auto"/>
          <w:kern w:val="2"/>
          <w:sz w:val="32"/>
          <w:szCs w:val="32"/>
          <w:highlight w:val="none"/>
          <w:lang w:val="en-US" w:eastAsia="zh-CN" w:bidi="ar-SA"/>
        </w:rPr>
        <w:t>中央、省、州和县级财政常态化帮扶资金支持的项目由县级部门、乡镇、欠发达国有农场和林场作为项目实施单位，符合规定的项目可在县级部门和乡镇指导下由村级组织实施，不得直接安排或委托国有企业作为项目实施单位。中央、省、州和县级财政常态化帮扶资金安排到项目后，需进行政府采购、招投标的抓紧开展，加快前期工作进度，最大程度用好施工季节。项目应在实施期限内完成，不得随意变更项目实施地点、建设内容等，确需变更的要按规定履行审批程序。</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jc w:val="both"/>
        <w:textAlignment w:val="baseline"/>
        <w:rPr>
          <w:rFonts w:hint="eastAsia" w:ascii="仿宋_GB2312" w:hAnsi="仿宋_GB2312" w:eastAsia="仿宋_GB2312" w:cs="仿宋_GB2312"/>
          <w:sz w:val="32"/>
          <w:szCs w:val="32"/>
        </w:rPr>
      </w:pPr>
      <w:r>
        <w:rPr>
          <w:rFonts w:hint="eastAsia" w:ascii="楷体" w:hAnsi="楷体" w:eastAsia="楷体" w:cs="楷体"/>
          <w:b/>
          <w:bCs/>
          <w:sz w:val="32"/>
          <w:szCs w:val="32"/>
          <w:lang w:val="en-US" w:eastAsia="zh-CN"/>
        </w:rPr>
        <w:t>第三十条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级</w:t>
      </w:r>
      <w:r>
        <w:rPr>
          <w:rFonts w:hint="eastAsia" w:ascii="仿宋_GB2312" w:hAnsi="仿宋_GB2312" w:eastAsia="仿宋_GB2312" w:cs="仿宋_GB2312"/>
          <w:sz w:val="32"/>
          <w:szCs w:val="32"/>
        </w:rPr>
        <w:t>各任务方向主管部门负责抓好项目实施工作跟踪督促和质量监督，推动项目按计划如期实施，完成后及时做好项目验收、报账等工作。在项目入库环节进行提级综合论证的项目，在项目立项和实施环节，对应的</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级任务方向主管部门应做好全过程跟踪监管。</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jc w:val="both"/>
        <w:textAlignment w:val="baseline"/>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第三十一条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中央、省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州</w:t>
      </w:r>
      <w:r>
        <w:rPr>
          <w:rFonts w:hint="eastAsia" w:ascii="仿宋_GB2312" w:hAnsi="仿宋_GB2312" w:eastAsia="仿宋_GB2312" w:cs="仿宋_GB2312"/>
          <w:sz w:val="32"/>
          <w:szCs w:val="32"/>
          <w:lang w:eastAsia="zh-CN"/>
        </w:rPr>
        <w:t>和县</w:t>
      </w:r>
      <w:r>
        <w:rPr>
          <w:rFonts w:hint="eastAsia" w:ascii="仿宋_GB2312" w:hAnsi="仿宋_GB2312" w:eastAsia="仿宋_GB2312" w:cs="仿宋_GB2312"/>
          <w:sz w:val="32"/>
          <w:szCs w:val="32"/>
        </w:rPr>
        <w:t>级财政常态化帮扶资金实施的产业项目应建立健全联农带农机制(对欠发达国有农场和林场任务不作硬性要求)。要积极发挥新型农业经营主体带动作用，采取多种方式与重点帮扶群体建立稳定的利益联结机制，可适当带动其他农户，不得采用简单入股分红方式实施项目。到人到户产业项目应聚焦农业主导产业和特色产业，事先合理确定实施方式和奖励补助标准。</w:t>
      </w:r>
    </w:p>
    <w:p>
      <w:pPr>
        <w:keepNext w:val="0"/>
        <w:keepLines w:val="0"/>
        <w:pageBreakBefore w:val="0"/>
        <w:wordWrap/>
        <w:overflowPunct/>
        <w:topLinePunct w:val="0"/>
        <w:bidi w:val="0"/>
        <w:spacing w:line="560" w:lineRule="exact"/>
        <w:jc w:val="center"/>
        <w:rPr>
          <w:rFonts w:hint="eastAsia" w:ascii="黑体" w:hAnsi="黑体" w:eastAsia="黑体" w:cs="黑体"/>
          <w:sz w:val="32"/>
          <w:szCs w:val="32"/>
          <w:lang w:val="en-US" w:eastAsia="zh-CN"/>
        </w:rPr>
      </w:pPr>
      <w:r>
        <w:rPr>
          <w:rFonts w:hint="eastAsia" w:ascii="黑体" w:hAnsi="黑体" w:eastAsia="黑体" w:cs="黑体"/>
          <w:sz w:val="32"/>
          <w:szCs w:val="32"/>
          <w:lang w:eastAsia="zh-CN"/>
        </w:rPr>
        <w:t>第六章</w:t>
      </w:r>
      <w:r>
        <w:rPr>
          <w:rFonts w:hint="eastAsia" w:ascii="黑体" w:hAnsi="黑体" w:eastAsia="仿宋_GB2312" w:cs="黑体"/>
          <w:sz w:val="32"/>
          <w:szCs w:val="32"/>
          <w:lang w:val="en-US" w:eastAsia="zh-CN"/>
        </w:rPr>
        <w:t xml:space="preserve"> </w:t>
      </w:r>
      <w:r>
        <w:rPr>
          <w:rFonts w:hint="eastAsia" w:ascii="黑体" w:hAnsi="黑体" w:eastAsia="黑体" w:cs="黑体"/>
          <w:sz w:val="32"/>
          <w:szCs w:val="32"/>
          <w:lang w:val="en-US" w:eastAsia="zh-CN"/>
        </w:rPr>
        <w:t>绩效监督</w:t>
      </w:r>
    </w:p>
    <w:p>
      <w:pPr>
        <w:pStyle w:val="3"/>
        <w:keepNext w:val="0"/>
        <w:keepLines w:val="0"/>
        <w:pageBreakBefore w:val="0"/>
        <w:widowControl/>
        <w:kinsoku w:val="0"/>
        <w:wordWrap/>
        <w:overflowPunct/>
        <w:topLinePunct w:val="0"/>
        <w:autoSpaceDE w:val="0"/>
        <w:autoSpaceDN w:val="0"/>
        <w:bidi w:val="0"/>
        <w:adjustRightInd w:val="0"/>
        <w:snapToGrid w:val="0"/>
        <w:spacing w:before="9" w:line="560" w:lineRule="exact"/>
        <w:ind w:left="7" w:right="95" w:firstLine="642" w:firstLineChars="200"/>
        <w:jc w:val="both"/>
        <w:textAlignment w:val="baseline"/>
        <w:rPr>
          <w:rFonts w:hint="eastAsia" w:ascii="仿宋_GB2312" w:hAnsi="仿宋_GB2312" w:eastAsia="仿宋_GB2312" w:cs="仿宋_GB2312"/>
          <w:snapToGrid/>
          <w:color w:val="auto"/>
          <w:kern w:val="2"/>
          <w:sz w:val="32"/>
          <w:szCs w:val="32"/>
          <w:highlight w:val="none"/>
          <w:lang w:val="en-US" w:eastAsia="zh-CN" w:bidi="ar-SA"/>
        </w:rPr>
      </w:pPr>
      <w:r>
        <w:rPr>
          <w:rFonts w:hint="eastAsia" w:ascii="楷体" w:hAnsi="楷体" w:eastAsia="楷体" w:cs="楷体"/>
          <w:b/>
          <w:bCs/>
          <w:sz w:val="32"/>
          <w:szCs w:val="32"/>
          <w:lang w:val="en-US" w:eastAsia="zh-CN"/>
        </w:rPr>
        <w:t>第三十二条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napToGrid/>
          <w:color w:val="auto"/>
          <w:kern w:val="2"/>
          <w:sz w:val="32"/>
          <w:szCs w:val="32"/>
          <w:highlight w:val="none"/>
          <w:lang w:val="en-US" w:eastAsia="zh-CN" w:bidi="ar-SA"/>
        </w:rPr>
        <w:t>中央、省、州和县级财政常态化帮扶资金支持的项目实施全过程绩效管理。项目申报时应明确具体绩效目标，事中根据需要开展绩效监控，事后开展绩效评价，加强评价结果运用。评价结果作为所在单位以后年度申请中央、省、州和县级财政常态化帮扶资金和项目的重要参考依据。</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jc w:val="both"/>
        <w:textAlignment w:val="baseline"/>
        <w:rPr>
          <w:rFonts w:hint="eastAsia" w:ascii="仿宋_GB2312" w:hAnsi="仿宋_GB2312" w:eastAsia="仿宋_GB2312" w:cs="仿宋_GB2312"/>
          <w:sz w:val="32"/>
          <w:szCs w:val="32"/>
        </w:rPr>
      </w:pPr>
      <w:r>
        <w:rPr>
          <w:rFonts w:hint="eastAsia" w:ascii="楷体" w:hAnsi="楷体" w:eastAsia="楷体" w:cs="楷体"/>
          <w:b/>
          <w:bCs/>
          <w:snapToGrid/>
          <w:color w:val="auto"/>
          <w:kern w:val="2"/>
          <w:sz w:val="32"/>
          <w:szCs w:val="32"/>
          <w:highlight w:val="none"/>
          <w:lang w:val="en-US" w:eastAsia="zh-CN" w:bidi="ar-SA"/>
        </w:rPr>
        <w:t>第三十三条</w:t>
      </w:r>
      <w:r>
        <w:rPr>
          <w:rFonts w:hint="eastAsia" w:ascii="仿宋_GB2312" w:hAnsi="仿宋_GB2312" w:eastAsia="仿宋_GB2312" w:cs="仿宋_GB2312"/>
          <w:snapToGrid/>
          <w:color w:val="auto"/>
          <w:kern w:val="2"/>
          <w:sz w:val="32"/>
          <w:szCs w:val="32"/>
          <w:highlight w:val="none"/>
          <w:lang w:val="en-US" w:eastAsia="zh-CN" w:bidi="ar-SA"/>
        </w:rPr>
        <w:t xml:space="preserve"> </w:t>
      </w:r>
      <w:r>
        <w:rPr>
          <w:rFonts w:hint="eastAsia" w:ascii="仿宋_GB2312" w:hAnsi="仿宋_GB2312" w:eastAsia="仿宋_GB2312" w:cs="仿宋_GB2312"/>
          <w:sz w:val="32"/>
          <w:szCs w:val="32"/>
          <w:lang w:eastAsia="zh-CN"/>
        </w:rPr>
        <w:t>县级各</w:t>
      </w:r>
      <w:r>
        <w:rPr>
          <w:rFonts w:hint="eastAsia" w:ascii="仿宋_GB2312" w:hAnsi="仿宋_GB2312" w:eastAsia="仿宋_GB2312" w:cs="仿宋_GB2312"/>
          <w:sz w:val="32"/>
          <w:szCs w:val="32"/>
        </w:rPr>
        <w:t>任务方向主管部门及项目实施、资金使用单位要严肃财经纪律，深化内部控制，加强监督管理，有效防范化解中央、省</w:t>
      </w:r>
      <w:r>
        <w:rPr>
          <w:rFonts w:hint="eastAsia" w:ascii="仿宋_GB2312" w:hAnsi="仿宋_GB2312" w:eastAsia="仿宋_GB2312" w:cs="仿宋_GB2312"/>
          <w:sz w:val="32"/>
          <w:szCs w:val="32"/>
          <w:lang w:eastAsia="zh-CN"/>
        </w:rPr>
        <w:t>、州和县</w:t>
      </w:r>
      <w:r>
        <w:rPr>
          <w:rFonts w:hint="eastAsia" w:ascii="仿宋_GB2312" w:hAnsi="仿宋_GB2312" w:eastAsia="仿宋_GB2312" w:cs="仿宋_GB2312"/>
          <w:sz w:val="32"/>
          <w:szCs w:val="32"/>
        </w:rPr>
        <w:t>级财政常态化帮扶资金使用管理过程中的风险隐患。中央、省</w:t>
      </w:r>
      <w:r>
        <w:rPr>
          <w:rFonts w:hint="eastAsia" w:ascii="仿宋_GB2312" w:hAnsi="仿宋_GB2312" w:eastAsia="仿宋_GB2312" w:cs="仿宋_GB2312"/>
          <w:sz w:val="32"/>
          <w:szCs w:val="32"/>
          <w:lang w:eastAsia="zh-CN"/>
        </w:rPr>
        <w:t>、州和县</w:t>
      </w:r>
      <w:r>
        <w:rPr>
          <w:rFonts w:hint="eastAsia" w:ascii="仿宋_GB2312" w:hAnsi="仿宋_GB2312" w:eastAsia="仿宋_GB2312" w:cs="仿宋_GB2312"/>
          <w:sz w:val="32"/>
          <w:szCs w:val="32"/>
        </w:rPr>
        <w:t>级财政常态化帮扶资金纳入预算常态化监督范围，县</w:t>
      </w:r>
      <w:r>
        <w:rPr>
          <w:rFonts w:hint="eastAsia" w:ascii="仿宋_GB2312" w:hAnsi="仿宋_GB2312" w:eastAsia="仿宋_GB2312" w:cs="仿宋_GB2312"/>
          <w:sz w:val="32"/>
          <w:szCs w:val="32"/>
          <w:lang w:eastAsia="zh-CN"/>
        </w:rPr>
        <w:t>级</w:t>
      </w:r>
      <w:r>
        <w:rPr>
          <w:rFonts w:hint="eastAsia" w:ascii="仿宋_GB2312" w:hAnsi="仿宋_GB2312" w:eastAsia="仿宋_GB2312" w:cs="仿宋_GB2312"/>
          <w:sz w:val="32"/>
          <w:szCs w:val="32"/>
        </w:rPr>
        <w:t>财政部门依托预算管理一体化系统转移支付监控模块，加强预算执行常态化监督，发现问题及时纠正处理，根据情况进一步采取追回已拨付资金、扣减预算等措施强化监督。中央、省</w:t>
      </w:r>
      <w:r>
        <w:rPr>
          <w:rFonts w:hint="eastAsia" w:ascii="仿宋_GB2312" w:hAnsi="仿宋_GB2312" w:eastAsia="仿宋_GB2312" w:cs="仿宋_GB2312"/>
          <w:sz w:val="32"/>
          <w:szCs w:val="32"/>
          <w:lang w:eastAsia="zh-CN"/>
        </w:rPr>
        <w:t>、州</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级财政常态化帮扶资金和项目自觉接受纪检监察、巡视巡察、审计、财会等监督，对在各类监督检查中发现的问题，要及时制定整改措施，切实整改到位。</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jc w:val="both"/>
        <w:textAlignment w:val="baseline"/>
        <w:rPr>
          <w:rFonts w:hint="eastAsia" w:ascii="仿宋_GB2312" w:hAnsi="仿宋_GB2312" w:eastAsia="仿宋_GB2312" w:cs="仿宋_GB2312"/>
          <w:sz w:val="32"/>
          <w:szCs w:val="32"/>
          <w:lang w:eastAsia="zh-CN"/>
        </w:rPr>
      </w:pPr>
      <w:r>
        <w:rPr>
          <w:rFonts w:hint="eastAsia" w:ascii="楷体" w:hAnsi="楷体" w:eastAsia="楷体" w:cs="楷体"/>
          <w:b/>
          <w:bCs/>
          <w:snapToGrid/>
          <w:color w:val="auto"/>
          <w:kern w:val="2"/>
          <w:sz w:val="32"/>
          <w:szCs w:val="32"/>
          <w:highlight w:val="none"/>
          <w:lang w:val="en-US" w:eastAsia="zh-CN" w:bidi="ar-SA"/>
        </w:rPr>
        <w:t>第三十四条</w:t>
      </w:r>
      <w:r>
        <w:rPr>
          <w:rFonts w:hint="eastAsia" w:ascii="仿宋_GB2312" w:hAnsi="仿宋_GB2312" w:eastAsia="仿宋_GB2312" w:cs="仿宋_GB2312"/>
          <w:snapToGrid/>
          <w:color w:val="auto"/>
          <w:kern w:val="2"/>
          <w:sz w:val="32"/>
          <w:szCs w:val="32"/>
          <w:highlight w:val="none"/>
          <w:lang w:val="en-US" w:eastAsia="zh-CN" w:bidi="ar-SA"/>
        </w:rPr>
        <w:t xml:space="preserve"> 县</w:t>
      </w:r>
      <w:r>
        <w:rPr>
          <w:rFonts w:hint="eastAsia" w:ascii="仿宋_GB2312" w:hAnsi="仿宋_GB2312" w:eastAsia="仿宋_GB2312" w:cs="仿宋_GB2312"/>
          <w:sz w:val="32"/>
          <w:szCs w:val="32"/>
        </w:rPr>
        <w:t>级财政和任务方向主管部门、项目实施和资金使用单位及其工作人员在中央、省</w:t>
      </w:r>
      <w:r>
        <w:rPr>
          <w:rFonts w:hint="eastAsia" w:ascii="仿宋_GB2312" w:hAnsi="仿宋_GB2312" w:eastAsia="仿宋_GB2312" w:cs="仿宋_GB2312"/>
          <w:sz w:val="32"/>
          <w:szCs w:val="32"/>
          <w:lang w:eastAsia="zh-CN"/>
        </w:rPr>
        <w:t>、州和县</w:t>
      </w:r>
      <w:r>
        <w:rPr>
          <w:rFonts w:hint="eastAsia" w:ascii="仿宋_GB2312" w:hAnsi="仿宋_GB2312" w:eastAsia="仿宋_GB2312" w:cs="仿宋_GB2312"/>
          <w:sz w:val="32"/>
          <w:szCs w:val="32"/>
        </w:rPr>
        <w:t>级财政常态化帮扶资金分配、使用、管理等工作中，存在违反本办法规定，以及滥用职权、玩忽职守、徇私舞弊等违法违规行为的，对相关单位及个人，按照《中华人民共和国预算法》及其实施条例、《中华人民共和国公职人员政务处分法》《财政违法行为处罚处分条例》等法律法规规定处理;涉嫌犯罪的，移送有权机关处理</w:t>
      </w:r>
      <w:r>
        <w:rPr>
          <w:rFonts w:hint="eastAsia" w:ascii="仿宋_GB2312" w:hAnsi="仿宋_GB2312" w:eastAsia="仿宋_GB2312" w:cs="仿宋_GB2312"/>
          <w:sz w:val="32"/>
          <w:szCs w:val="32"/>
          <w:lang w:eastAsia="zh-CN"/>
        </w:rPr>
        <w:t>。</w:t>
      </w:r>
    </w:p>
    <w:p>
      <w:pPr>
        <w:pStyle w:val="3"/>
        <w:keepNext w:val="0"/>
        <w:keepLines w:val="0"/>
        <w:pageBreakBefore w:val="0"/>
        <w:wordWrap/>
        <w:overflowPunct/>
        <w:topLinePunct w:val="0"/>
        <w:bidi w:val="0"/>
        <w:spacing w:before="9" w:line="560" w:lineRule="exact"/>
        <w:ind w:right="95"/>
        <w:jc w:val="center"/>
        <w:rPr>
          <w:rFonts w:hint="eastAsia" w:ascii="黑体" w:hAnsi="黑体" w:eastAsia="黑体" w:cs="黑体"/>
          <w:snapToGrid/>
          <w:color w:val="auto"/>
          <w:kern w:val="2"/>
          <w:sz w:val="32"/>
          <w:szCs w:val="32"/>
          <w:highlight w:val="none"/>
          <w:lang w:val="en-US" w:eastAsia="zh-CN" w:bidi="ar-SA"/>
        </w:rPr>
      </w:pPr>
      <w:r>
        <w:rPr>
          <w:rFonts w:hint="eastAsia" w:ascii="黑体" w:hAnsi="黑体" w:eastAsia="黑体" w:cs="黑体"/>
          <w:snapToGrid/>
          <w:color w:val="auto"/>
          <w:kern w:val="2"/>
          <w:sz w:val="32"/>
          <w:szCs w:val="32"/>
          <w:highlight w:val="none"/>
          <w:lang w:val="en-US" w:eastAsia="zh-CN" w:bidi="ar-SA"/>
        </w:rPr>
        <w:t>第七章</w:t>
      </w:r>
      <w:r>
        <w:rPr>
          <w:rFonts w:hint="eastAsia" w:ascii="黑体" w:hAnsi="黑体" w:eastAsia="仿宋_GB2312" w:cs="黑体"/>
          <w:snapToGrid/>
          <w:color w:val="auto"/>
          <w:kern w:val="2"/>
          <w:sz w:val="32"/>
          <w:szCs w:val="32"/>
          <w:highlight w:val="none"/>
          <w:lang w:val="en-US" w:eastAsia="zh-CN" w:bidi="ar-SA"/>
        </w:rPr>
        <w:t xml:space="preserve"> </w:t>
      </w:r>
      <w:r>
        <w:rPr>
          <w:rFonts w:hint="eastAsia" w:ascii="黑体" w:hAnsi="黑体" w:eastAsia="黑体" w:cs="黑体"/>
          <w:snapToGrid/>
          <w:color w:val="auto"/>
          <w:kern w:val="2"/>
          <w:sz w:val="32"/>
          <w:szCs w:val="32"/>
          <w:highlight w:val="none"/>
          <w:lang w:val="en-US" w:eastAsia="zh-CN" w:bidi="ar-SA"/>
        </w:rPr>
        <w:t>附则</w:t>
      </w:r>
    </w:p>
    <w:p>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2" w:firstLineChars="200"/>
        <w:jc w:val="both"/>
        <w:textAlignment w:val="baseline"/>
        <w:rPr>
          <w:rFonts w:hint="eastAsia" w:ascii="仿宋_GB2312" w:hAnsi="仿宋_GB2312" w:eastAsia="仿宋_GB2312" w:cs="仿宋_GB2312"/>
          <w:snapToGrid/>
          <w:color w:val="auto"/>
          <w:kern w:val="2"/>
          <w:sz w:val="32"/>
          <w:szCs w:val="32"/>
          <w:highlight w:val="none"/>
          <w:lang w:val="en-US" w:eastAsia="zh-CN" w:bidi="ar-SA"/>
        </w:rPr>
      </w:pPr>
      <w:r>
        <w:rPr>
          <w:rFonts w:hint="eastAsia" w:ascii="楷体" w:hAnsi="楷体" w:eastAsia="楷体" w:cs="楷体"/>
          <w:b/>
          <w:bCs/>
          <w:sz w:val="32"/>
          <w:szCs w:val="32"/>
          <w:lang w:val="en-US" w:eastAsia="zh-CN"/>
        </w:rPr>
        <w:t>第三十五条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napToGrid/>
          <w:color w:val="auto"/>
          <w:kern w:val="2"/>
          <w:sz w:val="32"/>
          <w:szCs w:val="32"/>
          <w:highlight w:val="none"/>
          <w:lang w:val="en-US" w:eastAsia="zh-CN" w:bidi="ar-SA"/>
        </w:rPr>
        <w:t>县财政局会同县级任务方向主管部门根据党中央、国务院，省委、省政府，州委、州政府和县委、县政府有关决策部署，结合常态化帮扶工作实际及相关改革要求，适时调整完善中央、省、州和县级财政常态化帮扶资金支持内容、分配方式、分配因素等。</w:t>
      </w:r>
    </w:p>
    <w:p>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2" w:firstLineChars="200"/>
        <w:jc w:val="both"/>
        <w:textAlignment w:val="baseline"/>
        <w:rPr>
          <w:rFonts w:hint="eastAsia" w:ascii="仿宋_GB2312" w:hAnsi="仿宋_GB2312" w:eastAsia="仿宋_GB2312" w:cs="仿宋_GB2312"/>
          <w:snapToGrid/>
          <w:color w:val="auto"/>
          <w:kern w:val="2"/>
          <w:sz w:val="32"/>
          <w:szCs w:val="32"/>
          <w:highlight w:val="none"/>
          <w:lang w:val="en-US" w:eastAsia="zh-CN" w:bidi="ar-SA"/>
        </w:rPr>
      </w:pPr>
      <w:r>
        <w:rPr>
          <w:rFonts w:hint="eastAsia" w:ascii="楷体" w:hAnsi="楷体" w:eastAsia="楷体" w:cs="楷体"/>
          <w:b/>
          <w:bCs/>
          <w:snapToGrid/>
          <w:color w:val="auto"/>
          <w:kern w:val="2"/>
          <w:sz w:val="32"/>
          <w:szCs w:val="32"/>
          <w:highlight w:val="none"/>
          <w:lang w:val="en-US" w:eastAsia="zh-CN" w:bidi="ar-SA"/>
        </w:rPr>
        <w:t>第三十六条</w:t>
      </w:r>
      <w:r>
        <w:rPr>
          <w:rFonts w:hint="eastAsia" w:ascii="仿宋_GB2312" w:hAnsi="仿宋_GB2312" w:eastAsia="仿宋_GB2312" w:cs="仿宋_GB2312"/>
          <w:snapToGrid/>
          <w:color w:val="auto"/>
          <w:kern w:val="2"/>
          <w:sz w:val="32"/>
          <w:szCs w:val="32"/>
          <w:highlight w:val="none"/>
          <w:lang w:val="en-US" w:eastAsia="zh-CN" w:bidi="ar-SA"/>
        </w:rPr>
        <w:t xml:space="preserve"> 财政部门要根据常态化帮扶需要及财力状况，每年预算安排一定规模的本级财政常态化帮扶资金，其中:州级保持投入力度总体稳定、投入情况纳入常态化帮扶资金绩效评价内容。县级结合实际确定本级财政常态化帮扶资金的分配方式、具体用途等，与中央、省和州级财政常态化帮扶资金用途做好统筹衔接、查漏补缺。</w:t>
      </w:r>
    </w:p>
    <w:p>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2" w:firstLineChars="200"/>
        <w:jc w:val="both"/>
        <w:textAlignment w:val="baseline"/>
        <w:rPr>
          <w:rFonts w:hint="eastAsia" w:ascii="仿宋_GB2312" w:hAnsi="仿宋_GB2312" w:eastAsia="仿宋_GB2312" w:cs="仿宋_GB2312"/>
          <w:snapToGrid/>
          <w:color w:val="auto"/>
          <w:kern w:val="2"/>
          <w:sz w:val="32"/>
          <w:szCs w:val="32"/>
          <w:highlight w:val="none"/>
          <w:lang w:val="en-US" w:eastAsia="zh-CN" w:bidi="ar-SA"/>
        </w:rPr>
      </w:pPr>
      <w:r>
        <w:rPr>
          <w:rFonts w:hint="eastAsia" w:ascii="楷体" w:hAnsi="楷体" w:eastAsia="楷体" w:cs="楷体"/>
          <w:b/>
          <w:bCs/>
          <w:snapToGrid/>
          <w:color w:val="auto"/>
          <w:kern w:val="2"/>
          <w:sz w:val="32"/>
          <w:szCs w:val="32"/>
          <w:highlight w:val="none"/>
          <w:lang w:val="en-US" w:eastAsia="zh-CN" w:bidi="ar-SA"/>
        </w:rPr>
        <w:t>第三十七条</w:t>
      </w:r>
      <w:r>
        <w:rPr>
          <w:rFonts w:hint="eastAsia" w:ascii="仿宋_GB2312" w:hAnsi="仿宋_GB2312" w:eastAsia="仿宋_GB2312" w:cs="仿宋_GB2312"/>
          <w:snapToGrid/>
          <w:color w:val="auto"/>
          <w:kern w:val="2"/>
          <w:sz w:val="32"/>
          <w:szCs w:val="32"/>
          <w:highlight w:val="none"/>
          <w:lang w:val="en-US" w:eastAsia="zh-CN" w:bidi="ar-SA"/>
        </w:rPr>
        <w:t xml:space="preserve"> 本办法由县财政局会同县科学技术和农业畜牧水务局、县发展和改革局、县民族宗教局、县林业和草原局负责解释。</w:t>
      </w:r>
    </w:p>
    <w:p>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2" w:firstLineChars="200"/>
        <w:jc w:val="both"/>
        <w:textAlignment w:val="baseline"/>
        <w:rPr>
          <w:rFonts w:hint="eastAsia" w:ascii="仿宋_GB2312" w:hAnsi="仿宋_GB2312" w:eastAsia="仿宋_GB2312" w:cs="仿宋_GB2312"/>
          <w:snapToGrid/>
          <w:color w:val="auto"/>
          <w:kern w:val="2"/>
          <w:sz w:val="32"/>
          <w:szCs w:val="32"/>
          <w:highlight w:val="none"/>
          <w:lang w:val="en-US" w:eastAsia="zh-CN" w:bidi="ar-SA"/>
        </w:rPr>
        <w:sectPr>
          <w:footerReference r:id="rId5" w:type="default"/>
          <w:pgSz w:w="11909" w:h="16836"/>
          <w:pgMar w:top="2098" w:right="1474" w:bottom="1984" w:left="1587" w:header="0" w:footer="807" w:gutter="0"/>
          <w:cols w:space="720" w:num="1"/>
        </w:sectPr>
      </w:pPr>
      <w:r>
        <w:rPr>
          <w:rFonts w:hint="eastAsia" w:ascii="楷体" w:hAnsi="楷体" w:eastAsia="楷体" w:cs="楷体"/>
          <w:b/>
          <w:bCs/>
          <w:snapToGrid/>
          <w:color w:val="auto"/>
          <w:kern w:val="2"/>
          <w:sz w:val="32"/>
          <w:szCs w:val="32"/>
          <w:highlight w:val="none"/>
          <w:lang w:val="en-US" w:eastAsia="zh-CN" w:bidi="ar-SA"/>
        </w:rPr>
        <w:t>第三十八条</w:t>
      </w:r>
      <w:r>
        <w:rPr>
          <w:rFonts w:hint="eastAsia" w:ascii="仿宋_GB2312" w:hAnsi="仿宋_GB2312" w:eastAsia="仿宋_GB2312" w:cs="仿宋_GB2312"/>
          <w:snapToGrid/>
          <w:color w:val="auto"/>
          <w:kern w:val="2"/>
          <w:sz w:val="32"/>
          <w:szCs w:val="32"/>
          <w:highlight w:val="none"/>
          <w:lang w:val="en-US" w:eastAsia="zh-CN" w:bidi="ar-SA"/>
        </w:rPr>
        <w:t xml:space="preserve"> 本办法自印</w:t>
      </w:r>
      <w:r>
        <w:rPr>
          <w:rFonts w:hint="eastAsia" w:ascii="仿宋_GB2312" w:hAnsi="仿宋_GB2312" w:eastAsia="仿宋_GB2312" w:cs="仿宋_GB2312"/>
          <w:sz w:val="32"/>
          <w:szCs w:val="32"/>
          <w:lang w:eastAsia="zh-CN"/>
        </w:rPr>
        <w:t>发之日</w:t>
      </w:r>
      <w:r>
        <w:rPr>
          <w:rFonts w:hint="eastAsia" w:ascii="仿宋_GB2312" w:hAnsi="仿宋_GB2312" w:eastAsia="仿宋_GB2312" w:cs="仿宋_GB2312"/>
          <w:sz w:val="32"/>
          <w:szCs w:val="32"/>
          <w:lang w:val="en-US" w:eastAsia="zh-CN"/>
        </w:rPr>
        <w:t>30日后</w:t>
      </w:r>
      <w:r>
        <w:rPr>
          <w:rFonts w:hint="eastAsia" w:ascii="仿宋_GB2312" w:hAnsi="仿宋_GB2312" w:eastAsia="仿宋_GB2312" w:cs="仿宋_GB2312"/>
          <w:snapToGrid/>
          <w:color w:val="auto"/>
          <w:kern w:val="2"/>
          <w:sz w:val="32"/>
          <w:szCs w:val="32"/>
          <w:highlight w:val="none"/>
          <w:lang w:val="en-US" w:eastAsia="zh-CN" w:bidi="ar-SA"/>
        </w:rPr>
        <w:t>起施行，有效期5年。原《阿坝县财政衔接推进乡村振兴补助资金管理办法》（阿县委办〔2021〕82号）及《关于加强阿坝县财政衔接推进乡村振兴补助资金使用管理的实施细则》（阿县财〔2022〕110号）同时废止。</w:t>
      </w:r>
    </w:p>
    <w:p>
      <w:pPr>
        <w:pStyle w:val="6"/>
        <w:keepNext w:val="0"/>
        <w:keepLines w:val="0"/>
        <w:pageBreakBefore w:val="0"/>
        <w:widowControl w:val="0"/>
        <w:kinsoku/>
        <w:wordWrap/>
        <w:overflowPunct/>
        <w:topLinePunct w:val="0"/>
        <w:autoSpaceDE/>
        <w:autoSpaceDN/>
        <w:bidi w:val="0"/>
        <w:adjustRightInd/>
        <w:snapToGrid/>
        <w:spacing w:before="0" w:after="0" w:line="560" w:lineRule="exact"/>
        <w:ind w:firstLine="0"/>
        <w:jc w:val="both"/>
        <w:textAlignment w:val="auto"/>
        <w:rPr>
          <w:rFonts w:hint="eastAsia" w:ascii="黑体" w:eastAsia="黑体" w:cs="黑体"/>
          <w:b w:val="0"/>
          <w:bCs w:val="0"/>
          <w:sz w:val="32"/>
          <w:szCs w:val="32"/>
          <w:lang w:val="en-US" w:eastAsia="zh-CN" w:bidi="ar-SA"/>
        </w:rPr>
      </w:pPr>
      <w:r>
        <w:rPr>
          <w:sz w:val="21"/>
        </w:rPr>
        <mc:AlternateContent>
          <mc:Choice Requires="wps">
            <w:drawing>
              <wp:anchor distT="0" distB="0" distL="114300" distR="114300" simplePos="0" relativeHeight="251659264" behindDoc="0" locked="0" layoutInCell="1" allowOverlap="1">
                <wp:simplePos x="0" y="0"/>
                <wp:positionH relativeFrom="column">
                  <wp:posOffset>-497205</wp:posOffset>
                </wp:positionH>
                <wp:positionV relativeFrom="paragraph">
                  <wp:posOffset>18415</wp:posOffset>
                </wp:positionV>
                <wp:extent cx="437515" cy="675640"/>
                <wp:effectExtent l="0" t="0" r="0" b="0"/>
                <wp:wrapNone/>
                <wp:docPr id="1" name="文本框 1"/>
                <wp:cNvGraphicFramePr/>
                <a:graphic xmlns:a="http://schemas.openxmlformats.org/drawingml/2006/main">
                  <a:graphicData uri="http://schemas.microsoft.com/office/word/2010/wordprocessingShape">
                    <wps:wsp>
                      <wps:cNvSpPr txBox="1"/>
                      <wps:spPr>
                        <a:xfrm>
                          <a:off x="0" y="0"/>
                          <a:ext cx="437515" cy="675640"/>
                        </a:xfrm>
                        <a:prstGeom prst="rect">
                          <a:avLst/>
                        </a:prstGeom>
                        <a:noFill/>
                        <a:ln>
                          <a:noFill/>
                        </a:ln>
                      </wps:spPr>
                      <wps:txbx>
                        <w:txbxContent>
                          <w:p>
                            <w:pPr>
                              <w:spacing w:line="400" w:lineRule="exact"/>
                              <w:rPr>
                                <w:rFonts w:hint="eastAsia" w:ascii="宋体" w:eastAsia="宋体" w:cs="宋体"/>
                                <w:sz w:val="28"/>
                                <w:szCs w:val="28"/>
                                <w:lang w:val="en-US" w:eastAsia="zh-CN" w:bidi="ar-SA"/>
                              </w:rPr>
                            </w:pPr>
                            <w:r>
                              <w:rPr>
                                <w:rFonts w:hint="eastAsia" w:ascii="宋体" w:eastAsia="宋体" w:cs="宋体"/>
                                <w:sz w:val="28"/>
                                <w:szCs w:val="28"/>
                                <w:lang w:val="en-US" w:eastAsia="zh-CN" w:bidi="ar-SA"/>
                              </w:rPr>
                              <w:t>-</w:t>
                            </w:r>
                            <w:r>
                              <w:rPr>
                                <w:rFonts w:hint="eastAsia" w:ascii="宋体" w:eastAsia="仿宋_GB2312" w:cs="宋体"/>
                                <w:sz w:val="28"/>
                                <w:szCs w:val="28"/>
                                <w:lang w:val="en-US" w:eastAsia="zh-CN" w:bidi="ar-SA"/>
                              </w:rPr>
                              <w:t xml:space="preserve"> </w:t>
                            </w:r>
                          </w:p>
                        </w:txbxContent>
                      </wps:txbx>
                      <wps:bodyPr vert="eaVert" upright="1"/>
                    </wps:wsp>
                  </a:graphicData>
                </a:graphic>
              </wp:anchor>
            </w:drawing>
          </mc:Choice>
          <mc:Fallback>
            <w:pict>
              <v:shape id="_x0000_s1026" o:spid="_x0000_s1026" o:spt="202" type="#_x0000_t202" style="position:absolute;left:0pt;margin-left:-39.15pt;margin-top:1.45pt;height:53.2pt;width:34.45pt;z-index:251659264;mso-width-relative:page;mso-height-relative:page;" filled="f" stroked="f" coordsize="21600,21600" o:gfxdata="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">
                <v:fill on="f" focussize="0,0"/>
                <v:stroke on="f"/>
                <v:imagedata o:title=""/>
                <o:lock v:ext="edit" aspectratio="f"/>
                <v:textbox style="layout-flow:vertical-ideographic;">
                  <w:txbxContent>
                    <w:p>
                      <w:pPr>
                        <w:spacing w:line="400" w:lineRule="exact"/>
                        <w:rPr>
                          <w:rFonts w:hint="eastAsia" w:ascii="宋体" w:eastAsia="宋体" w:cs="宋体"/>
                          <w:sz w:val="28"/>
                          <w:szCs w:val="28"/>
                          <w:lang w:val="en-US" w:eastAsia="zh-CN" w:bidi="ar-SA"/>
                        </w:rPr>
                      </w:pPr>
                      <w:r>
                        <w:rPr>
                          <w:rFonts w:hint="eastAsia" w:ascii="宋体" w:eastAsia="宋体" w:cs="宋体"/>
                          <w:sz w:val="28"/>
                          <w:szCs w:val="28"/>
                          <w:lang w:val="en-US" w:eastAsia="zh-CN" w:bidi="ar-SA"/>
                        </w:rPr>
                        <w:t>-</w:t>
                      </w:r>
                      <w:r>
                        <w:rPr>
                          <w:rFonts w:hint="eastAsia" w:ascii="宋体" w:eastAsia="仿宋_GB2312" w:cs="宋体"/>
                          <w:sz w:val="28"/>
                          <w:szCs w:val="28"/>
                          <w:lang w:val="en-US" w:eastAsia="zh-CN" w:bidi="ar-SA"/>
                        </w:rPr>
                        <w:t xml:space="preserve"> </w:t>
                      </w:r>
                    </w:p>
                  </w:txbxContent>
                </v:textbox>
              </v:shape>
            </w:pict>
          </mc:Fallback>
        </mc:AlternateContent>
      </w:r>
      <w:r>
        <w:rPr>
          <w:rFonts w:hint="eastAsia" w:ascii="黑体" w:eastAsia="黑体" w:cs="黑体"/>
          <w:b w:val="0"/>
          <w:bCs w:val="0"/>
          <w:sz w:val="32"/>
          <w:szCs w:val="32"/>
          <w:lang w:val="en-US" w:eastAsia="zh-CN" w:bidi="ar-SA"/>
        </w:rPr>
        <w:t>附件</w:t>
      </w:r>
    </w:p>
    <w:p>
      <w:pPr>
        <w:pStyle w:val="4"/>
        <w:keepNext w:val="0"/>
        <w:keepLines w:val="0"/>
        <w:pageBreakBefore w:val="0"/>
        <w:widowControl w:val="0"/>
        <w:kinsoku/>
        <w:wordWrap/>
        <w:overflowPunct/>
        <w:topLinePunct w:val="0"/>
        <w:autoSpaceDE/>
        <w:autoSpaceDN/>
        <w:bidi w:val="0"/>
        <w:adjustRightInd/>
        <w:snapToGrid/>
        <w:spacing w:after="0" w:line="560" w:lineRule="exact"/>
        <w:ind w:firstLine="0"/>
        <w:jc w:val="both"/>
        <w:textAlignment w:val="auto"/>
        <w:rPr>
          <w:rFonts w:hint="eastAsia" w:ascii="方正小标宋简体" w:eastAsia="方正小标宋简体" w:cs="方正小标宋简体"/>
          <w:sz w:val="36"/>
          <w:szCs w:val="36"/>
          <w:lang w:val="en-US" w:eastAsia="zh-CN" w:bidi="ar-SA"/>
        </w:rPr>
      </w:pPr>
      <w:r>
        <w:rPr>
          <w:rFonts w:hint="eastAsia" w:ascii="方正小标宋简体" w:eastAsia="方正小标宋简体" w:cs="方正小标宋简体"/>
          <w:sz w:val="36"/>
          <w:szCs w:val="36"/>
          <w:lang w:val="en-US" w:eastAsia="zh-CN" w:bidi="ar-SA"/>
        </w:rPr>
        <w:t>中央、省和州级财政常态化帮扶资金因素法分配具体测算指标</w:t>
      </w:r>
    </w:p>
    <w:tbl>
      <w:tblPr>
        <w:tblStyle w:val="8"/>
        <w:tblW w:w="4996" w:type="pct"/>
        <w:tblInd w:w="0" w:type="dxa"/>
        <w:tblLayout w:type="fixed"/>
        <w:tblCellMar>
          <w:top w:w="0" w:type="dxa"/>
          <w:left w:w="108" w:type="dxa"/>
          <w:bottom w:w="0" w:type="dxa"/>
          <w:right w:w="108" w:type="dxa"/>
        </w:tblCellMar>
      </w:tblPr>
      <w:tblGrid>
        <w:gridCol w:w="938"/>
        <w:gridCol w:w="2512"/>
        <w:gridCol w:w="3750"/>
        <w:gridCol w:w="4181"/>
        <w:gridCol w:w="2783"/>
      </w:tblGrid>
      <w:tr>
        <w:tblPrEx>
          <w:tblCellMar>
            <w:top w:w="0" w:type="dxa"/>
            <w:left w:w="108" w:type="dxa"/>
            <w:bottom w:w="0" w:type="dxa"/>
            <w:right w:w="108" w:type="dxa"/>
          </w:tblCellMar>
        </w:tblPrEx>
        <w:trPr>
          <w:trHeight w:val="960" w:hRule="atLeast"/>
          <w:tblHeader/>
        </w:trPr>
        <w:tc>
          <w:tcPr>
            <w:tcW w:w="9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center"/>
              <w:textAlignment w:val="center"/>
              <w:rPr>
                <w:rFonts w:hint="eastAsia" w:ascii="黑体" w:eastAsia="黑体" w:cs="黑体"/>
                <w:color w:val="000000"/>
                <w:sz w:val="28"/>
                <w:szCs w:val="28"/>
                <w:u w:val="none"/>
                <w:lang w:bidi="ar-SA"/>
              </w:rPr>
            </w:pPr>
            <w:r>
              <w:rPr>
                <w:rFonts w:hint="eastAsia" w:ascii="黑体" w:eastAsia="黑体" w:cs="黑体"/>
                <w:color w:val="000000"/>
                <w:kern w:val="0"/>
                <w:sz w:val="28"/>
                <w:szCs w:val="28"/>
                <w:u w:val="none"/>
                <w:lang w:val="en-US" w:eastAsia="zh-CN" w:bidi="ar"/>
              </w:rPr>
              <w:t>序号</w:t>
            </w:r>
          </w:p>
        </w:tc>
        <w:tc>
          <w:tcPr>
            <w:tcW w:w="251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center"/>
              <w:textAlignment w:val="center"/>
              <w:rPr>
                <w:rFonts w:hint="eastAsia" w:ascii="黑体" w:eastAsia="黑体" w:cs="黑体"/>
                <w:color w:val="000000"/>
                <w:sz w:val="28"/>
                <w:szCs w:val="28"/>
                <w:u w:val="none"/>
                <w:lang w:bidi="ar-SA"/>
              </w:rPr>
            </w:pPr>
            <w:r>
              <w:rPr>
                <w:rFonts w:hint="eastAsia" w:ascii="黑体" w:eastAsia="黑体" w:cs="黑体"/>
                <w:color w:val="000000"/>
                <w:kern w:val="0"/>
                <w:sz w:val="28"/>
                <w:szCs w:val="28"/>
                <w:u w:val="none"/>
                <w:lang w:val="en-US" w:eastAsia="zh-CN" w:bidi="ar"/>
              </w:rPr>
              <w:t>任务方向</w:t>
            </w:r>
          </w:p>
        </w:tc>
        <w:tc>
          <w:tcPr>
            <w:tcW w:w="3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center"/>
              <w:textAlignment w:val="center"/>
              <w:rPr>
                <w:rFonts w:hint="eastAsia" w:ascii="黑体" w:eastAsia="黑体" w:cs="黑体"/>
                <w:color w:val="000000"/>
                <w:sz w:val="28"/>
                <w:szCs w:val="28"/>
                <w:u w:val="none"/>
                <w:lang w:bidi="ar-SA"/>
              </w:rPr>
            </w:pPr>
            <w:r>
              <w:rPr>
                <w:rFonts w:hint="eastAsia" w:ascii="黑体" w:eastAsia="黑体" w:cs="黑体"/>
                <w:color w:val="000000"/>
                <w:kern w:val="0"/>
                <w:sz w:val="28"/>
                <w:szCs w:val="28"/>
                <w:u w:val="none"/>
                <w:lang w:val="en-US" w:eastAsia="zh-CN" w:bidi="ar"/>
              </w:rPr>
              <w:t>基础性因素</w:t>
            </w:r>
            <w:r>
              <w:rPr>
                <w:rFonts w:hint="eastAsia" w:ascii="黑体" w:eastAsia="黑体" w:cs="黑体"/>
                <w:color w:val="000000"/>
                <w:kern w:val="0"/>
                <w:sz w:val="28"/>
                <w:szCs w:val="28"/>
                <w:u w:val="none"/>
                <w:lang w:val="en-US" w:eastAsia="zh-CN" w:bidi="ar"/>
              </w:rPr>
              <w:br w:type="textWrapping"/>
            </w:r>
            <w:r>
              <w:rPr>
                <w:rFonts w:hint="eastAsia" w:ascii="黑体" w:eastAsia="黑体" w:cs="黑体"/>
                <w:color w:val="000000"/>
                <w:kern w:val="0"/>
                <w:sz w:val="28"/>
                <w:szCs w:val="28"/>
                <w:u w:val="none"/>
                <w:lang w:val="en-US" w:eastAsia="zh-CN" w:bidi="ar"/>
              </w:rPr>
              <w:t>（权重50%）</w:t>
            </w:r>
          </w:p>
        </w:tc>
        <w:tc>
          <w:tcPr>
            <w:tcW w:w="4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center"/>
              <w:textAlignment w:val="center"/>
              <w:rPr>
                <w:rFonts w:hint="eastAsia" w:ascii="黑体" w:eastAsia="黑体" w:cs="黑体"/>
                <w:color w:val="000000"/>
                <w:sz w:val="28"/>
                <w:szCs w:val="28"/>
                <w:u w:val="none"/>
                <w:lang w:bidi="ar-SA"/>
              </w:rPr>
            </w:pPr>
            <w:r>
              <w:rPr>
                <w:rFonts w:hint="eastAsia" w:ascii="黑体" w:eastAsia="黑体" w:cs="黑体"/>
                <w:color w:val="000000"/>
                <w:kern w:val="0"/>
                <w:sz w:val="28"/>
                <w:szCs w:val="28"/>
                <w:u w:val="none"/>
                <w:lang w:val="en-US" w:eastAsia="zh-CN" w:bidi="ar"/>
              </w:rPr>
              <w:t>政策性因素</w:t>
            </w:r>
            <w:r>
              <w:rPr>
                <w:rFonts w:hint="eastAsia" w:ascii="黑体" w:eastAsia="黑体" w:cs="黑体"/>
                <w:color w:val="000000"/>
                <w:kern w:val="0"/>
                <w:sz w:val="28"/>
                <w:szCs w:val="28"/>
                <w:u w:val="none"/>
                <w:lang w:val="en-US" w:eastAsia="zh-CN" w:bidi="ar"/>
              </w:rPr>
              <w:br w:type="textWrapping"/>
            </w:r>
            <w:r>
              <w:rPr>
                <w:rFonts w:hint="eastAsia" w:ascii="黑体" w:eastAsia="黑体" w:cs="黑体"/>
                <w:color w:val="000000"/>
                <w:kern w:val="0"/>
                <w:sz w:val="28"/>
                <w:szCs w:val="28"/>
                <w:u w:val="none"/>
                <w:lang w:val="en-US" w:eastAsia="zh-CN" w:bidi="ar"/>
              </w:rPr>
              <w:t>（权重40%）</w:t>
            </w:r>
          </w:p>
        </w:tc>
        <w:tc>
          <w:tcPr>
            <w:tcW w:w="2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center"/>
              <w:textAlignment w:val="center"/>
              <w:rPr>
                <w:rFonts w:hint="eastAsia" w:ascii="黑体" w:eastAsia="黑体" w:cs="黑体"/>
                <w:color w:val="000000"/>
                <w:sz w:val="28"/>
                <w:szCs w:val="28"/>
                <w:u w:val="none"/>
                <w:lang w:bidi="ar-SA"/>
              </w:rPr>
            </w:pPr>
            <w:r>
              <w:rPr>
                <w:rFonts w:hint="eastAsia" w:ascii="黑体" w:eastAsia="黑体" w:cs="黑体"/>
                <w:color w:val="000000"/>
                <w:kern w:val="0"/>
                <w:sz w:val="28"/>
                <w:szCs w:val="28"/>
                <w:u w:val="none"/>
                <w:lang w:val="en-US" w:eastAsia="zh-CN" w:bidi="ar"/>
              </w:rPr>
              <w:t>绩效评价结果等因素</w:t>
            </w:r>
            <w:r>
              <w:rPr>
                <w:rFonts w:hint="eastAsia" w:ascii="黑体" w:eastAsia="黑体" w:cs="黑体"/>
                <w:color w:val="000000"/>
                <w:kern w:val="0"/>
                <w:sz w:val="28"/>
                <w:szCs w:val="28"/>
                <w:u w:val="none"/>
                <w:lang w:val="en-US" w:eastAsia="zh-CN" w:bidi="ar"/>
              </w:rPr>
              <w:br w:type="textWrapping"/>
            </w:r>
            <w:r>
              <w:rPr>
                <w:rFonts w:hint="eastAsia" w:ascii="黑体" w:eastAsia="黑体" w:cs="黑体"/>
                <w:color w:val="000000"/>
                <w:kern w:val="0"/>
                <w:sz w:val="28"/>
                <w:szCs w:val="28"/>
                <w:u w:val="none"/>
                <w:lang w:val="en-US" w:eastAsia="zh-CN" w:bidi="ar"/>
              </w:rPr>
              <w:t>（权重10%）</w:t>
            </w:r>
          </w:p>
        </w:tc>
      </w:tr>
      <w:tr>
        <w:tblPrEx>
          <w:tblCellMar>
            <w:top w:w="0" w:type="dxa"/>
            <w:left w:w="108" w:type="dxa"/>
            <w:bottom w:w="0" w:type="dxa"/>
            <w:right w:w="108" w:type="dxa"/>
          </w:tblCellMar>
        </w:tblPrEx>
        <w:trPr>
          <w:trHeight w:val="4295"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default" w:ascii="Times New Roman" w:hAnsi="Times New Roman" w:eastAsia="宋体" w:cs="Times New Roman"/>
                <w:color w:val="000000"/>
                <w:sz w:val="28"/>
                <w:szCs w:val="28"/>
                <w:u w:val="none"/>
                <w:lang w:bidi="ar-SA"/>
              </w:rPr>
            </w:pPr>
            <w:r>
              <w:rPr>
                <w:rFonts w:hint="default" w:ascii="Times New Roman" w:hAnsi="Times New Roman" w:eastAsia="宋体" w:cs="Times New Roman"/>
                <w:color w:val="000000"/>
                <w:kern w:val="0"/>
                <w:sz w:val="28"/>
                <w:szCs w:val="28"/>
                <w:u w:val="none"/>
                <w:lang w:val="en-US" w:eastAsia="zh-CN" w:bidi="ar"/>
              </w:rPr>
              <w:t>1</w:t>
            </w:r>
          </w:p>
        </w:tc>
        <w:tc>
          <w:tcPr>
            <w:tcW w:w="2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eastAsia" w:ascii="仿宋" w:eastAsia="仿宋" w:cs="仿宋"/>
                <w:color w:val="000000"/>
                <w:sz w:val="28"/>
                <w:szCs w:val="28"/>
                <w:u w:val="none"/>
                <w:lang w:bidi="ar-SA"/>
              </w:rPr>
            </w:pPr>
            <w:r>
              <w:rPr>
                <w:rFonts w:hint="eastAsia" w:ascii="仿宋" w:eastAsia="仿宋" w:cs="仿宋"/>
                <w:color w:val="000000"/>
                <w:kern w:val="0"/>
                <w:sz w:val="28"/>
                <w:szCs w:val="28"/>
                <w:u w:val="none"/>
                <w:lang w:val="en-US" w:eastAsia="zh-CN" w:bidi="ar"/>
              </w:rPr>
              <w:t>开发式帮扶</w:t>
            </w:r>
          </w:p>
        </w:tc>
        <w:tc>
          <w:tcPr>
            <w:tcW w:w="3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eastAsia" w:ascii="仿宋" w:eastAsia="仿宋" w:cs="仿宋"/>
                <w:color w:val="000000"/>
                <w:sz w:val="28"/>
                <w:szCs w:val="28"/>
                <w:u w:val="none"/>
                <w:lang w:bidi="ar-SA"/>
              </w:rPr>
            </w:pPr>
            <w:r>
              <w:rPr>
                <w:rFonts w:hint="eastAsia" w:ascii="仿宋" w:eastAsia="仿宋" w:cs="仿宋"/>
                <w:color w:val="000000"/>
                <w:kern w:val="0"/>
                <w:sz w:val="28"/>
                <w:szCs w:val="28"/>
                <w:u w:val="none"/>
                <w:lang w:val="en-US" w:eastAsia="zh-CN" w:bidi="ar"/>
              </w:rPr>
              <w:t>包括防止返贫致贫对象、需要继续帮扶的原建档立卡脱贫人口等相关群体规模及结构，以及农村居民人均可支配收入等</w:t>
            </w:r>
          </w:p>
        </w:tc>
        <w:tc>
          <w:tcPr>
            <w:tcW w:w="4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eastAsia" w:ascii="仿宋" w:eastAsia="仿宋" w:cs="仿宋"/>
                <w:color w:val="000000"/>
                <w:sz w:val="28"/>
                <w:szCs w:val="28"/>
                <w:u w:val="none"/>
                <w:lang w:bidi="ar-SA"/>
              </w:rPr>
            </w:pPr>
            <w:r>
              <w:rPr>
                <w:rFonts w:hint="eastAsia" w:ascii="仿宋" w:eastAsia="仿宋" w:cs="仿宋"/>
                <w:color w:val="000000"/>
                <w:kern w:val="0"/>
                <w:sz w:val="28"/>
                <w:szCs w:val="28"/>
                <w:u w:val="none"/>
                <w:lang w:val="en-US" w:eastAsia="zh-CN" w:bidi="ar"/>
              </w:rPr>
              <w:t>对乡村振兴重点帮扶县等欠发达地区倾斜支持，“十三五”易地扶贫搬迁后续扶持，支持解决因受灾等返贫致贫突出风险问题等，以及党中央、国务院和省委、省政府、州委、州政府有明确部署的常态化帮扶重点任务</w:t>
            </w:r>
          </w:p>
        </w:tc>
        <w:tc>
          <w:tcPr>
            <w:tcW w:w="2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eastAsia" w:ascii="仿宋" w:eastAsia="仿宋" w:cs="仿宋"/>
                <w:color w:val="000000"/>
                <w:sz w:val="28"/>
                <w:szCs w:val="28"/>
                <w:u w:val="none"/>
                <w:lang w:bidi="ar-SA"/>
              </w:rPr>
            </w:pPr>
            <w:r>
              <w:rPr>
                <w:rFonts w:hint="eastAsia" w:ascii="仿宋" w:eastAsia="仿宋" w:cs="仿宋"/>
                <w:color w:val="000000"/>
                <w:kern w:val="0"/>
                <w:sz w:val="28"/>
                <w:szCs w:val="28"/>
                <w:u w:val="none"/>
                <w:lang w:val="en-US" w:eastAsia="zh-CN" w:bidi="ar"/>
              </w:rPr>
              <w:t>根据年度常态化帮扶考核评估、资金绩效评价等相关结果确定</w:t>
            </w:r>
          </w:p>
        </w:tc>
      </w:tr>
      <w:tr>
        <w:tblPrEx>
          <w:tblCellMar>
            <w:top w:w="0" w:type="dxa"/>
            <w:left w:w="108" w:type="dxa"/>
            <w:bottom w:w="0" w:type="dxa"/>
            <w:right w:w="108" w:type="dxa"/>
          </w:tblCellMar>
        </w:tblPrEx>
        <w:trPr>
          <w:trHeight w:val="2139"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default" w:ascii="Times New Roman" w:hAnsi="Times New Roman" w:eastAsia="宋体" w:cs="Times New Roman"/>
                <w:color w:val="000000"/>
                <w:sz w:val="28"/>
                <w:szCs w:val="28"/>
                <w:u w:val="none"/>
                <w:lang w:bidi="ar-SA"/>
              </w:rPr>
            </w:pPr>
            <w:r>
              <w:rPr>
                <w:rFonts w:hint="default" w:ascii="Times New Roman" w:hAnsi="Times New Roman" w:eastAsia="宋体" w:cs="Times New Roman"/>
                <w:color w:val="000000"/>
                <w:kern w:val="0"/>
                <w:sz w:val="28"/>
                <w:szCs w:val="28"/>
                <w:u w:val="none"/>
                <w:lang w:val="en-US" w:eastAsia="zh-CN" w:bidi="ar"/>
              </w:rPr>
              <w:t>2</w:t>
            </w:r>
          </w:p>
        </w:tc>
        <w:tc>
          <w:tcPr>
            <w:tcW w:w="2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eastAsia" w:ascii="仿宋" w:eastAsia="仿宋" w:cs="仿宋"/>
                <w:color w:val="000000"/>
                <w:sz w:val="28"/>
                <w:szCs w:val="28"/>
                <w:u w:val="none"/>
                <w:lang w:bidi="ar-SA"/>
              </w:rPr>
            </w:pPr>
            <w:r>
              <w:rPr>
                <w:rFonts w:hint="eastAsia" w:ascii="仿宋" w:eastAsia="仿宋" w:cs="仿宋"/>
                <w:color w:val="000000"/>
                <w:kern w:val="0"/>
                <w:sz w:val="28"/>
                <w:szCs w:val="28"/>
                <w:u w:val="none"/>
                <w:lang w:val="en-US" w:eastAsia="zh-CN" w:bidi="ar"/>
              </w:rPr>
              <w:t>以工代赈</w:t>
            </w:r>
          </w:p>
        </w:tc>
        <w:tc>
          <w:tcPr>
            <w:tcW w:w="3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eastAsia" w:ascii="仿宋" w:eastAsia="仿宋" w:cs="仿宋"/>
                <w:color w:val="000000"/>
                <w:sz w:val="28"/>
                <w:szCs w:val="28"/>
                <w:u w:val="none"/>
                <w:lang w:bidi="ar-SA"/>
              </w:rPr>
            </w:pPr>
            <w:r>
              <w:rPr>
                <w:rFonts w:hint="eastAsia" w:ascii="仿宋" w:eastAsia="仿宋" w:cs="仿宋"/>
                <w:color w:val="000000"/>
                <w:kern w:val="0"/>
                <w:sz w:val="28"/>
                <w:szCs w:val="28"/>
                <w:u w:val="none"/>
                <w:lang w:val="en-US" w:eastAsia="zh-CN" w:bidi="ar"/>
              </w:rPr>
              <w:t>包括防止返贫致贫对象、需要继续帮扶的原建档立卡脱贫人口等相关群体规模及结构，以及农村居民人均可支配收入等</w:t>
            </w:r>
          </w:p>
        </w:tc>
        <w:tc>
          <w:tcPr>
            <w:tcW w:w="4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eastAsia" w:ascii="仿宋" w:eastAsia="仿宋" w:cs="仿宋"/>
                <w:color w:val="000000"/>
                <w:sz w:val="28"/>
                <w:szCs w:val="28"/>
                <w:u w:val="none"/>
                <w:lang w:bidi="ar-SA"/>
              </w:rPr>
            </w:pPr>
            <w:r>
              <w:rPr>
                <w:rFonts w:hint="eastAsia" w:ascii="仿宋" w:eastAsia="仿宋" w:cs="仿宋"/>
                <w:color w:val="000000"/>
                <w:kern w:val="0"/>
                <w:sz w:val="28"/>
                <w:szCs w:val="28"/>
                <w:u w:val="none"/>
                <w:lang w:val="en-US" w:eastAsia="zh-CN" w:bidi="ar"/>
              </w:rPr>
              <w:t>以工代赈项目劳务报酬发放情况、“十三五”易地扶贫搬迁后续扶持、支持解决因受灾等返贫致贫突出风险问题等</w:t>
            </w:r>
          </w:p>
        </w:tc>
        <w:tc>
          <w:tcPr>
            <w:tcW w:w="2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eastAsia" w:ascii="仿宋" w:eastAsia="仿宋" w:cs="仿宋"/>
                <w:color w:val="000000"/>
                <w:sz w:val="28"/>
                <w:szCs w:val="28"/>
                <w:u w:val="none"/>
                <w:lang w:bidi="ar-SA"/>
              </w:rPr>
            </w:pPr>
            <w:r>
              <w:rPr>
                <w:rFonts w:hint="eastAsia" w:ascii="仿宋" w:eastAsia="仿宋" w:cs="仿宋"/>
                <w:color w:val="000000"/>
                <w:kern w:val="0"/>
                <w:sz w:val="28"/>
                <w:szCs w:val="28"/>
                <w:u w:val="none"/>
                <w:lang w:val="en-US" w:eastAsia="zh-CN" w:bidi="ar"/>
              </w:rPr>
              <w:t>根据年度资金绩效评价等相关结果确定</w:t>
            </w:r>
          </w:p>
        </w:tc>
      </w:tr>
      <w:tr>
        <w:tblPrEx>
          <w:tblCellMar>
            <w:top w:w="0" w:type="dxa"/>
            <w:left w:w="108" w:type="dxa"/>
            <w:bottom w:w="0" w:type="dxa"/>
            <w:right w:w="108" w:type="dxa"/>
          </w:tblCellMar>
        </w:tblPrEx>
        <w:trPr>
          <w:trHeight w:val="1738"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default" w:ascii="Times New Roman" w:hAnsi="Times New Roman" w:eastAsia="宋体" w:cs="Times New Roman"/>
                <w:color w:val="000000"/>
                <w:sz w:val="28"/>
                <w:szCs w:val="28"/>
                <w:u w:val="none"/>
                <w:lang w:bidi="ar-SA"/>
              </w:rPr>
            </w:pPr>
            <w:r>
              <w:rPr>
                <w:rFonts w:hint="default" w:ascii="Times New Roman" w:hAnsi="Times New Roman" w:eastAsia="宋体" w:cs="Times New Roman"/>
                <w:color w:val="000000"/>
                <w:kern w:val="0"/>
                <w:sz w:val="28"/>
                <w:szCs w:val="28"/>
                <w:u w:val="none"/>
                <w:lang w:val="en-US" w:eastAsia="zh-CN" w:bidi="ar"/>
              </w:rPr>
              <w:t>3</w:t>
            </w:r>
          </w:p>
        </w:tc>
        <w:tc>
          <w:tcPr>
            <w:tcW w:w="2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eastAsia" w:ascii="仿宋" w:eastAsia="仿宋" w:cs="仿宋"/>
                <w:color w:val="000000"/>
                <w:sz w:val="28"/>
                <w:szCs w:val="28"/>
                <w:u w:val="none"/>
                <w:lang w:bidi="ar-SA"/>
              </w:rPr>
            </w:pPr>
            <w:r>
              <w:rPr>
                <w:rFonts w:hint="eastAsia" w:ascii="仿宋" w:eastAsia="仿宋" w:cs="仿宋"/>
                <w:color w:val="000000"/>
                <w:kern w:val="0"/>
                <w:sz w:val="28"/>
                <w:szCs w:val="28"/>
                <w:u w:val="none"/>
                <w:lang w:val="en-US" w:eastAsia="zh-CN" w:bidi="ar"/>
              </w:rPr>
              <w:t>少数民族发展</w:t>
            </w:r>
          </w:p>
        </w:tc>
        <w:tc>
          <w:tcPr>
            <w:tcW w:w="3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eastAsia" w:ascii="仿宋" w:eastAsia="仿宋" w:cs="仿宋"/>
                <w:color w:val="000000"/>
                <w:sz w:val="28"/>
                <w:szCs w:val="28"/>
                <w:u w:val="none"/>
                <w:lang w:bidi="ar-SA"/>
              </w:rPr>
            </w:pPr>
            <w:r>
              <w:rPr>
                <w:rFonts w:hint="eastAsia" w:ascii="仿宋" w:eastAsia="仿宋" w:cs="仿宋"/>
                <w:color w:val="000000"/>
                <w:kern w:val="0"/>
                <w:sz w:val="28"/>
                <w:szCs w:val="28"/>
                <w:u w:val="none"/>
                <w:lang w:val="en-US" w:eastAsia="zh-CN" w:bidi="ar"/>
              </w:rPr>
              <w:t>包括少数民族人口数量及结构，以及农村居民人均可支配收入等</w:t>
            </w:r>
          </w:p>
        </w:tc>
        <w:tc>
          <w:tcPr>
            <w:tcW w:w="4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eastAsia" w:ascii="仿宋" w:eastAsia="仿宋" w:cs="仿宋"/>
                <w:color w:val="000000"/>
                <w:sz w:val="28"/>
                <w:szCs w:val="28"/>
                <w:u w:val="none"/>
                <w:lang w:bidi="ar-SA"/>
              </w:rPr>
            </w:pPr>
            <w:r>
              <w:rPr>
                <w:rFonts w:hint="eastAsia" w:ascii="仿宋" w:eastAsia="仿宋" w:cs="仿宋"/>
                <w:color w:val="000000"/>
                <w:kern w:val="0"/>
                <w:sz w:val="28"/>
                <w:szCs w:val="28"/>
                <w:u w:val="none"/>
                <w:lang w:val="en-US" w:eastAsia="zh-CN" w:bidi="ar"/>
              </w:rPr>
              <w:t>党中央、国务院和省委、省政府、州委、州政府关于铸牢中华民族共同体意识、少数民族发展有关工作部署，以及民族地区常态化帮扶任务等</w:t>
            </w:r>
          </w:p>
        </w:tc>
        <w:tc>
          <w:tcPr>
            <w:tcW w:w="2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eastAsia" w:ascii="仿宋" w:eastAsia="仿宋" w:cs="仿宋"/>
                <w:color w:val="000000"/>
                <w:sz w:val="28"/>
                <w:szCs w:val="28"/>
                <w:u w:val="none"/>
                <w:lang w:bidi="ar-SA"/>
              </w:rPr>
            </w:pPr>
            <w:r>
              <w:rPr>
                <w:rFonts w:hint="eastAsia" w:ascii="仿宋" w:eastAsia="仿宋" w:cs="仿宋"/>
                <w:color w:val="000000"/>
                <w:kern w:val="0"/>
                <w:sz w:val="28"/>
                <w:szCs w:val="28"/>
                <w:u w:val="none"/>
                <w:lang w:val="en-US" w:eastAsia="zh-CN" w:bidi="ar"/>
              </w:rPr>
              <w:t>根据年度资金绩效评价等相关结果确定</w:t>
            </w:r>
          </w:p>
        </w:tc>
      </w:tr>
      <w:tr>
        <w:tblPrEx>
          <w:tblCellMar>
            <w:top w:w="0" w:type="dxa"/>
            <w:left w:w="108" w:type="dxa"/>
            <w:bottom w:w="0" w:type="dxa"/>
            <w:right w:w="108" w:type="dxa"/>
          </w:tblCellMar>
        </w:tblPrEx>
        <w:trPr>
          <w:trHeight w:val="1738"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default" w:ascii="Times New Roman" w:hAnsi="Times New Roman" w:eastAsia="宋体" w:cs="Times New Roman"/>
                <w:color w:val="000000"/>
                <w:kern w:val="2"/>
                <w:sz w:val="28"/>
                <w:szCs w:val="28"/>
                <w:u w:val="none"/>
                <w:lang w:val="en-US" w:eastAsia="zh-CN" w:bidi="ar-SA"/>
              </w:rPr>
            </w:pPr>
            <w:r>
              <w:rPr>
                <w:rFonts w:hint="default" w:ascii="Times New Roman" w:hAnsi="Times New Roman" w:eastAsia="宋体" w:cs="Times New Roman"/>
                <w:color w:val="000000"/>
                <w:kern w:val="0"/>
                <w:sz w:val="28"/>
                <w:szCs w:val="28"/>
                <w:u w:val="none"/>
                <w:lang w:val="en-US" w:eastAsia="zh-CN" w:bidi="ar"/>
              </w:rPr>
              <w:t>4</w:t>
            </w:r>
          </w:p>
        </w:tc>
        <w:tc>
          <w:tcPr>
            <w:tcW w:w="2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eastAsia" w:ascii="仿宋" w:eastAsia="仿宋" w:cs="仿宋"/>
                <w:color w:val="000000"/>
                <w:kern w:val="2"/>
                <w:sz w:val="28"/>
                <w:szCs w:val="28"/>
                <w:u w:val="none"/>
                <w:lang w:val="en-US" w:eastAsia="zh-CN" w:bidi="ar-SA"/>
              </w:rPr>
            </w:pPr>
            <w:r>
              <w:rPr>
                <w:rFonts w:hint="eastAsia" w:ascii="仿宋" w:eastAsia="仿宋" w:cs="仿宋"/>
                <w:color w:val="000000"/>
                <w:kern w:val="0"/>
                <w:sz w:val="28"/>
                <w:szCs w:val="28"/>
                <w:u w:val="none"/>
                <w:lang w:val="en-US" w:eastAsia="zh-CN" w:bidi="ar"/>
              </w:rPr>
              <w:t>欠发达国有农场巩固提升</w:t>
            </w:r>
          </w:p>
        </w:tc>
        <w:tc>
          <w:tcPr>
            <w:tcW w:w="3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eastAsia" w:ascii="仿宋" w:eastAsia="仿宋" w:cs="仿宋"/>
                <w:color w:val="000000"/>
                <w:kern w:val="2"/>
                <w:sz w:val="28"/>
                <w:szCs w:val="28"/>
                <w:u w:val="none"/>
                <w:lang w:val="en-US" w:eastAsia="zh-CN" w:bidi="ar-SA"/>
              </w:rPr>
            </w:pPr>
            <w:r>
              <w:rPr>
                <w:rFonts w:hint="eastAsia" w:ascii="仿宋" w:eastAsia="仿宋" w:cs="仿宋"/>
                <w:color w:val="000000"/>
                <w:kern w:val="0"/>
                <w:sz w:val="28"/>
                <w:szCs w:val="28"/>
                <w:u w:val="none"/>
                <w:lang w:val="en-US" w:eastAsia="zh-CN" w:bidi="ar"/>
              </w:rPr>
              <w:t>包括欠发达国有农场从业人员数量及结构，以及年均收入等</w:t>
            </w:r>
          </w:p>
        </w:tc>
        <w:tc>
          <w:tcPr>
            <w:tcW w:w="4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eastAsia" w:ascii="仿宋" w:eastAsia="仿宋" w:cs="仿宋"/>
                <w:color w:val="000000"/>
                <w:kern w:val="2"/>
                <w:sz w:val="28"/>
                <w:szCs w:val="28"/>
                <w:u w:val="none"/>
                <w:lang w:val="en-US" w:eastAsia="zh-CN" w:bidi="ar-SA"/>
              </w:rPr>
            </w:pPr>
            <w:r>
              <w:rPr>
                <w:rFonts w:hint="eastAsia" w:ascii="仿宋" w:eastAsia="仿宋" w:cs="仿宋"/>
                <w:color w:val="000000"/>
                <w:kern w:val="0"/>
                <w:sz w:val="28"/>
                <w:szCs w:val="28"/>
                <w:u w:val="none"/>
                <w:lang w:val="en-US" w:eastAsia="zh-CN" w:bidi="ar"/>
              </w:rPr>
              <w:t>党中央、国务院和省委、省政府、州委、州政府关于国有农场发展有关重点工作部署及农场改革等情况</w:t>
            </w:r>
          </w:p>
        </w:tc>
        <w:tc>
          <w:tcPr>
            <w:tcW w:w="2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eastAsia" w:ascii="仿宋" w:eastAsia="仿宋" w:cs="仿宋"/>
                <w:color w:val="000000"/>
                <w:kern w:val="0"/>
                <w:sz w:val="28"/>
                <w:szCs w:val="28"/>
                <w:u w:val="none"/>
                <w:lang w:val="en-US" w:eastAsia="zh-CN" w:bidi="ar"/>
              </w:rPr>
            </w:pPr>
            <w:r>
              <w:rPr>
                <w:rFonts w:hint="eastAsia" w:ascii="仿宋" w:eastAsia="仿宋" w:cs="仿宋"/>
                <w:color w:val="000000"/>
                <w:kern w:val="0"/>
                <w:sz w:val="28"/>
                <w:szCs w:val="28"/>
                <w:u w:val="none"/>
                <w:lang w:val="en-US" w:eastAsia="zh-CN" w:bidi="ar"/>
              </w:rPr>
              <w:t>根据年度资金绩效评价等相关结果确定</w:t>
            </w:r>
          </w:p>
        </w:tc>
      </w:tr>
      <w:tr>
        <w:tblPrEx>
          <w:tblCellMar>
            <w:top w:w="0" w:type="dxa"/>
            <w:left w:w="108" w:type="dxa"/>
            <w:bottom w:w="0" w:type="dxa"/>
            <w:right w:w="108" w:type="dxa"/>
          </w:tblCellMar>
        </w:tblPrEx>
        <w:trPr>
          <w:trHeight w:val="1738"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default" w:ascii="Times New Roman" w:hAnsi="Times New Roman" w:eastAsia="宋体" w:cs="Times New Roman"/>
                <w:color w:val="000000"/>
                <w:kern w:val="2"/>
                <w:sz w:val="28"/>
                <w:szCs w:val="28"/>
                <w:u w:val="none"/>
                <w:lang w:val="en-US" w:eastAsia="zh-CN" w:bidi="ar-SA"/>
              </w:rPr>
            </w:pPr>
            <w:r>
              <w:rPr>
                <w:rFonts w:hint="default" w:ascii="Times New Roman" w:hAnsi="Times New Roman" w:eastAsia="宋体" w:cs="Times New Roman"/>
                <w:color w:val="000000"/>
                <w:kern w:val="0"/>
                <w:sz w:val="28"/>
                <w:szCs w:val="28"/>
                <w:u w:val="none"/>
                <w:lang w:val="en-US" w:eastAsia="zh-CN" w:bidi="ar"/>
              </w:rPr>
              <w:t>5</w:t>
            </w:r>
          </w:p>
        </w:tc>
        <w:tc>
          <w:tcPr>
            <w:tcW w:w="2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eastAsia" w:ascii="仿宋" w:eastAsia="仿宋" w:cs="仿宋"/>
                <w:color w:val="000000"/>
                <w:kern w:val="2"/>
                <w:sz w:val="28"/>
                <w:szCs w:val="28"/>
                <w:u w:val="none"/>
                <w:lang w:val="en-US" w:eastAsia="zh-CN" w:bidi="ar-SA"/>
              </w:rPr>
            </w:pPr>
            <w:r>
              <w:rPr>
                <w:rFonts w:hint="eastAsia" w:ascii="仿宋" w:eastAsia="仿宋" w:cs="仿宋"/>
                <w:color w:val="000000"/>
                <w:kern w:val="0"/>
                <w:sz w:val="28"/>
                <w:szCs w:val="28"/>
                <w:u w:val="none"/>
                <w:lang w:val="en-US" w:eastAsia="zh-CN" w:bidi="ar"/>
              </w:rPr>
              <w:t>欠发达国有林场巩固提升</w:t>
            </w:r>
          </w:p>
        </w:tc>
        <w:tc>
          <w:tcPr>
            <w:tcW w:w="3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eastAsia" w:ascii="仿宋" w:eastAsia="仿宋" w:cs="仿宋"/>
                <w:color w:val="000000"/>
                <w:kern w:val="2"/>
                <w:sz w:val="28"/>
                <w:szCs w:val="28"/>
                <w:u w:val="none"/>
                <w:lang w:val="en-US" w:eastAsia="zh-CN" w:bidi="ar-SA"/>
              </w:rPr>
            </w:pPr>
            <w:r>
              <w:rPr>
                <w:rFonts w:hint="eastAsia" w:ascii="仿宋" w:eastAsia="仿宋" w:cs="仿宋"/>
                <w:color w:val="000000"/>
                <w:kern w:val="0"/>
                <w:sz w:val="28"/>
                <w:szCs w:val="28"/>
                <w:u w:val="none"/>
                <w:lang w:val="en-US" w:eastAsia="zh-CN" w:bidi="ar"/>
              </w:rPr>
              <w:t>包括欠发达国有林场从业人员数量及结构，以及年均收入等</w:t>
            </w:r>
          </w:p>
        </w:tc>
        <w:tc>
          <w:tcPr>
            <w:tcW w:w="4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eastAsia" w:ascii="仿宋" w:eastAsia="仿宋" w:cs="仿宋"/>
                <w:color w:val="000000"/>
                <w:kern w:val="2"/>
                <w:sz w:val="28"/>
                <w:szCs w:val="28"/>
                <w:u w:val="none"/>
                <w:lang w:val="en-US" w:eastAsia="zh-CN" w:bidi="ar-SA"/>
              </w:rPr>
            </w:pPr>
            <w:r>
              <w:rPr>
                <w:rFonts w:hint="eastAsia" w:ascii="仿宋" w:eastAsia="仿宋" w:cs="仿宋"/>
                <w:color w:val="000000"/>
                <w:kern w:val="0"/>
                <w:sz w:val="28"/>
                <w:szCs w:val="28"/>
                <w:u w:val="none"/>
                <w:lang w:val="en-US" w:eastAsia="zh-CN" w:bidi="ar"/>
              </w:rPr>
              <w:t>党中央、国务院和省委、省政府、州委、州政府关于国有林场发展有关重点工作部署及林场改革等情况</w:t>
            </w:r>
          </w:p>
        </w:tc>
        <w:tc>
          <w:tcPr>
            <w:tcW w:w="27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560" w:lineRule="exact"/>
              <w:ind w:firstLine="0"/>
              <w:jc w:val="both"/>
              <w:textAlignment w:val="center"/>
              <w:rPr>
                <w:rFonts w:hint="eastAsia" w:ascii="仿宋" w:eastAsia="仿宋" w:cs="仿宋"/>
                <w:color w:val="000000"/>
                <w:kern w:val="0"/>
                <w:sz w:val="28"/>
                <w:szCs w:val="28"/>
                <w:u w:val="none"/>
                <w:lang w:val="en-US" w:eastAsia="zh-CN" w:bidi="ar"/>
              </w:rPr>
            </w:pPr>
            <w:r>
              <w:rPr>
                <w:rFonts w:hint="eastAsia" w:ascii="仿宋" w:eastAsia="仿宋" w:cs="仿宋"/>
                <w:color w:val="000000"/>
                <w:kern w:val="0"/>
                <w:sz w:val="28"/>
                <w:szCs w:val="28"/>
                <w:u w:val="none"/>
                <w:lang w:val="en-US" w:eastAsia="zh-CN" w:bidi="ar"/>
              </w:rPr>
              <w:t>根据年度资金绩效评价等相关结果确定</w:t>
            </w:r>
          </w:p>
        </w:tc>
      </w:tr>
    </w:tbl>
    <w:p>
      <w:pPr>
        <w:keepNext w:val="0"/>
        <w:keepLines w:val="0"/>
        <w:pageBreakBefore w:val="0"/>
        <w:wordWrap/>
        <w:overflowPunct/>
        <w:topLinePunct w:val="0"/>
        <w:bidi w:val="0"/>
        <w:spacing w:line="560" w:lineRule="exact"/>
        <w:jc w:val="both"/>
      </w:pPr>
    </w:p>
    <w:p>
      <w:pPr>
        <w:keepNext w:val="0"/>
        <w:keepLines w:val="0"/>
        <w:pageBreakBefore w:val="0"/>
        <w:wordWrap/>
        <w:overflowPunct/>
        <w:topLinePunct w:val="0"/>
        <w:bidi w:val="0"/>
        <w:spacing w:line="560" w:lineRule="exact"/>
        <w:jc w:val="both"/>
        <w:rPr>
          <w:rFonts w:hint="default"/>
          <w:lang w:val="en-US"/>
        </w:rPr>
      </w:pPr>
      <w:r>
        <w:rPr>
          <w:rFonts w:hint="eastAsia" w:ascii="黑体" w:eastAsia="黑体"/>
          <w:sz w:val="32"/>
          <w:szCs w:val="32"/>
        </w:rPr>
        <w:t>注：</w:t>
      </w:r>
      <w:r>
        <w:rPr>
          <w:rFonts w:hint="eastAsia" w:ascii="仿宋_GB2312" w:eastAsia="仿宋_GB2312"/>
          <w:sz w:val="32"/>
          <w:szCs w:val="32"/>
        </w:rPr>
        <w:t>上述任务方向分配因素及权重可根据党中央、国务院、省委、省政府、州委、州政府关于推进乡村全面振兴的决策部署和常态化帮扶工作重点适当调整。</w:t>
      </w:r>
    </w:p>
    <w:sectPr>
      <w:pgSz w:w="16839" w:h="11907" w:orient="landscape"/>
      <w:pgMar w:top="1800" w:right="1440" w:bottom="1800" w:left="144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Bookshelf Symbol 7"/>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3" w:lineRule="auto"/>
      <w:rPr>
        <w:rFonts w:ascii="宋体" w:hAnsi="宋体" w:eastAsia="宋体" w:cs="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rawingGridHorizontalSpacing w:val="210"/>
  <w:drawingGridVerticalSpacing w:val="9999999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950240"/>
    <w:rsid w:val="03C50A6E"/>
    <w:rsid w:val="0B983B38"/>
    <w:rsid w:val="0C443DDF"/>
    <w:rsid w:val="0FC544F1"/>
    <w:rsid w:val="123A6B59"/>
    <w:rsid w:val="15AF1186"/>
    <w:rsid w:val="179B622F"/>
    <w:rsid w:val="27B54FDA"/>
    <w:rsid w:val="27B599BB"/>
    <w:rsid w:val="2FFEF653"/>
    <w:rsid w:val="35EF1C7F"/>
    <w:rsid w:val="37D9C046"/>
    <w:rsid w:val="39EFA0F2"/>
    <w:rsid w:val="3F7BB80A"/>
    <w:rsid w:val="41205CE8"/>
    <w:rsid w:val="48E74070"/>
    <w:rsid w:val="4BEED34F"/>
    <w:rsid w:val="4D491C9C"/>
    <w:rsid w:val="579DF98C"/>
    <w:rsid w:val="59E17A8F"/>
    <w:rsid w:val="5BDDE2CB"/>
    <w:rsid w:val="5FFC55A2"/>
    <w:rsid w:val="5FFF6BFB"/>
    <w:rsid w:val="67A6EEF1"/>
    <w:rsid w:val="69D76366"/>
    <w:rsid w:val="6BAA2C34"/>
    <w:rsid w:val="6C7F0A52"/>
    <w:rsid w:val="6F213372"/>
    <w:rsid w:val="770F4566"/>
    <w:rsid w:val="773F8B7D"/>
    <w:rsid w:val="7BCA5401"/>
    <w:rsid w:val="7BDF95FC"/>
    <w:rsid w:val="7EEFDB04"/>
    <w:rsid w:val="7FBB38A7"/>
    <w:rsid w:val="8CBFD560"/>
    <w:rsid w:val="97F9FD43"/>
    <w:rsid w:val="A7FD459E"/>
    <w:rsid w:val="AFFC0970"/>
    <w:rsid w:val="BCCDD471"/>
    <w:rsid w:val="BEF5B62B"/>
    <w:rsid w:val="CDBF2E85"/>
    <w:rsid w:val="CEBCEDFA"/>
    <w:rsid w:val="DDFE7DC2"/>
    <w:rsid w:val="DEBF5EB4"/>
    <w:rsid w:val="DFFB2AE9"/>
    <w:rsid w:val="EBE7B0A9"/>
    <w:rsid w:val="EFDF9C87"/>
    <w:rsid w:val="F6EFB74F"/>
    <w:rsid w:val="F7F6FEF1"/>
    <w:rsid w:val="FAE626F3"/>
    <w:rsid w:val="FE7FE67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Plain Text"/>
    <w:basedOn w:val="1"/>
    <w:next w:val="1"/>
    <w:qFormat/>
    <w:uiPriority w:val="0"/>
    <w:pPr>
      <w:widowControl w:val="0"/>
      <w:jc w:val="both"/>
    </w:pPr>
    <w:rPr>
      <w:rFonts w:ascii="宋体" w:eastAsia="宋体" w:cs="宋体"/>
      <w:kern w:val="2"/>
      <w:sz w:val="21"/>
      <w:szCs w:val="21"/>
      <w:lang w:val="en-US" w:eastAsia="zh-CN" w:bidi="ar-SA"/>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Subtitle"/>
    <w:basedOn w:val="1"/>
    <w:next w:val="1"/>
    <w:qFormat/>
    <w:uiPriority w:val="0"/>
    <w:pPr>
      <w:widowControl w:val="0"/>
      <w:spacing w:before="240" w:after="60" w:line="312" w:lineRule="auto"/>
      <w:jc w:val="center"/>
      <w:outlineLvl w:val="1"/>
    </w:pPr>
    <w:rPr>
      <w:rFonts w:ascii="Arial" w:hAnsi="Arial" w:eastAsia="宋体" w:cs="Arial"/>
      <w:b/>
      <w:bCs/>
      <w:kern w:val="28"/>
      <w:sz w:val="32"/>
      <w:szCs w:val="32"/>
      <w:lang w:val="en-US" w:eastAsia="zh-CN" w:bidi="ar-SA"/>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20</Pages>
  <Words>7995</Words>
  <Characters>8060</Characters>
  <TotalTime>0</TotalTime>
  <ScaleCrop>false</ScaleCrop>
  <LinksUpToDate>false</LinksUpToDate>
  <CharactersWithSpaces>8139</CharactersWithSpaces>
  <Application>WPS Office_11.1.0.11719_F1E327BC-269C-435d-A152-05C5408002CA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2021-10-22T01:53:00Z</dcterms:created>
  <dc:creator>admin</dc:creator>
  <cp:lastModifiedBy>HUAWEI</cp:lastModifiedBy>
  <dcterms:modified xsi:type="dcterms:W3CDTF">2026-10-10T11:10:40Z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2026-09-17T10:57:53Z</vt:filetime>
  </property>
  <property fmtid="{D5CDD505-2E9C-101B-9397-08002B2CF9AE}" pid="4" name="KSOTemplateDocerSaveRecord">
    <vt:lpwstr>eyJoZGlkIjoiOWVlZTcwZGY0MGJkY2U1MmRkYjZjYTZiYzZkOGQwZjYiLCJ1c2VySWQiOiIzOTkyNjMwODQifQ==</vt:lpwstr>
  </property>
  <property fmtid="{D5CDD505-2E9C-101B-9397-08002B2CF9AE}" pid="5" name="KSOProductBuildVer">
    <vt:lpwstr>2052-11.1.0.11719</vt:lpwstr>
  </property>
  <property fmtid="{D5CDD505-2E9C-101B-9397-08002B2CF9AE}" pid="6" name="ICV">
    <vt:lpwstr>CC6E0283DB2748F79E53B8B9B1B39AA5_12</vt:lpwstr>
  </property>
</Properties>
</file>