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623"/>
        </w:tabs>
        <w:jc w:val="center"/>
        <w:rPr>
          <w:rFonts w:hint="eastAsia" w:ascii="方正小标宋_GBK" w:eastAsia="方正小标宋_GBK"/>
          <w:color w:val="000000" w:themeColor="text1"/>
          <w:sz w:val="48"/>
          <w:szCs w:val="44"/>
          <w14:textFill>
            <w14:solidFill>
              <w14:schemeClr w14:val="tx1"/>
            </w14:solidFill>
          </w14:textFill>
        </w:rPr>
      </w:pPr>
      <w:r>
        <w:rPr>
          <w:rFonts w:hint="eastAsia" w:ascii="方正小标宋_GBK" w:eastAsia="方正小标宋_GBK"/>
          <w:color w:val="000000" w:themeColor="text1"/>
          <w:sz w:val="48"/>
          <w:szCs w:val="44"/>
          <w14:textFill>
            <w14:solidFill>
              <w14:schemeClr w14:val="tx1"/>
            </w14:solidFill>
          </w14:textFill>
        </w:rPr>
        <w:t>阿坝县人力资源和社会保障局</w:t>
      </w:r>
    </w:p>
    <w:p>
      <w:pPr>
        <w:tabs>
          <w:tab w:val="left" w:pos="4623"/>
        </w:tabs>
        <w:spacing w:line="560" w:lineRule="exact"/>
        <w:jc w:val="center"/>
        <w:rPr>
          <w:rFonts w:hint="eastAsia" w:ascii="方正小标宋_GBK" w:eastAsia="方正小标宋_GBK"/>
          <w:color w:val="000000" w:themeColor="text1"/>
          <w:sz w:val="48"/>
          <w:szCs w:val="44"/>
          <w14:textFill>
            <w14:solidFill>
              <w14:schemeClr w14:val="tx1"/>
            </w14:solidFill>
          </w14:textFill>
        </w:rPr>
      </w:pPr>
      <w:r>
        <w:rPr>
          <w:rFonts w:hint="eastAsia" w:ascii="方正小标宋_GBK" w:eastAsia="方正小标宋_GBK"/>
          <w:color w:val="000000" w:themeColor="text1"/>
          <w:sz w:val="48"/>
          <w:szCs w:val="44"/>
          <w14:textFill>
            <w14:solidFill>
              <w14:schemeClr w14:val="tx1"/>
            </w14:solidFill>
          </w14:textFill>
        </w:rPr>
        <w:t>2018年行政</w:t>
      </w:r>
      <w:r>
        <w:rPr>
          <w:rFonts w:hint="eastAsia" w:ascii="方正小标宋_GBK" w:eastAsia="方正小标宋_GBK"/>
          <w:color w:val="000000" w:themeColor="text1"/>
          <w:sz w:val="48"/>
          <w:szCs w:val="44"/>
          <w:lang w:eastAsia="zh-CN"/>
          <w14:textFill>
            <w14:solidFill>
              <w14:schemeClr w14:val="tx1"/>
            </w14:solidFill>
          </w14:textFill>
        </w:rPr>
        <w:t>许可</w:t>
      </w:r>
      <w:r>
        <w:rPr>
          <w:rFonts w:hint="eastAsia" w:ascii="方正小标宋_GBK" w:eastAsia="方正小标宋_GBK"/>
          <w:color w:val="000000" w:themeColor="text1"/>
          <w:sz w:val="48"/>
          <w:szCs w:val="44"/>
          <w14:textFill>
            <w14:solidFill>
              <w14:schemeClr w14:val="tx1"/>
            </w14:solidFill>
          </w14:textFill>
        </w:rPr>
        <w:t>事项清单和责任清单</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按照《中央指定地方实施行政许可事项清单》和省政府有关规定，</w:t>
      </w:r>
      <w:r>
        <w:rPr>
          <w:rFonts w:hint="eastAsia" w:ascii="仿宋_GB2312" w:hAnsi="仿宋_GB2312" w:eastAsia="仿宋_GB2312" w:cs="仿宋_GB2312"/>
          <w:sz w:val="32"/>
          <w:szCs w:val="32"/>
          <w:lang w:val="en-US" w:eastAsia="zh-CN"/>
        </w:rPr>
        <w:t>经调整，</w:t>
      </w:r>
      <w:r>
        <w:rPr>
          <w:rFonts w:hint="eastAsia" w:ascii="仿宋_GB2312" w:hAnsi="仿宋_GB2312" w:eastAsia="仿宋_GB2312" w:cs="仿宋_GB2312"/>
          <w:sz w:val="32"/>
          <w:szCs w:val="32"/>
          <w:lang w:eastAsia="zh-CN"/>
        </w:rPr>
        <w:t>涉及我县人社系统行政许可事项共</w:t>
      </w:r>
      <w:r>
        <w:rPr>
          <w:rFonts w:hint="eastAsia" w:ascii="仿宋_GB2312" w:hAnsi="仿宋_GB2312" w:eastAsia="仿宋_GB2312" w:cs="仿宋_GB2312"/>
          <w:sz w:val="32"/>
          <w:szCs w:val="32"/>
          <w:lang w:val="en-US" w:eastAsia="zh-CN"/>
        </w:rPr>
        <w:t>4项：“</w:t>
      </w:r>
      <w:r>
        <w:rPr>
          <w:rFonts w:hint="eastAsia" w:ascii="仿宋_GB2312" w:hAnsi="仿宋_GB2312" w:eastAsia="仿宋_GB2312" w:cs="仿宋_GB2312"/>
          <w:color w:val="000000" w:themeColor="text1"/>
          <w:sz w:val="32"/>
          <w:szCs w:val="32"/>
          <w14:textFill>
            <w14:solidFill>
              <w14:schemeClr w14:val="tx1"/>
            </w14:solidFill>
          </w14:textFill>
        </w:rPr>
        <w:t>民办职业培训学校设立、分立、合并、变更及终止审批</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000000" w:themeColor="text1"/>
          <w:sz w:val="32"/>
          <w:szCs w:val="32"/>
          <w14:textFill>
            <w14:solidFill>
              <w14:schemeClr w14:val="tx1"/>
            </w14:solidFill>
          </w14:textFill>
        </w:rPr>
        <w:t>设立人力资源服务机构及其业务范围审批〔仅限扩权强县试点县（市）〕</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000000" w:themeColor="text1"/>
          <w:sz w:val="32"/>
          <w:szCs w:val="32"/>
          <w14:textFill>
            <w14:solidFill>
              <w14:schemeClr w14:val="tx1"/>
            </w14:solidFill>
          </w14:textFill>
        </w:rPr>
        <w:t>地方企业实行不定时工作制和综合计算工时工作制审批〔仅限扩权强县试点县（市）〕</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000000" w:themeColor="text1"/>
          <w:sz w:val="32"/>
          <w:szCs w:val="32"/>
          <w14:textFill>
            <w14:solidFill>
              <w14:schemeClr w14:val="tx1"/>
            </w14:solidFill>
          </w14:textFill>
        </w:rPr>
        <w:t>劳务派遣经营许可〔仅限经市（州）人力资源社会保障部门授权的县（市、区）〕</w:t>
      </w:r>
      <w:r>
        <w:rPr>
          <w:rFonts w:hint="eastAsia" w:ascii="仿宋_GB2312" w:hAnsi="仿宋_GB2312" w:eastAsia="仿宋_GB2312" w:cs="仿宋_GB2312"/>
          <w:sz w:val="32"/>
          <w:szCs w:val="32"/>
          <w:lang w:val="en-US" w:eastAsia="zh-CN"/>
        </w:rPr>
        <w:t>”。</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ind w:firstLine="640" w:firstLineChars="200"/>
        <w:jc w:val="right"/>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阿坝县人力资源和社会保障局</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p>
    <w:p>
      <w:pPr>
        <w:ind w:firstLine="640" w:firstLineChars="200"/>
        <w:jc w:val="center"/>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2018年4月10日</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rFonts w:hint="eastAsia"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目录</w:t>
      </w:r>
    </w:p>
    <w:p>
      <w:pPr>
        <w:numPr>
          <w:ilvl w:val="0"/>
          <w:numId w:val="0"/>
        </w:numPr>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pacing w:val="-40"/>
          <w:sz w:val="32"/>
          <w:szCs w:val="32"/>
          <w:lang w:val="en-US" w:eastAsia="zh-CN"/>
          <w14:textFill>
            <w14:solidFill>
              <w14:schemeClr w14:val="tx1"/>
            </w14:solidFill>
          </w14:textFill>
        </w:rPr>
        <w:t>附件：</w:t>
      </w:r>
      <w:r>
        <w:rPr>
          <w:rFonts w:hint="eastAsia" w:ascii="仿宋_GB2312" w:hAnsi="仿宋_GB2312" w:eastAsia="仿宋_GB2312" w:cs="仿宋_GB2312"/>
          <w:color w:val="000000" w:themeColor="text1"/>
          <w:spacing w:val="-40"/>
          <w:sz w:val="32"/>
          <w:szCs w:val="32"/>
          <w14:textFill>
            <w14:solidFill>
              <w14:schemeClr w14:val="tx1"/>
            </w14:solidFill>
          </w14:textFill>
        </w:rPr>
        <w:t>阿坝县人力资源和社会保障局责任清单</w:t>
      </w:r>
      <w:r>
        <w:rPr>
          <w:rFonts w:hint="eastAsia" w:ascii="仿宋_GB2312" w:hAnsi="仿宋_GB2312" w:eastAsia="仿宋_GB2312" w:cs="仿宋_GB2312"/>
          <w:color w:val="000000" w:themeColor="text1"/>
          <w:spacing w:val="-40"/>
          <w:sz w:val="32"/>
          <w:szCs w:val="32"/>
          <w:lang w:eastAsia="zh-CN"/>
          <w14:textFill>
            <w14:solidFill>
              <w14:schemeClr w14:val="tx1"/>
            </w14:solidFill>
          </w14:textFill>
        </w:rPr>
        <w:t>主体责任和责任边界</w:t>
      </w:r>
      <w:r>
        <w:rPr>
          <w:rFonts w:hint="eastAsia" w:ascii="仿宋_GB2312" w:hAnsi="仿宋_GB2312" w:eastAsia="仿宋_GB2312" w:cs="仿宋_GB2312"/>
          <w:color w:val="000000" w:themeColor="text1"/>
          <w:spacing w:val="-40"/>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p>
    <w:p>
      <w:pPr>
        <w:numPr>
          <w:ilvl w:val="0"/>
          <w:numId w:val="0"/>
        </w:numPr>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color w:val="000000" w:themeColor="text1"/>
          <w:spacing w:val="-51"/>
          <w:sz w:val="32"/>
          <w:szCs w:val="32"/>
          <w14:textFill>
            <w14:solidFill>
              <w14:schemeClr w14:val="tx1"/>
            </w14:solidFill>
          </w14:textFill>
        </w:rPr>
        <w:t>民办职业培训学校设立、分立、合并、变更及终止审批</w:t>
      </w:r>
      <w:r>
        <w:rPr>
          <w:rFonts w:hint="eastAsia" w:ascii="仿宋_GB2312" w:hAnsi="仿宋_GB2312" w:eastAsia="仿宋_GB2312" w:cs="仿宋_GB2312"/>
          <w:color w:val="000000" w:themeColor="text1"/>
          <w:sz w:val="32"/>
          <w:szCs w:val="32"/>
          <w14:textFill>
            <w14:solidFill>
              <w14:schemeClr w14:val="tx1"/>
            </w14:solidFill>
          </w14:textFill>
        </w:rPr>
        <w:t>…………………………………………………………………</w:t>
      </w:r>
    </w:p>
    <w:p>
      <w:pPr>
        <w:numPr>
          <w:ilvl w:val="0"/>
          <w:numId w:val="0"/>
        </w:numPr>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设立人力资源服务机构及其业务范围审批〔仅限扩权强县试点县（市）〕……………………………………………………</w:t>
      </w:r>
    </w:p>
    <w:p>
      <w:pPr>
        <w:numPr>
          <w:ilvl w:val="0"/>
          <w:numId w:val="0"/>
        </w:numPr>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地方企业实行不定时工作制和综合计算工时工作制审批〔仅限扩权强县试点县（市）〕…………………………………</w:t>
      </w:r>
    </w:p>
    <w:p>
      <w:pPr>
        <w:numPr>
          <w:ilvl w:val="0"/>
          <w:numId w:val="0"/>
        </w:numPr>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劳务派遣经营许可〔仅限经市（州）人力资源社会保障部门授权的县（市、区）〕…………………………………………</w:t>
      </w:r>
    </w:p>
    <w:p>
      <w:pPr>
        <w:rPr>
          <w:rFonts w:hint="eastAsia" w:ascii="仿宋_GB2312" w:hAnsi="仿宋_GB2312" w:eastAsia="仿宋_GB2312" w:cs="仿宋_GB2312"/>
          <w:sz w:val="32"/>
          <w:szCs w:val="32"/>
        </w:rPr>
      </w:pPr>
    </w:p>
    <w:p>
      <w:pPr>
        <w:rPr>
          <w:rFonts w:hint="eastAsia" w:ascii="黑体" w:eastAsia="黑体"/>
          <w:sz w:val="40"/>
          <w:szCs w:val="40"/>
        </w:rPr>
      </w:pPr>
    </w:p>
    <w:p>
      <w:pPr>
        <w:rPr>
          <w:rFonts w:hint="eastAsia" w:ascii="黑体" w:eastAsia="黑体"/>
          <w:sz w:val="40"/>
          <w:szCs w:val="40"/>
        </w:rPr>
      </w:pPr>
    </w:p>
    <w:p>
      <w:pPr>
        <w:rPr>
          <w:rFonts w:hint="eastAsia" w:ascii="黑体" w:eastAsia="黑体"/>
          <w:sz w:val="40"/>
          <w:szCs w:val="40"/>
        </w:rPr>
      </w:pPr>
    </w:p>
    <w:p>
      <w:pPr>
        <w:rPr>
          <w:rFonts w:hint="eastAsia" w:ascii="黑体" w:eastAsia="黑体"/>
          <w:sz w:val="40"/>
          <w:szCs w:val="40"/>
        </w:rPr>
      </w:pPr>
    </w:p>
    <w:p>
      <w:pPr>
        <w:rPr>
          <w:rFonts w:hint="eastAsia" w:ascii="黑体" w:eastAsia="黑体"/>
          <w:sz w:val="40"/>
          <w:szCs w:val="40"/>
        </w:rPr>
      </w:pPr>
    </w:p>
    <w:p>
      <w:pPr>
        <w:rPr>
          <w:rFonts w:hint="eastAsia" w:ascii="黑体" w:eastAsia="黑体"/>
          <w:sz w:val="40"/>
          <w:szCs w:val="40"/>
        </w:rPr>
      </w:pPr>
    </w:p>
    <w:p>
      <w:pPr>
        <w:rPr>
          <w:rFonts w:hint="eastAsia" w:ascii="黑体" w:eastAsia="黑体"/>
          <w:sz w:val="40"/>
          <w:szCs w:val="40"/>
        </w:rPr>
      </w:pPr>
    </w:p>
    <w:p>
      <w:pPr>
        <w:rPr>
          <w:rFonts w:hint="eastAsia" w:ascii="黑体" w:eastAsia="黑体"/>
          <w:sz w:val="40"/>
          <w:szCs w:val="40"/>
        </w:rPr>
      </w:pPr>
    </w:p>
    <w:p>
      <w:pPr>
        <w:rPr>
          <w:rFonts w:hint="eastAsia" w:ascii="黑体" w:eastAsia="黑体"/>
          <w:sz w:val="40"/>
          <w:szCs w:val="40"/>
        </w:rPr>
      </w:pPr>
    </w:p>
    <w:p>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附件1</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eastAsia="zh-CN"/>
        </w:rPr>
        <w:t>行政许可</w:t>
      </w:r>
      <w:r>
        <w:rPr>
          <w:rFonts w:hint="eastAsia" w:ascii="仿宋_GB2312" w:hAnsi="仿宋_GB2312" w:eastAsia="仿宋_GB2312" w:cs="仿宋_GB2312"/>
          <w:sz w:val="32"/>
          <w:szCs w:val="32"/>
        </w:rPr>
        <w:t>责任清单</w:t>
      </w:r>
      <w:r>
        <w:rPr>
          <w:rFonts w:hint="eastAsia" w:ascii="仿宋_GB2312" w:hAnsi="仿宋_GB2312" w:eastAsia="仿宋_GB2312" w:cs="仿宋_GB2312"/>
          <w:sz w:val="32"/>
          <w:szCs w:val="32"/>
          <w:lang w:eastAsia="zh-CN"/>
        </w:rPr>
        <w:t>责任主体和责任边界</w:t>
      </w:r>
    </w:p>
    <w:tbl>
      <w:tblPr>
        <w:tblStyle w:val="7"/>
        <w:tblW w:w="9525"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3"/>
        <w:gridCol w:w="7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58" w:hRule="atLeast"/>
        </w:trPr>
        <w:tc>
          <w:tcPr>
            <w:tcW w:w="1663" w:type="dxa"/>
            <w:vAlign w:val="center"/>
          </w:tcPr>
          <w:p>
            <w:pPr>
              <w:jc w:val="center"/>
              <w:rPr>
                <w:rFonts w:ascii="宋体"/>
                <w:b/>
              </w:rPr>
            </w:pPr>
            <w:r>
              <w:rPr>
                <w:rFonts w:hint="eastAsia" w:ascii="宋体" w:hAnsi="宋体"/>
                <w:b/>
              </w:rPr>
              <w:t>主体责任</w:t>
            </w:r>
          </w:p>
        </w:tc>
        <w:tc>
          <w:tcPr>
            <w:tcW w:w="7862" w:type="dxa"/>
          </w:tcPr>
          <w:p>
            <w:pPr>
              <w:spacing w:line="240" w:lineRule="auto"/>
              <w:rPr>
                <w:rFonts w:hint="eastAsia" w:ascii="仿宋_GB2312" w:eastAsia="仿宋_GB2312"/>
                <w:bCs/>
                <w:szCs w:val="21"/>
              </w:rPr>
            </w:pPr>
            <w:r>
              <w:rPr>
                <w:rFonts w:ascii="宋体" w:hAnsi="宋体"/>
              </w:rPr>
              <w:t xml:space="preserve"> </w:t>
            </w:r>
            <w:r>
              <w:rPr>
                <w:rFonts w:hint="eastAsia" w:ascii="宋体" w:hAnsi="宋体"/>
                <w:lang w:val="en-US" w:eastAsia="zh-CN"/>
              </w:rPr>
              <w:t xml:space="preserve">   </w:t>
            </w:r>
            <w:r>
              <w:rPr>
                <w:rFonts w:hint="eastAsia" w:ascii="仿宋_GB2312" w:eastAsia="仿宋_GB2312"/>
                <w:bCs/>
                <w:szCs w:val="21"/>
              </w:rPr>
              <w:t>（一）贯彻执行国家有关人力资源和社会保障工作的方针、政策和法律法规；拟定全县人力资源和社会保障制度、改革规划、方案和管理政策并组织实施；建立并实行科学化、法制化的人事管理制度，指导监督检查全县政府系统人事工作；拟定全县机构改革中人事方面的政策；参与研究和管理全县行政管理体制、机构改革工作；参与研究企业人事劳动制度改革；编制全县社会保障事业发展规划和制定工作计划并组织实施。负责全县人才资源的规划、开发工作；负责全县国家机关、事业单位工作人员的宏观规划、结构调整和综合管理；编制全县国家机关、事业单位人员和工资计划。</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二）负责管理全县专业技术人员和专业技术队伍建设工作；管理全县专业技术人员的职称工作，完善专业技术职务聘任制度和专业技术资格考试制度，推行专业技术执业资格制度；负责专门人才的规划、培养、选拔及管理工作；负责专业技术人员继续教育工作。</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（三）拟定全县事业单位人事制度改革总体方案和事业单位职员、专业技术人员、工勤人员管理政策并组织实施；拟定机关、事业单位聘用人员合同鉴证政策，办理县级机关及其事业单位聘用人员合同鉴证手续。</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四）综合管理全县国家公务员；负责完善全县国家公务员制度工作；贯彻国家公务员考试录用、考核、培训、奖励、惩戒、申诉控告等政策和单项法规的组织实施工作；指导、协调各乡镇、各部门实施国家公务员制度。</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（五）依法承办提请县人大常委会和县人民政府决定的人事任免事项。</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（六）依法行使国家社会保险的监督检查权，制定全县社会保险的监督检查办法，监督检查全县社会保险办事机构的工作。</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七）拟定全县人才流动的政策、规定，做好县内人才的稳定，负责人事劳动争议仲裁；负责做好大中专毕业生就业制度改革和就业工作，提出国家急需、应予保证的毕业生指令性分配计划建议；搞好县内人员调配工作，综合管理全县国家机关、事业单位的录、聘用工作，负责全县军队转业干部、退伍军人安置以及机关、事业单位专业技术人员和管理人员家属“农转非”工作。</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八）综合管理全县机关、事业单位工作人员的工资福利工作，贯彻国家、省、州下达的工资福利政策，负责全县国家机关、事业单位工作人员养老、工伤、失业和医疗保险政策、规定的组织实施；负责全县机关、事业单位工作人员退休和退职工作。</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（九）综合管理政府奖励表彰工作；会同有关部门研究制定政府奖励政策并指导实施；指导和协调县政府各部门的全县性评选表彰工作，审核以县政府名义奖励表彰的活动和人员。</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（十）归口管理全县引进智力工作并编制工作计划和规划；拟定我县引进智力工作的政策并组织实施。</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十一）根据全县社会保障事业发展以及国民经济与社会发展的总体规划和计划，研究全县社会保障工作的基本方针和社会保障制度综合配套改革方案，制定全县社会保障工作宏观调控的政策措施并负责组织实施和监督检查。</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十二）统筹管理全县人力资源的开发利用和就业工作，制定就业制度改革方案和有关政策，并组织实施。组织劳动合同、集体合同制度的实施；负责劳动争议处理和劳动仲裁办法的实施；负责政策性安置和调配工作，参与评定国家级、省级和州级企业劳动模范；核定企业工资及其它劳动报酬。协调各类人员以及其它劳动分配关系。指导企业分配，组织实施企业职工最低工资保障制度。</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（十三）搞好全县职业技能培训、职业技能鉴定、职业技能竞赛等职业技能开发工作，搞好就业前培训工作，负责企业工人技术等级考核工作。</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（十四）综合管理全县养老、失业、医疗、工伤、生育等社会保险工作。完善企事业单位职工养老保险、失业保险、医疗保险和工伤生育保险以及职工福利制度的改革方案并组织实施。</w:t>
            </w:r>
          </w:p>
          <w:p>
            <w:pPr>
              <w:spacing w:line="240" w:lineRule="auto"/>
              <w:ind w:firstLine="411" w:firstLineChars="196"/>
              <w:rPr>
                <w:rFonts w:hint="eastAsia" w:ascii="仿宋_GB2312" w:eastAsia="仿宋_GB2312"/>
                <w:bCs/>
                <w:szCs w:val="21"/>
              </w:rPr>
            </w:pPr>
            <w:r>
              <w:rPr>
                <w:rFonts w:hint="eastAsia" w:ascii="仿宋_GB2312" w:eastAsia="仿宋_GB2312"/>
                <w:bCs/>
                <w:szCs w:val="21"/>
              </w:rPr>
              <w:t xml:space="preserve">（十五）承担全县人力资源和社会保障的统计汇总和信息工作，组织建设全县人力资源和社会保障信息网络。组织全县人力资源和社会保障领域的科学技术研究及科技成果的推广应用和产业发展工作；负责人力资源和社会保障领域的标准化工作。  </w:t>
            </w:r>
          </w:p>
          <w:p>
            <w:pPr>
              <w:spacing w:line="240" w:lineRule="auto"/>
              <w:rPr>
                <w:rFonts w:hint="eastAsia" w:ascii="仿宋_GB2312" w:eastAsia="仿宋_GB2312"/>
                <w:bCs/>
                <w:szCs w:val="21"/>
              </w:rPr>
            </w:pPr>
            <w:r>
              <w:rPr>
                <w:rFonts w:hint="eastAsia" w:ascii="仿宋_GB2312" w:eastAsia="仿宋_GB2312"/>
                <w:bCs/>
                <w:szCs w:val="21"/>
                <w:lang w:val="en-US" w:eastAsia="zh-CN"/>
              </w:rPr>
              <w:t xml:space="preserve">  </w:t>
            </w:r>
            <w:r>
              <w:rPr>
                <w:rFonts w:hint="eastAsia" w:ascii="仿宋_GB2312" w:eastAsia="仿宋_GB2312"/>
                <w:bCs/>
                <w:szCs w:val="21"/>
              </w:rPr>
              <w:t xml:space="preserve"> （十六）指导全县人力资源和社会保障系统的精神文明建设和党风廉政建设。</w:t>
            </w:r>
          </w:p>
          <w:p>
            <w:pPr>
              <w:spacing w:line="240" w:lineRule="auto"/>
              <w:rPr>
                <w:rFonts w:hint="eastAsia" w:ascii="仿宋_GB2312" w:eastAsia="仿宋_GB2312"/>
                <w:bCs/>
                <w:szCs w:val="21"/>
              </w:rPr>
            </w:pPr>
            <w:r>
              <w:rPr>
                <w:rFonts w:hint="eastAsia" w:ascii="仿宋_GB2312" w:eastAsia="仿宋_GB2312"/>
                <w:bCs/>
                <w:szCs w:val="21"/>
                <w:lang w:val="en-US" w:eastAsia="zh-CN"/>
              </w:rPr>
              <w:t xml:space="preserve">   </w:t>
            </w:r>
            <w:r>
              <w:rPr>
                <w:rFonts w:hint="eastAsia" w:ascii="仿宋_GB2312" w:eastAsia="仿宋_GB2312"/>
                <w:bCs/>
                <w:szCs w:val="21"/>
              </w:rPr>
              <w:t>（十七）承办县人民政府交办的其它事项。</w:t>
            </w:r>
          </w:p>
          <w:p>
            <w:pPr>
              <w:rPr>
                <w:rFonts w:asci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42" w:hRule="atLeast"/>
        </w:trPr>
        <w:tc>
          <w:tcPr>
            <w:tcW w:w="1663" w:type="dxa"/>
            <w:vAlign w:val="center"/>
          </w:tcPr>
          <w:p>
            <w:pPr>
              <w:jc w:val="center"/>
              <w:rPr>
                <w:rFonts w:ascii="宋体"/>
                <w:b/>
              </w:rPr>
            </w:pPr>
            <w:r>
              <w:rPr>
                <w:rFonts w:hint="eastAsia" w:ascii="宋体" w:hAnsi="宋体"/>
                <w:b/>
              </w:rPr>
              <w:t>职责边界</w:t>
            </w:r>
          </w:p>
        </w:tc>
        <w:tc>
          <w:tcPr>
            <w:tcW w:w="7862" w:type="dxa"/>
            <w:vAlign w:val="center"/>
          </w:tcPr>
          <w:p>
            <w:pPr>
              <w:spacing w:line="560" w:lineRule="exact"/>
              <w:ind w:firstLine="411" w:firstLineChars="196"/>
              <w:rPr>
                <w:rFonts w:ascii="仿宋_GB2312" w:eastAsia="仿宋_GB2312"/>
              </w:rPr>
            </w:pPr>
            <w:r>
              <w:rPr>
                <w:rFonts w:hint="eastAsia" w:ascii="仿宋_GB2312" w:eastAsia="仿宋_GB2312"/>
                <w:bCs/>
                <w:szCs w:val="21"/>
              </w:rPr>
              <w:t>所属事业单位的设置、职责和编制事项另行规定</w:t>
            </w:r>
          </w:p>
        </w:tc>
      </w:tr>
    </w:tbl>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ascii="黑体" w:eastAsia="黑体"/>
          <w:sz w:val="32"/>
          <w:szCs w:val="32"/>
        </w:rPr>
      </w:pPr>
      <w:r>
        <w:rPr>
          <w:rFonts w:hint="eastAsia" w:ascii="黑体" w:eastAsia="黑体"/>
          <w:sz w:val="32"/>
          <w:szCs w:val="32"/>
        </w:rPr>
        <w:t>行政许可</w:t>
      </w:r>
      <w:r>
        <w:rPr>
          <w:rFonts w:ascii="黑体" w:eastAsia="黑体"/>
          <w:sz w:val="32"/>
          <w:szCs w:val="32"/>
        </w:rPr>
        <w:t>4</w:t>
      </w:r>
      <w:r>
        <w:rPr>
          <w:rFonts w:hint="eastAsia" w:ascii="黑体" w:eastAsia="黑体"/>
          <w:sz w:val="32"/>
          <w:szCs w:val="32"/>
        </w:rPr>
        <w:t>项</w:t>
      </w:r>
      <w:r>
        <w:rPr>
          <w:rFonts w:hint="eastAsia" w:ascii="黑体" w:eastAsia="黑体"/>
          <w:sz w:val="32"/>
          <w:szCs w:val="32"/>
          <w:lang w:eastAsia="zh-CN"/>
        </w:rPr>
        <w:t>：</w:t>
      </w:r>
    </w:p>
    <w:tbl>
      <w:tblPr>
        <w:tblStyle w:val="7"/>
        <w:tblW w:w="8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7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1136" w:type="dxa"/>
            <w:vAlign w:val="center"/>
          </w:tcPr>
          <w:p>
            <w:pPr>
              <w:rPr>
                <w:rFonts w:ascii="宋体"/>
                <w:b/>
              </w:rPr>
            </w:pPr>
            <w:r>
              <w:rPr>
                <w:rFonts w:hint="eastAsia" w:ascii="宋体" w:hAnsi="宋体"/>
                <w:b/>
              </w:rPr>
              <w:t>序</w:t>
            </w:r>
            <w:r>
              <w:rPr>
                <w:rFonts w:ascii="宋体" w:hAnsi="宋体"/>
                <w:b/>
              </w:rPr>
              <w:t xml:space="preserve">    </w:t>
            </w:r>
            <w:r>
              <w:rPr>
                <w:rFonts w:hint="eastAsia" w:ascii="宋体" w:hAnsi="宋体"/>
                <w:b/>
              </w:rPr>
              <w:t>号</w:t>
            </w:r>
          </w:p>
        </w:tc>
        <w:tc>
          <w:tcPr>
            <w:tcW w:w="7564" w:type="dxa"/>
            <w:vAlign w:val="center"/>
          </w:tcPr>
          <w:p>
            <w:pPr>
              <w:jc w:val="center"/>
              <w:rPr>
                <w:rFonts w:ascii="宋体" w:hAnsi="宋体"/>
              </w:rPr>
            </w:pPr>
            <w:r>
              <w:rPr>
                <w:rFonts w:ascii="宋体" w:hAnsi="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1136" w:type="dxa"/>
            <w:vAlign w:val="center"/>
          </w:tcPr>
          <w:p>
            <w:pPr>
              <w:rPr>
                <w:rFonts w:ascii="宋体"/>
                <w:b/>
              </w:rPr>
            </w:pPr>
            <w:r>
              <w:rPr>
                <w:rFonts w:hint="eastAsia" w:ascii="宋体" w:hAnsi="宋体"/>
                <w:b/>
              </w:rPr>
              <w:t>权利类型</w:t>
            </w:r>
          </w:p>
        </w:tc>
        <w:tc>
          <w:tcPr>
            <w:tcW w:w="7564" w:type="dxa"/>
            <w:vAlign w:val="center"/>
          </w:tcPr>
          <w:p>
            <w:pPr>
              <w:jc w:val="center"/>
              <w:rPr>
                <w:rFonts w:ascii="宋体"/>
              </w:rPr>
            </w:pPr>
            <w:r>
              <w:rPr>
                <w:rFonts w:hint="eastAsia" w:ascii="宋体" w:hAnsi="宋体"/>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1136" w:type="dxa"/>
            <w:vAlign w:val="center"/>
          </w:tcPr>
          <w:p>
            <w:pPr>
              <w:jc w:val="center"/>
              <w:rPr>
                <w:rFonts w:ascii="宋体"/>
                <w:b/>
              </w:rPr>
            </w:pPr>
            <w:r>
              <w:rPr>
                <w:rFonts w:hint="eastAsia" w:ascii="宋体" w:hAnsi="宋体"/>
                <w:b/>
              </w:rPr>
              <w:t>权利项目名称</w:t>
            </w:r>
          </w:p>
        </w:tc>
        <w:tc>
          <w:tcPr>
            <w:tcW w:w="7564" w:type="dxa"/>
            <w:vAlign w:val="center"/>
          </w:tcPr>
          <w:p>
            <w:pPr>
              <w:jc w:val="center"/>
              <w:rPr>
                <w:rFonts w:ascii="宋体"/>
              </w:rPr>
            </w:pPr>
            <w:r>
              <w:rPr>
                <w:rFonts w:hint="eastAsia"/>
                <w:color w:val="000000" w:themeColor="text1"/>
                <w14:textFill>
                  <w14:solidFill>
                    <w14:schemeClr w14:val="tx1"/>
                  </w14:solidFill>
                </w14:textFill>
              </w:rPr>
              <w:t>民办职业培训学校设立、分立、合并、变更及终止审批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7" w:hRule="atLeast"/>
        </w:trPr>
        <w:tc>
          <w:tcPr>
            <w:tcW w:w="1136" w:type="dxa"/>
            <w:vAlign w:val="center"/>
          </w:tcPr>
          <w:p>
            <w:pPr>
              <w:rPr>
                <w:rFonts w:ascii="宋体"/>
                <w:b/>
              </w:rPr>
            </w:pPr>
            <w:r>
              <w:rPr>
                <w:rFonts w:hint="eastAsia" w:ascii="宋体" w:hAnsi="宋体"/>
                <w:b/>
              </w:rPr>
              <w:t>实施依据</w:t>
            </w:r>
          </w:p>
        </w:tc>
        <w:tc>
          <w:tcPr>
            <w:tcW w:w="7564" w:type="dxa"/>
          </w:tcPr>
          <w:p>
            <w:bookmarkStart w:id="0" w:name="43"/>
            <w:bookmarkEnd w:id="0"/>
            <w:r>
              <w:rPr>
                <w:rFonts w:hint="eastAsia" w:ascii="宋体" w:hAnsi="宋体"/>
                <w:sz w:val="18"/>
                <w:szCs w:val="18"/>
              </w:rPr>
              <w:t>《中华人民共和国民办教育促进法》</w:t>
            </w:r>
            <w:r>
              <w:rPr>
                <w:rFonts w:hint="eastAsia" w:ascii="宋体" w:hAnsi="宋体" w:cs="Arial"/>
                <w:color w:val="333333"/>
                <w:sz w:val="18"/>
                <w:szCs w:val="18"/>
                <w:shd w:val="clear" w:color="auto" w:fill="FFFFFF"/>
              </w:rPr>
              <w:t>第八章第 五十三条：</w:t>
            </w:r>
            <w:r>
              <w:rPr>
                <w:rFonts w:hint="eastAsia" w:ascii="宋体" w:hAnsi="宋体" w:cs="Arial"/>
                <w:color w:val="333333"/>
                <w:sz w:val="18"/>
                <w:szCs w:val="18"/>
                <w:shd w:val="clear" w:color="auto" w:fill="FFFFFF"/>
                <w:lang w:eastAsia="zh-CN"/>
              </w:rPr>
              <w:t>“</w:t>
            </w:r>
            <w:r>
              <w:rPr>
                <w:rFonts w:hint="eastAsia" w:ascii="宋体" w:hAnsi="宋体" w:cs="Arial"/>
                <w:color w:val="333333"/>
                <w:sz w:val="18"/>
                <w:szCs w:val="18"/>
                <w:shd w:val="clear" w:color="auto" w:fill="FFFFFF"/>
              </w:rPr>
              <w:t>民办学校的分立、合并，在进行财务清算后，由学校理事会或者董事会报审批机关批准。 申请分立、合并民办学校的，审批机关应当自受理之日起三个月内以书面形式答复;其中申请分立、合并民办高等学校的，审批机关也可以自受理之日起六个月内以书面形式答复。</w:t>
            </w:r>
            <w:r>
              <w:rPr>
                <w:rFonts w:hint="eastAsia" w:ascii="宋体" w:hAnsi="宋体" w:cs="Arial"/>
                <w:color w:val="333333"/>
                <w:sz w:val="18"/>
                <w:szCs w:val="18"/>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1136" w:type="dxa"/>
            <w:vAlign w:val="center"/>
          </w:tcPr>
          <w:p>
            <w:pPr>
              <w:rPr>
                <w:rFonts w:ascii="宋体"/>
                <w:b/>
              </w:rPr>
            </w:pPr>
            <w:r>
              <w:rPr>
                <w:rFonts w:hint="eastAsia" w:ascii="宋体" w:hAnsi="宋体"/>
                <w:b/>
              </w:rPr>
              <w:t>责任主体</w:t>
            </w:r>
          </w:p>
        </w:tc>
        <w:tc>
          <w:tcPr>
            <w:tcW w:w="7564" w:type="dxa"/>
            <w:vAlign w:val="center"/>
          </w:tcPr>
          <w:p>
            <w:pPr>
              <w:jc w:val="center"/>
              <w:rPr>
                <w:rFonts w:ascii="宋体"/>
              </w:rPr>
            </w:pPr>
            <w:r>
              <w:rPr>
                <w:rFonts w:hint="eastAsia" w:ascii="宋体" w:hAnsi="宋体" w:cs="Arial"/>
                <w:color w:val="333333"/>
                <w:sz w:val="18"/>
                <w:szCs w:val="18"/>
                <w:shd w:val="clear" w:color="auto" w:fill="FFFFFF"/>
              </w:rPr>
              <w:t>阿坝县人力资源和社会保障局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6" w:hRule="atLeast"/>
        </w:trPr>
        <w:tc>
          <w:tcPr>
            <w:tcW w:w="1136" w:type="dxa"/>
            <w:vAlign w:val="center"/>
          </w:tcPr>
          <w:p>
            <w:pPr>
              <w:rPr>
                <w:b/>
              </w:rPr>
            </w:pPr>
            <w:r>
              <w:rPr>
                <w:rFonts w:hint="eastAsia"/>
                <w:b/>
              </w:rPr>
              <w:t>责任事项</w:t>
            </w:r>
          </w:p>
        </w:tc>
        <w:tc>
          <w:tcPr>
            <w:tcW w:w="7564" w:type="dxa"/>
            <w:vAlign w:val="center"/>
          </w:tcPr>
          <w:p>
            <w:pPr>
              <w:rPr>
                <w:rFonts w:ascii="宋体" w:cs="Arial"/>
                <w:color w:val="333333"/>
                <w:sz w:val="18"/>
                <w:szCs w:val="18"/>
                <w:shd w:val="clear" w:color="auto" w:fill="FFFFFF"/>
              </w:rPr>
            </w:pPr>
            <w:r>
              <w:rPr>
                <w:rFonts w:ascii="宋体" w:hAnsi="宋体" w:cs="Arial"/>
                <w:color w:val="333333"/>
                <w:sz w:val="18"/>
                <w:szCs w:val="18"/>
                <w:shd w:val="clear" w:color="auto" w:fill="FFFFFF"/>
              </w:rPr>
              <w:t>1</w:t>
            </w:r>
            <w:r>
              <w:rPr>
                <w:rFonts w:hint="eastAsia" w:ascii="宋体" w:hAnsi="宋体" w:cs="Arial"/>
                <w:color w:val="333333"/>
                <w:sz w:val="18"/>
                <w:szCs w:val="18"/>
                <w:shd w:val="clear" w:color="auto" w:fill="FFFFFF"/>
              </w:rPr>
              <w:t>、受理责任：公示应当提交的材料，一次性告知补正材料，依法受理或不予受理（不予受理应当告知理由）。</w:t>
            </w:r>
          </w:p>
          <w:p>
            <w:pPr>
              <w:rPr>
                <w:rFonts w:ascii="宋体" w:cs="Arial"/>
                <w:color w:val="333333"/>
                <w:sz w:val="18"/>
                <w:szCs w:val="18"/>
                <w:shd w:val="clear" w:color="auto" w:fill="FFFFFF"/>
              </w:rPr>
            </w:pPr>
            <w:r>
              <w:rPr>
                <w:rFonts w:ascii="宋体" w:hAnsi="宋体" w:cs="Arial"/>
                <w:color w:val="333333"/>
                <w:sz w:val="18"/>
                <w:szCs w:val="18"/>
                <w:shd w:val="clear" w:color="auto" w:fill="FFFFFF"/>
              </w:rPr>
              <w:t>2</w:t>
            </w:r>
            <w:r>
              <w:rPr>
                <w:rFonts w:hint="eastAsia" w:ascii="宋体" w:hAnsi="宋体" w:cs="Arial"/>
                <w:color w:val="333333"/>
                <w:sz w:val="18"/>
                <w:szCs w:val="18"/>
                <w:shd w:val="clear" w:color="auto" w:fill="FFFFFF"/>
              </w:rPr>
              <w:t>、审查责任：按照相关文件要求，对书面申请材料进行审查，提出是否同意的审核意见，对举办者的办学资金、设施设备、教学场地、教学计划大纲、师资状况等进行考察论证，并形成专家小组评审意见。</w:t>
            </w:r>
          </w:p>
          <w:p>
            <w:pPr>
              <w:rPr>
                <w:rFonts w:ascii="宋体" w:cs="Arial"/>
                <w:color w:val="333333"/>
                <w:sz w:val="18"/>
                <w:szCs w:val="18"/>
                <w:shd w:val="clear" w:color="auto" w:fill="FFFFFF"/>
              </w:rPr>
            </w:pPr>
            <w:r>
              <w:rPr>
                <w:rFonts w:ascii="宋体" w:hAnsi="宋体" w:cs="Arial"/>
                <w:color w:val="333333"/>
                <w:sz w:val="18"/>
                <w:szCs w:val="18"/>
                <w:shd w:val="clear" w:color="auto" w:fill="FFFFFF"/>
              </w:rPr>
              <w:t>3</w:t>
            </w:r>
            <w:r>
              <w:rPr>
                <w:rFonts w:hint="eastAsia" w:ascii="宋体" w:hAnsi="宋体" w:cs="Arial"/>
                <w:color w:val="333333"/>
                <w:sz w:val="18"/>
                <w:szCs w:val="18"/>
                <w:shd w:val="clear" w:color="auto" w:fill="FFFFFF"/>
              </w:rPr>
              <w:t>、决定责任；作出行政许可或者不予行政许可决定，法定告知（不予许可的应当书面告知理由）。</w:t>
            </w:r>
          </w:p>
          <w:p>
            <w:pPr>
              <w:rPr>
                <w:rFonts w:ascii="宋体" w:cs="Arial"/>
                <w:color w:val="333333"/>
                <w:sz w:val="18"/>
                <w:szCs w:val="18"/>
                <w:shd w:val="clear" w:color="auto" w:fill="FFFFFF"/>
              </w:rPr>
            </w:pPr>
            <w:r>
              <w:rPr>
                <w:rFonts w:ascii="宋体" w:hAnsi="宋体" w:cs="Arial"/>
                <w:color w:val="333333"/>
                <w:sz w:val="18"/>
                <w:szCs w:val="18"/>
                <w:shd w:val="clear" w:color="auto" w:fill="FFFFFF"/>
              </w:rPr>
              <w:t>4</w:t>
            </w:r>
            <w:r>
              <w:rPr>
                <w:rFonts w:hint="eastAsia" w:ascii="宋体" w:hAnsi="宋体" w:cs="Arial"/>
                <w:color w:val="333333"/>
                <w:sz w:val="18"/>
                <w:szCs w:val="18"/>
                <w:shd w:val="clear" w:color="auto" w:fill="FFFFFF"/>
              </w:rPr>
              <w:t>、送达责任：准予许可的发送许可证，按规定备案，信息公开。</w:t>
            </w:r>
          </w:p>
          <w:p>
            <w:pPr>
              <w:rPr>
                <w:rFonts w:ascii="宋体" w:hAnsi="宋体" w:cs="Arial"/>
                <w:color w:val="333333"/>
                <w:sz w:val="18"/>
                <w:szCs w:val="18"/>
                <w:shd w:val="clear" w:color="auto" w:fill="FFFFFF"/>
              </w:rPr>
            </w:pPr>
            <w:r>
              <w:rPr>
                <w:rFonts w:ascii="宋体" w:hAnsi="宋体" w:cs="Arial"/>
                <w:color w:val="333333"/>
                <w:sz w:val="18"/>
                <w:szCs w:val="18"/>
                <w:shd w:val="clear" w:color="auto" w:fill="FFFFFF"/>
              </w:rPr>
              <w:t>5</w:t>
            </w:r>
            <w:r>
              <w:rPr>
                <w:rFonts w:hint="eastAsia" w:ascii="宋体" w:hAnsi="宋体" w:cs="Arial"/>
                <w:color w:val="333333"/>
                <w:sz w:val="18"/>
                <w:szCs w:val="18"/>
                <w:shd w:val="clear" w:color="auto" w:fill="FFFFFF"/>
              </w:rPr>
              <w:t>、事后监管责任：建立实施监督检查的运行机制和管理制度，开展定期和不定期检查，依法采取相关处置措施。</w:t>
            </w:r>
            <w:r>
              <w:rPr>
                <w:rFonts w:ascii="宋体" w:hAnsi="宋体" w:cs="Arial"/>
                <w:color w:val="333333"/>
                <w:sz w:val="18"/>
                <w:szCs w:val="18"/>
                <w:shd w:val="clear" w:color="auto" w:fill="FFFFFF"/>
              </w:rPr>
              <w:t xml:space="preserve">    </w:t>
            </w:r>
          </w:p>
          <w:p>
            <w:r>
              <w:rPr>
                <w:rFonts w:ascii="宋体" w:hAnsi="宋体" w:cs="Arial"/>
                <w:color w:val="333333"/>
                <w:sz w:val="18"/>
                <w:szCs w:val="18"/>
                <w:shd w:val="clear" w:color="auto" w:fill="FFFFFF"/>
              </w:rPr>
              <w:t>6</w:t>
            </w:r>
            <w:r>
              <w:rPr>
                <w:rFonts w:hint="eastAsia" w:ascii="宋体" w:hAnsi="宋体" w:cs="Arial"/>
                <w:color w:val="333333"/>
                <w:sz w:val="18"/>
                <w:szCs w:val="18"/>
                <w:shd w:val="clear" w:color="auto" w:fill="FFFFFF"/>
              </w:rPr>
              <w:t>、其他法律法规及文件规定应履行的责任</w:t>
            </w:r>
            <w:r>
              <w:rPr>
                <w:rFonts w:hint="eastAsia" w:ascii="宋体" w:hAnsi="宋体" w:cs="仿宋_GB2312"/>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0" w:hRule="atLeast"/>
        </w:trPr>
        <w:tc>
          <w:tcPr>
            <w:tcW w:w="1136" w:type="dxa"/>
            <w:vAlign w:val="center"/>
          </w:tcPr>
          <w:p>
            <w:pPr>
              <w:jc w:val="center"/>
              <w:rPr>
                <w:b/>
              </w:rPr>
            </w:pPr>
            <w:r>
              <w:rPr>
                <w:rFonts w:hint="eastAsia"/>
                <w:b/>
              </w:rPr>
              <w:t>责任事项依据</w:t>
            </w:r>
          </w:p>
        </w:tc>
        <w:tc>
          <w:tcPr>
            <w:tcW w:w="7564" w:type="dxa"/>
          </w:tcPr>
          <w:p>
            <w:r>
              <w:t xml:space="preserve">   </w:t>
            </w:r>
            <w:r>
              <w:rPr>
                <w:rFonts w:hint="eastAsia" w:ascii="宋体" w:hAnsi="宋体" w:cs="Arial"/>
                <w:color w:val="333333"/>
                <w:sz w:val="18"/>
                <w:szCs w:val="18"/>
                <w:shd w:val="clear" w:color="auto" w:fill="FFFFFF"/>
              </w:rPr>
              <w:t>根据《中华人民共和国民办教育促进法》第十一条：“举办实施学历教育、学前教育、自学考试助学及其他文化教育的民办学校，由县级以上人民政府教育行政部门按照国家规定的权限审批；举办实施以职业技能为主的职业资格培训、</w:t>
            </w:r>
            <w:r>
              <w:fldChar w:fldCharType="begin"/>
            </w:r>
            <w:r>
              <w:instrText xml:space="preserve"> HYPERLINK "http://baike.baidu.com/view/699111.htm" \t "_blank" </w:instrText>
            </w:r>
            <w:r>
              <w:fldChar w:fldCharType="separate"/>
            </w:r>
            <w:r>
              <w:rPr>
                <w:rFonts w:hint="eastAsia" w:ascii="宋体" w:hAnsi="宋体" w:cs="Arial"/>
                <w:color w:val="333333"/>
                <w:sz w:val="18"/>
                <w:szCs w:val="18"/>
                <w:shd w:val="clear" w:color="auto" w:fill="FFFFFF"/>
              </w:rPr>
              <w:t>职业技能培训</w:t>
            </w:r>
            <w:r>
              <w:rPr>
                <w:rFonts w:hint="eastAsia" w:ascii="宋体" w:hAnsi="宋体" w:cs="Arial"/>
                <w:color w:val="333333"/>
                <w:sz w:val="18"/>
                <w:szCs w:val="18"/>
                <w:shd w:val="clear" w:color="auto" w:fill="FFFFFF"/>
              </w:rPr>
              <w:fldChar w:fldCharType="end"/>
            </w:r>
            <w:r>
              <w:rPr>
                <w:rFonts w:hint="eastAsia" w:ascii="宋体" w:hAnsi="宋体" w:cs="Arial"/>
                <w:color w:val="333333"/>
                <w:sz w:val="18"/>
                <w:szCs w:val="18"/>
                <w:shd w:val="clear" w:color="auto" w:fill="FFFFFF"/>
              </w:rPr>
              <w:t>的民办学校，由县级以上人民政府劳动和社会保障行政部门按照国家规定的权限审批，并抄送同级教育行政部门备案”规定，承办民办职业培训学校审批事项，履行受理责任、审查责任、决定责任、送达责任、事后监管责任和其他法律法规及文件规定应履行的责任。第八章第 五十三条：</w:t>
            </w:r>
            <w:r>
              <w:rPr>
                <w:rFonts w:hint="eastAsia" w:ascii="宋体" w:hAnsi="宋体" w:cs="Arial"/>
                <w:color w:val="333333"/>
                <w:sz w:val="18"/>
                <w:szCs w:val="18"/>
                <w:shd w:val="clear" w:color="auto" w:fill="FFFFFF"/>
                <w:lang w:eastAsia="zh-CN"/>
              </w:rPr>
              <w:t>“</w:t>
            </w:r>
            <w:r>
              <w:rPr>
                <w:rFonts w:hint="eastAsia" w:ascii="宋体" w:hAnsi="宋体" w:cs="Arial"/>
                <w:color w:val="333333"/>
                <w:sz w:val="18"/>
                <w:szCs w:val="18"/>
                <w:shd w:val="clear" w:color="auto" w:fill="FFFFFF"/>
              </w:rPr>
              <w:t>民办学校的分立、合并，在进行财务清算后，由学校理事会或者董事会报审批机关批准。 申请分立、合并民办学校的，审批机关应当自受理之日起三个月内以书面形式答复;其中申请分立、合并民办高等学校的，审批机关也可以自受理之日起六个月内以书面形式答复。</w:t>
            </w:r>
            <w:r>
              <w:rPr>
                <w:rFonts w:hint="eastAsia" w:ascii="宋体" w:hAnsi="宋体" w:cs="Arial"/>
                <w:color w:val="333333"/>
                <w:sz w:val="18"/>
                <w:szCs w:val="18"/>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5" w:hRule="atLeast"/>
        </w:trPr>
        <w:tc>
          <w:tcPr>
            <w:tcW w:w="1136" w:type="dxa"/>
            <w:vAlign w:val="center"/>
          </w:tcPr>
          <w:p>
            <w:pPr>
              <w:rPr>
                <w:b/>
              </w:rPr>
            </w:pPr>
            <w:r>
              <w:rPr>
                <w:rFonts w:hint="eastAsia"/>
                <w:b/>
              </w:rPr>
              <w:t>问责依据</w:t>
            </w:r>
          </w:p>
        </w:tc>
        <w:tc>
          <w:tcPr>
            <w:tcW w:w="7564" w:type="dxa"/>
            <w:vAlign w:val="center"/>
          </w:tcPr>
          <w:p>
            <w:r>
              <w:t xml:space="preserve">    </w:t>
            </w:r>
            <w:r>
              <w:rPr>
                <w:rFonts w:hint="eastAsia" w:ascii="宋体" w:hAnsi="宋体" w:cs="Arial"/>
                <w:color w:val="333333"/>
                <w:sz w:val="18"/>
                <w:szCs w:val="18"/>
                <w:shd w:val="clear" w:color="auto" w:fill="FFFFFF"/>
              </w:rPr>
              <w:t>对不履行或不正确履行行政职责的行政机关及其工作人员，依据《中华人民共和国监察法》、《行政机关公务员处分条例》、《四川省行政执法监督条例》、《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1136" w:type="dxa"/>
            <w:vAlign w:val="center"/>
          </w:tcPr>
          <w:p>
            <w:pPr>
              <w:jc w:val="center"/>
              <w:rPr>
                <w:b/>
              </w:rPr>
            </w:pPr>
            <w:r>
              <w:rPr>
                <w:rFonts w:hint="eastAsia"/>
                <w:b/>
              </w:rPr>
              <w:t>监督电话</w:t>
            </w:r>
          </w:p>
        </w:tc>
        <w:tc>
          <w:tcPr>
            <w:tcW w:w="7564" w:type="dxa"/>
            <w:vAlign w:val="center"/>
          </w:tcPr>
          <w:p/>
          <w:p>
            <w:pPr>
              <w:jc w:val="center"/>
            </w:pPr>
            <w:r>
              <w:rPr>
                <w:rFonts w:ascii="宋体" w:hAnsi="宋体" w:cs="Arial"/>
                <w:color w:val="333333"/>
                <w:sz w:val="18"/>
                <w:szCs w:val="18"/>
                <w:shd w:val="clear" w:color="auto" w:fill="FFFFFF"/>
              </w:rPr>
              <w:t>0837-2482487</w:t>
            </w: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 w:hRule="atLeast"/>
          <w:jc w:val="center"/>
        </w:trPr>
        <w:tc>
          <w:tcPr>
            <w:tcW w:w="1136" w:type="dxa"/>
            <w:vAlign w:val="center"/>
          </w:tcPr>
          <w:p>
            <w:pPr>
              <w:jc w:val="center"/>
              <w:rPr>
                <w:b/>
              </w:rPr>
            </w:pPr>
            <w:r>
              <w:rPr>
                <w:rFonts w:hint="eastAsia"/>
                <w:b/>
              </w:rPr>
              <w:t>序号</w:t>
            </w:r>
          </w:p>
        </w:tc>
        <w:tc>
          <w:tcPr>
            <w:tcW w:w="7564" w:type="dxa"/>
            <w:vAlign w:val="center"/>
          </w:tcPr>
          <w:p>
            <w:pPr>
              <w:jc w:val="cente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 w:hRule="atLeast"/>
          <w:jc w:val="center"/>
        </w:trPr>
        <w:tc>
          <w:tcPr>
            <w:tcW w:w="1136" w:type="dxa"/>
            <w:vAlign w:val="center"/>
          </w:tcPr>
          <w:p>
            <w:pPr>
              <w:jc w:val="center"/>
              <w:rPr>
                <w:b/>
              </w:rPr>
            </w:pPr>
            <w:r>
              <w:rPr>
                <w:rFonts w:hint="eastAsia"/>
                <w:b/>
              </w:rPr>
              <w:t>权利类型</w:t>
            </w:r>
          </w:p>
        </w:tc>
        <w:tc>
          <w:tcPr>
            <w:tcW w:w="7564" w:type="dxa"/>
            <w:vAlign w:val="center"/>
          </w:tcPr>
          <w:p>
            <w:pPr>
              <w:jc w:val="center"/>
            </w:pPr>
            <w:r>
              <w:rPr>
                <w:rFonts w:hint="eastAsia" w:ascii="宋体" w:hAnsi="宋体" w:cs="楷体_GB2312"/>
                <w:szCs w:val="21"/>
              </w:rPr>
              <w:t>行政审批（行政许可）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136" w:type="dxa"/>
            <w:vAlign w:val="center"/>
          </w:tcPr>
          <w:p>
            <w:pPr>
              <w:jc w:val="center"/>
              <w:rPr>
                <w:b/>
              </w:rPr>
            </w:pPr>
            <w:r>
              <w:rPr>
                <w:rFonts w:hint="eastAsia"/>
                <w:b/>
              </w:rPr>
              <w:t>权力项目名称</w:t>
            </w:r>
          </w:p>
        </w:tc>
        <w:tc>
          <w:tcPr>
            <w:tcW w:w="7564" w:type="dxa"/>
            <w:vAlign w:val="center"/>
          </w:tcPr>
          <w:p>
            <w:pPr>
              <w:jc w:val="center"/>
            </w:pPr>
            <w:r>
              <w:rPr>
                <w:rFonts w:hint="eastAsia"/>
                <w:color w:val="000000" w:themeColor="text1"/>
                <w14:textFill>
                  <w14:solidFill>
                    <w14:schemeClr w14:val="tx1"/>
                  </w14:solidFill>
                </w14:textFill>
              </w:rPr>
              <w:t>设立人力资源服务机构及其业务范围审批〔仅限扩权强县试点县（市）〕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jc w:val="center"/>
        </w:trPr>
        <w:tc>
          <w:tcPr>
            <w:tcW w:w="1136" w:type="dxa"/>
            <w:vAlign w:val="center"/>
          </w:tcPr>
          <w:p>
            <w:pPr>
              <w:jc w:val="center"/>
              <w:rPr>
                <w:b/>
              </w:rPr>
            </w:pPr>
            <w:r>
              <w:rPr>
                <w:rFonts w:hint="eastAsia"/>
                <w:b/>
              </w:rPr>
              <w:t>实施依据</w:t>
            </w:r>
          </w:p>
        </w:tc>
        <w:tc>
          <w:tcPr>
            <w:tcW w:w="7564" w:type="dxa"/>
            <w:vAlign w:val="center"/>
          </w:tcPr>
          <w:p>
            <w:pPr>
              <w:jc w:val="both"/>
              <w:rPr>
                <w:rFonts w:hint="eastAsia"/>
                <w:szCs w:val="21"/>
              </w:rPr>
            </w:pPr>
            <w:r>
              <w:rPr>
                <w:rFonts w:hint="eastAsia"/>
                <w:lang w:eastAsia="zh-CN"/>
              </w:rPr>
              <w:t>《四川省人民政府关于印发进一步向扩权试点县（市）下放部分市级管理权限目录的通知》附件《进一步向扩权试点县（市）下放部分市级管理权限目录》第二条第11项：人力资源服务机构许可；《国务院对确需保留的行政审批项目设定行政许可的决定》第</w:t>
            </w:r>
            <w:r>
              <w:rPr>
                <w:rFonts w:hint="eastAsia"/>
                <w:lang w:val="en-US" w:eastAsia="zh-CN"/>
              </w:rPr>
              <w:t>86项：“设立人才中介服务机构及其业务范围审批由县级以上人民政府人事行政主管部门实施”、第88项“设立职业介绍机构应当根据管理权限由地方人民政府劳动保障行政主管部门实施”；</w:t>
            </w:r>
            <w:r>
              <w:rPr>
                <w:rFonts w:hint="eastAsia"/>
                <w:lang w:eastAsia="zh-CN"/>
              </w:rPr>
              <w:t>《就业服务与就业管理规定》第四十七条：“职业中介实行行政许可制度。设立职业中介机构或其他机构开展职业中介活动，须经劳动保障行政部门批准，并获得职业中介许可证”；《四川省劳动力市场管理条例》第二十二条：“职业介绍实行职业介绍行政许可制度。设立职业介绍机构或者其他机构开展职业介绍活动，应当以书面形式向所在地的市（州）、县（市、区）劳动保障行政部门提出申请，并提交本条例第二十一条规定的有关证明材料”；《四川省人才市场管理条例》第八条：“设立人才中介服务组织，应当以书面形式向政府人事行政机关提出申请”；《人才市场管理规定》第八条：“设立人才中介服务机构应当依据管理权限由县级以上政府人事行政部门审批；”</w:t>
            </w:r>
            <w:r>
              <w:rPr>
                <w:rFonts w:hint="eastAsia"/>
                <w:szCs w:val="21"/>
              </w:rPr>
              <w:t>根据</w:t>
            </w:r>
          </w:p>
          <w:p>
            <w:pPr>
              <w:jc w:val="both"/>
              <w:rPr>
                <w:rFonts w:hint="eastAsia" w:eastAsia="宋体"/>
                <w:lang w:eastAsia="zh-CN"/>
              </w:rPr>
            </w:pPr>
            <w:r>
              <w:rPr>
                <w:rFonts w:hint="eastAsia"/>
                <w:szCs w:val="21"/>
              </w:rPr>
              <w:t>《</w:t>
            </w:r>
            <w:r>
              <w:rPr>
                <w:rStyle w:val="5"/>
                <w:rFonts w:hint="eastAsia"/>
                <w:b w:val="0"/>
                <w:szCs w:val="21"/>
              </w:rPr>
              <w:t>中华人民共和国就业促进法</w:t>
            </w:r>
            <w:r>
              <w:rPr>
                <w:rFonts w:hint="eastAsia"/>
                <w:szCs w:val="21"/>
              </w:rPr>
              <w:t>》（</w:t>
            </w:r>
            <w:r>
              <w:rPr>
                <w:rStyle w:val="5"/>
                <w:rFonts w:hint="eastAsia"/>
                <w:b w:val="0"/>
                <w:szCs w:val="21"/>
              </w:rPr>
              <w:t>中华人民共和国主席令</w:t>
            </w:r>
            <w:r>
              <w:rPr>
                <w:rFonts w:hint="eastAsia"/>
                <w:szCs w:val="21"/>
              </w:rPr>
              <w:t>第</w:t>
            </w:r>
            <w:r>
              <w:rPr>
                <w:rStyle w:val="5"/>
                <w:rFonts w:hint="eastAsia"/>
                <w:b w:val="0"/>
                <w:szCs w:val="21"/>
              </w:rPr>
              <w:t>七十</w:t>
            </w:r>
            <w:r>
              <w:rPr>
                <w:rFonts w:hint="eastAsia"/>
                <w:szCs w:val="21"/>
              </w:rPr>
              <w:t>号）</w:t>
            </w:r>
            <w:r>
              <w:rPr>
                <w:rStyle w:val="5"/>
                <w:rFonts w:hint="eastAsia"/>
                <w:b w:val="0"/>
                <w:bCs w:val="0"/>
                <w:szCs w:val="21"/>
              </w:rPr>
              <w:t>第三十五条</w:t>
            </w:r>
            <w:r>
              <w:rPr>
                <w:rStyle w:val="5"/>
                <w:b w:val="0"/>
                <w:bCs w:val="0"/>
                <w:szCs w:val="21"/>
              </w:rPr>
              <w:t> </w:t>
            </w:r>
            <w:r>
              <w:rPr>
                <w:rStyle w:val="5"/>
                <w:rFonts w:hint="eastAsia"/>
                <w:b w:val="0"/>
                <w:bCs w:val="0"/>
                <w:szCs w:val="21"/>
              </w:rPr>
              <w:t>县级以上人民政府建立健全公共就业服务体系，设立公共就业服务机构，为劳动者免费提供下列服务：</w:t>
            </w:r>
            <w:r>
              <w:rPr>
                <w:rStyle w:val="5"/>
                <w:b w:val="0"/>
                <w:bCs w:val="0"/>
                <w:szCs w:val="21"/>
              </w:rPr>
              <w:br w:type="textWrapping"/>
            </w:r>
            <w:r>
              <w:rPr>
                <w:rStyle w:val="5"/>
                <w:b w:val="0"/>
                <w:bCs w:val="0"/>
                <w:szCs w:val="21"/>
              </w:rPr>
              <w:t>    </w:t>
            </w:r>
            <w:r>
              <w:rPr>
                <w:rStyle w:val="5"/>
                <w:rFonts w:hint="eastAsia"/>
                <w:b w:val="0"/>
                <w:bCs w:val="0"/>
                <w:szCs w:val="21"/>
              </w:rPr>
              <w:t>（一）就业政策法规咨询；</w:t>
            </w:r>
            <w:r>
              <w:rPr>
                <w:rStyle w:val="5"/>
                <w:b w:val="0"/>
                <w:bCs w:val="0"/>
                <w:szCs w:val="21"/>
              </w:rPr>
              <w:br w:type="textWrapping"/>
            </w:r>
            <w:r>
              <w:rPr>
                <w:rStyle w:val="5"/>
                <w:b w:val="0"/>
                <w:bCs w:val="0"/>
                <w:szCs w:val="21"/>
              </w:rPr>
              <w:t>    </w:t>
            </w:r>
            <w:r>
              <w:rPr>
                <w:rStyle w:val="5"/>
                <w:rFonts w:hint="eastAsia"/>
                <w:b w:val="0"/>
                <w:bCs w:val="0"/>
                <w:szCs w:val="21"/>
              </w:rPr>
              <w:t>（二）职业供求信息、市场工资指导价位信息和职业培训信息发布；</w:t>
            </w:r>
            <w:r>
              <w:rPr>
                <w:rStyle w:val="5"/>
                <w:b w:val="0"/>
                <w:bCs w:val="0"/>
                <w:szCs w:val="21"/>
              </w:rPr>
              <w:br w:type="textWrapping"/>
            </w:r>
            <w:r>
              <w:rPr>
                <w:rStyle w:val="5"/>
                <w:b w:val="0"/>
                <w:bCs w:val="0"/>
                <w:szCs w:val="21"/>
              </w:rPr>
              <w:t>    </w:t>
            </w:r>
            <w:r>
              <w:rPr>
                <w:rStyle w:val="5"/>
                <w:rFonts w:hint="eastAsia"/>
                <w:b w:val="0"/>
                <w:bCs w:val="0"/>
                <w:szCs w:val="21"/>
              </w:rPr>
              <w:t>（三）职业指导和职业介绍；</w:t>
            </w:r>
            <w:r>
              <w:rPr>
                <w:rStyle w:val="5"/>
                <w:b w:val="0"/>
                <w:bCs w:val="0"/>
                <w:szCs w:val="21"/>
              </w:rPr>
              <w:br w:type="textWrapping"/>
            </w:r>
            <w:r>
              <w:rPr>
                <w:rStyle w:val="5"/>
                <w:b w:val="0"/>
                <w:bCs w:val="0"/>
                <w:szCs w:val="21"/>
              </w:rPr>
              <w:t>    </w:t>
            </w:r>
            <w:r>
              <w:rPr>
                <w:rStyle w:val="5"/>
                <w:rFonts w:hint="eastAsia"/>
                <w:b w:val="0"/>
                <w:bCs w:val="0"/>
                <w:szCs w:val="21"/>
              </w:rPr>
              <w:t>（四）对就业困难人员实施就业援助；</w:t>
            </w:r>
            <w:r>
              <w:rPr>
                <w:rStyle w:val="5"/>
                <w:b w:val="0"/>
                <w:bCs w:val="0"/>
                <w:szCs w:val="21"/>
              </w:rPr>
              <w:br w:type="textWrapping"/>
            </w:r>
            <w:r>
              <w:rPr>
                <w:rStyle w:val="5"/>
                <w:b w:val="0"/>
                <w:bCs w:val="0"/>
                <w:szCs w:val="21"/>
              </w:rPr>
              <w:t>    </w:t>
            </w:r>
            <w:r>
              <w:rPr>
                <w:rStyle w:val="5"/>
                <w:rFonts w:hint="eastAsia"/>
                <w:b w:val="0"/>
                <w:bCs w:val="0"/>
                <w:szCs w:val="21"/>
              </w:rPr>
              <w:t>（五）办理就业登记、失业登记等事务；</w:t>
            </w:r>
            <w:r>
              <w:rPr>
                <w:rStyle w:val="5"/>
                <w:b w:val="0"/>
                <w:bCs w:val="0"/>
                <w:szCs w:val="21"/>
              </w:rPr>
              <w:br w:type="textWrapping"/>
            </w:r>
            <w:r>
              <w:rPr>
                <w:rStyle w:val="5"/>
                <w:b w:val="0"/>
                <w:bCs w:val="0"/>
                <w:szCs w:val="21"/>
              </w:rPr>
              <w:t>    </w:t>
            </w:r>
            <w:r>
              <w:rPr>
                <w:rStyle w:val="5"/>
                <w:rFonts w:hint="eastAsia"/>
                <w:b w:val="0"/>
                <w:bCs w:val="0"/>
                <w:szCs w:val="21"/>
              </w:rPr>
              <w:t>（六）其他公共就业服务。</w:t>
            </w:r>
            <w:r>
              <w:rPr>
                <w:rStyle w:val="5"/>
                <w:b w:val="0"/>
                <w:bCs w:val="0"/>
                <w:szCs w:val="21"/>
              </w:rPr>
              <w:br w:type="textWrapping"/>
            </w:r>
            <w:r>
              <w:rPr>
                <w:rStyle w:val="5"/>
                <w:b w:val="0"/>
                <w:bCs w:val="0"/>
                <w:szCs w:val="21"/>
              </w:rPr>
              <w:t>    </w:t>
            </w:r>
            <w:r>
              <w:rPr>
                <w:rStyle w:val="5"/>
                <w:rFonts w:hint="eastAsia"/>
                <w:b w:val="0"/>
                <w:bCs w:val="0"/>
                <w:szCs w:val="21"/>
              </w:rPr>
              <w:t>公共就业服务机构应当不断提高服务的质量和效率，不得从事经营性活动。</w:t>
            </w:r>
            <w:r>
              <w:rPr>
                <w:rStyle w:val="5"/>
                <w:b w:val="0"/>
                <w:bCs w:val="0"/>
                <w:szCs w:val="21"/>
              </w:rPr>
              <w:br w:type="textWrapping"/>
            </w:r>
            <w:r>
              <w:rPr>
                <w:rStyle w:val="5"/>
                <w:b w:val="0"/>
                <w:bCs w:val="0"/>
                <w:szCs w:val="21"/>
              </w:rPr>
              <w:t>    </w:t>
            </w:r>
            <w:r>
              <w:rPr>
                <w:rStyle w:val="5"/>
                <w:rFonts w:hint="eastAsia"/>
                <w:b w:val="0"/>
                <w:bCs w:val="0"/>
                <w:szCs w:val="21"/>
              </w:rPr>
              <w:t>公共就业服务经费纳入同级财政预算。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atLeast"/>
          <w:jc w:val="center"/>
        </w:trPr>
        <w:tc>
          <w:tcPr>
            <w:tcW w:w="1136" w:type="dxa"/>
            <w:vAlign w:val="center"/>
          </w:tcPr>
          <w:p>
            <w:pPr>
              <w:jc w:val="center"/>
              <w:rPr>
                <w:b/>
              </w:rPr>
            </w:pPr>
            <w:r>
              <w:rPr>
                <w:rFonts w:hint="eastAsia"/>
                <w:b/>
              </w:rPr>
              <w:t>责任主体</w:t>
            </w:r>
          </w:p>
        </w:tc>
        <w:tc>
          <w:tcPr>
            <w:tcW w:w="7564" w:type="dxa"/>
            <w:vAlign w:val="center"/>
          </w:tcPr>
          <w:p>
            <w:pPr>
              <w:jc w:val="center"/>
            </w:pPr>
            <w:r>
              <w:rPr>
                <w:rFonts w:hint="eastAsia"/>
              </w:rPr>
              <w:t>阿坝县人力资源和社会保障局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7" w:hRule="atLeast"/>
          <w:jc w:val="center"/>
        </w:trPr>
        <w:tc>
          <w:tcPr>
            <w:tcW w:w="1136" w:type="dxa"/>
            <w:vAlign w:val="center"/>
          </w:tcPr>
          <w:p>
            <w:pPr>
              <w:jc w:val="center"/>
              <w:rPr>
                <w:b/>
              </w:rPr>
            </w:pPr>
            <w:r>
              <w:rPr>
                <w:rFonts w:hint="eastAsia"/>
                <w:b/>
              </w:rPr>
              <w:t>责任事项</w:t>
            </w:r>
          </w:p>
        </w:tc>
        <w:tc>
          <w:tcPr>
            <w:tcW w:w="7564" w:type="dxa"/>
            <w:vAlign w:val="center"/>
          </w:tcPr>
          <w:p>
            <w:pPr>
              <w:ind w:left="420" w:hanging="420"/>
              <w:rPr>
                <w:rFonts w:ascii="宋体" w:cs="仿宋_GB2312"/>
                <w:szCs w:val="21"/>
              </w:rPr>
            </w:pPr>
            <w:r>
              <w:rPr>
                <w:rFonts w:hint="eastAsia" w:ascii="宋体" w:hAnsi="宋体" w:cs="仿宋_GB2312"/>
                <w:szCs w:val="21"/>
              </w:rPr>
              <w:t>（</w:t>
            </w:r>
            <w:r>
              <w:rPr>
                <w:rFonts w:ascii="宋体" w:hAnsi="宋体"/>
                <w:szCs w:val="21"/>
              </w:rPr>
              <w:t>1</w:t>
            </w:r>
            <w:r>
              <w:rPr>
                <w:rFonts w:hint="eastAsia" w:ascii="宋体" w:hAnsi="宋体" w:cs="仿宋_GB2312"/>
                <w:szCs w:val="21"/>
              </w:rPr>
              <w:t>）受理责任：公示应当提交的材料，一次性告知补正材料，依法受理或不予受理（不予受理应当告知理由）。</w:t>
            </w:r>
          </w:p>
          <w:p>
            <w:pPr>
              <w:ind w:left="420" w:hanging="420"/>
              <w:rPr>
                <w:rFonts w:ascii="宋体" w:cs="仿宋_GB2312"/>
                <w:szCs w:val="21"/>
              </w:rPr>
            </w:pPr>
            <w:r>
              <w:rPr>
                <w:rFonts w:hint="eastAsia" w:ascii="宋体" w:hAnsi="宋体" w:cs="仿宋_GB2312"/>
                <w:szCs w:val="21"/>
              </w:rPr>
              <w:t>（</w:t>
            </w:r>
            <w:r>
              <w:rPr>
                <w:rFonts w:ascii="宋体" w:hAnsi="宋体" w:cs="仿宋_GB2312"/>
                <w:szCs w:val="21"/>
              </w:rPr>
              <w:t>2</w:t>
            </w:r>
            <w:r>
              <w:rPr>
                <w:rFonts w:hint="eastAsia" w:ascii="宋体" w:hAnsi="宋体" w:cs="仿宋_GB2312"/>
                <w:szCs w:val="21"/>
              </w:rPr>
              <w:t>）审查责任：对申请单位书面申请的营业执照、经营范围、资质证书、经营场地情况等进行审查。</w:t>
            </w:r>
          </w:p>
          <w:p>
            <w:pPr>
              <w:ind w:left="420" w:hanging="420"/>
              <w:rPr>
                <w:rFonts w:ascii="宋体" w:cs="仿宋_GB2312"/>
                <w:szCs w:val="21"/>
              </w:rPr>
            </w:pPr>
            <w:r>
              <w:rPr>
                <w:rFonts w:hint="eastAsia" w:ascii="宋体" w:hAnsi="宋体" w:cs="仿宋_GB2312"/>
                <w:szCs w:val="21"/>
              </w:rPr>
              <w:t>（</w:t>
            </w:r>
            <w:r>
              <w:rPr>
                <w:rFonts w:ascii="宋体" w:hAnsi="宋体"/>
                <w:szCs w:val="21"/>
              </w:rPr>
              <w:t>3</w:t>
            </w:r>
            <w:r>
              <w:rPr>
                <w:rFonts w:hint="eastAsia" w:ascii="宋体" w:hAnsi="宋体" w:cs="仿宋_GB2312"/>
                <w:szCs w:val="21"/>
              </w:rPr>
              <w:t>）决定责任：作出行政许可或者不予行政许可决定，书面法定告知。</w:t>
            </w:r>
          </w:p>
          <w:p>
            <w:pPr>
              <w:jc w:val="left"/>
            </w:pPr>
            <w:r>
              <w:rPr>
                <w:rFonts w:hint="eastAsia" w:ascii="宋体" w:hAnsi="宋体" w:cs="仿宋_GB2312"/>
                <w:szCs w:val="21"/>
              </w:rPr>
              <w:t>（</w:t>
            </w:r>
            <w:r>
              <w:rPr>
                <w:rFonts w:ascii="宋体" w:hAnsi="宋体"/>
                <w:szCs w:val="21"/>
              </w:rPr>
              <w:t>4</w:t>
            </w:r>
            <w:r>
              <w:rPr>
                <w:rFonts w:hint="eastAsia" w:ascii="宋体" w:hAnsi="宋体" w:cs="仿宋_GB2312"/>
                <w:szCs w:val="21"/>
              </w:rPr>
              <w:t>）事后监督责任：人力资源社会保障部门对人力资源服务机构实行年检。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7" w:hRule="atLeast"/>
          <w:jc w:val="center"/>
        </w:trPr>
        <w:tc>
          <w:tcPr>
            <w:tcW w:w="1136" w:type="dxa"/>
            <w:vAlign w:val="center"/>
          </w:tcPr>
          <w:p>
            <w:pPr>
              <w:jc w:val="center"/>
              <w:rPr>
                <w:b/>
              </w:rPr>
            </w:pPr>
            <w:r>
              <w:rPr>
                <w:rFonts w:hint="eastAsia"/>
                <w:b/>
              </w:rPr>
              <w:t>责任事项依据</w:t>
            </w:r>
          </w:p>
        </w:tc>
        <w:tc>
          <w:tcPr>
            <w:tcW w:w="7564" w:type="dxa"/>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jc w:val="left"/>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1" w:hRule="atLeast"/>
          <w:jc w:val="center"/>
        </w:trPr>
        <w:tc>
          <w:tcPr>
            <w:tcW w:w="1136" w:type="dxa"/>
            <w:vAlign w:val="center"/>
          </w:tcPr>
          <w:p>
            <w:pPr>
              <w:jc w:val="center"/>
              <w:rPr>
                <w:b/>
              </w:rPr>
            </w:pPr>
            <w:r>
              <w:rPr>
                <w:rFonts w:hint="eastAsia"/>
                <w:b/>
              </w:rPr>
              <w:t>问责依据</w:t>
            </w:r>
          </w:p>
        </w:tc>
        <w:tc>
          <w:tcPr>
            <w:tcW w:w="7564" w:type="dxa"/>
            <w:vAlign w:val="center"/>
          </w:tcPr>
          <w:p>
            <w:pPr>
              <w:jc w:val="left"/>
            </w:pPr>
            <w:r>
              <w:t xml:space="preserve">    </w:t>
            </w:r>
            <w:r>
              <w:rPr>
                <w:rFonts w:hint="eastAsia"/>
              </w:rPr>
              <w:t>对不履行或不正确履行行政职责的行政机关及其工作人员，依据《中华人民共和国监察法》、《行政机关公务员处分条例》、《四川省行政执法监督条例》、《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jc w:val="center"/>
        </w:trPr>
        <w:tc>
          <w:tcPr>
            <w:tcW w:w="1136" w:type="dxa"/>
            <w:vAlign w:val="center"/>
          </w:tcPr>
          <w:p>
            <w:pPr>
              <w:jc w:val="center"/>
              <w:rPr>
                <w:b/>
              </w:rPr>
            </w:pPr>
            <w:r>
              <w:rPr>
                <w:rFonts w:hint="eastAsia"/>
                <w:b/>
              </w:rPr>
              <w:t>监督电话</w:t>
            </w:r>
          </w:p>
        </w:tc>
        <w:tc>
          <w:tcPr>
            <w:tcW w:w="7564" w:type="dxa"/>
            <w:vAlign w:val="center"/>
          </w:tcPr>
          <w:p>
            <w:pPr>
              <w:jc w:val="center"/>
            </w:pPr>
            <w:r>
              <w:t>0837-2482487</w:t>
            </w:r>
          </w:p>
        </w:tc>
      </w:tr>
    </w:tbl>
    <w:tbl>
      <w:tblPr>
        <w:tblStyle w:val="7"/>
        <w:tblpPr w:leftFromText="180" w:rightFromText="180" w:vertAnchor="text" w:horzAnchor="page" w:tblpX="1240" w:tblpY="156"/>
        <w:tblOverlap w:val="never"/>
        <w:tblW w:w="8702" w:type="dxa"/>
        <w:tblInd w:w="5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8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trPr>
        <w:tc>
          <w:tcPr>
            <w:tcW w:w="576" w:type="dxa"/>
            <w:vAlign w:val="center"/>
          </w:tcPr>
          <w:p>
            <w:pPr>
              <w:jc w:val="center"/>
              <w:rPr>
                <w:b/>
              </w:rPr>
            </w:pPr>
            <w:r>
              <w:rPr>
                <w:rFonts w:hint="eastAsia"/>
                <w:b/>
              </w:rPr>
              <w:t>序</w:t>
            </w:r>
            <w:r>
              <w:rPr>
                <w:b/>
              </w:rPr>
              <w:t xml:space="preserve">    </w:t>
            </w:r>
            <w:r>
              <w:rPr>
                <w:rFonts w:hint="eastAsia"/>
                <w:b/>
              </w:rPr>
              <w:t>号</w:t>
            </w:r>
          </w:p>
        </w:tc>
        <w:tc>
          <w:tcPr>
            <w:tcW w:w="8126" w:type="dxa"/>
            <w:vAlign w:val="center"/>
          </w:tcPr>
          <w:p>
            <w:pPr>
              <w:jc w:val="cente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rPr>
        <w:tc>
          <w:tcPr>
            <w:tcW w:w="576" w:type="dxa"/>
            <w:vAlign w:val="center"/>
          </w:tcPr>
          <w:p>
            <w:pPr>
              <w:jc w:val="center"/>
              <w:rPr>
                <w:b/>
              </w:rPr>
            </w:pPr>
            <w:r>
              <w:rPr>
                <w:rFonts w:hint="eastAsia"/>
                <w:b/>
              </w:rPr>
              <w:t>权利类型</w:t>
            </w:r>
          </w:p>
        </w:tc>
        <w:tc>
          <w:tcPr>
            <w:tcW w:w="8126"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 w:hRule="atLeast"/>
        </w:trPr>
        <w:tc>
          <w:tcPr>
            <w:tcW w:w="576" w:type="dxa"/>
            <w:vAlign w:val="center"/>
          </w:tcPr>
          <w:p>
            <w:pPr>
              <w:jc w:val="center"/>
              <w:rPr>
                <w:b/>
              </w:rPr>
            </w:pPr>
            <w:r>
              <w:rPr>
                <w:rFonts w:hint="eastAsia"/>
                <w:b/>
              </w:rPr>
              <w:t>权力项目名称</w:t>
            </w:r>
          </w:p>
        </w:tc>
        <w:tc>
          <w:tcPr>
            <w:tcW w:w="8126" w:type="dxa"/>
            <w:vAlign w:val="center"/>
          </w:tcPr>
          <w:p>
            <w:pPr>
              <w:jc w:val="center"/>
            </w:pPr>
            <w:r>
              <w:rPr>
                <w:rFonts w:hint="eastAsia"/>
                <w:color w:val="000000" w:themeColor="text1"/>
                <w14:textFill>
                  <w14:solidFill>
                    <w14:schemeClr w14:val="tx1"/>
                  </w14:solidFill>
                </w14:textFill>
              </w:rPr>
              <w:t>地方企业实行不定时工作制和综合计算工时工作制审批〔仅限扩权强县试点县（市）〕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6" w:hRule="atLeast"/>
        </w:trPr>
        <w:tc>
          <w:tcPr>
            <w:tcW w:w="576" w:type="dxa"/>
            <w:vAlign w:val="center"/>
          </w:tcPr>
          <w:p>
            <w:pPr>
              <w:rPr>
                <w:b/>
              </w:rPr>
            </w:pPr>
            <w:r>
              <w:rPr>
                <w:rFonts w:hint="eastAsia"/>
                <w:b/>
              </w:rPr>
              <w:t>实施依据</w:t>
            </w:r>
          </w:p>
        </w:tc>
        <w:tc>
          <w:tcPr>
            <w:tcW w:w="8126" w:type="dxa"/>
            <w:vAlign w:val="center"/>
          </w:tcPr>
          <w:p>
            <w:pPr>
              <w:jc w:val="left"/>
            </w:pPr>
            <w:r>
              <w:rPr>
                <w:rFonts w:hint="eastAsia"/>
              </w:rPr>
              <w:t>《中华人民共和国劳动法》</w:t>
            </w:r>
            <w:r>
              <w:rPr>
                <w:rFonts w:hint="eastAsia"/>
                <w:lang w:eastAsia="zh-CN"/>
              </w:rPr>
              <w:t>第三十七条：“对实行计件工作的劳动者，用人单位应当根据本法第三十六条规定的工时制度合理确定其劳动定额和计件报酬标准。”、第三十九条：“企业因生产特点不能实行本法第三十六条、第三十八条规定的，经劳动行政部门批准，可以实行其他工作和休息办法。”；《国务院关于职工工作时间的规定》第五条：“因工作性质或者生产特点的限制，不能实行每日工作8小时、每周工作40小时标准工时制度的，按照国家有关规定，可以实行其他工作和休息办法。”；《关于企业实行不定时工作制和综合计算工时工作制的审批办法》第三条：“企业因生产特点不能实行《中华人民共和国劳动法》第三十六条、第三十八条规定的，可以实行不定时工作制或综合计算工时工作制等其他工作和休息办法”、第七条：“地方企业实行不定时工作制和综合计算工时工作制等其他工作和休息办法的审批办法，由各省、自治区、直辖市人民政府劳动行政部门制定，报国务院劳动行政部门备案。”；《四川省人力资源和社会保障厅关于做好省政府下放第三批行政审批项目衔接工作的通知》第一条第四款：“1．根据《关于加强对用人单位实行特殊工时制度管理有关问题的通知》（川劳社办[2008]44号）规定的省属国有企业、事业单位，以及在省工商行政管理部门登记注册的企业、在省民政部门登记注册的民办非企业实行特殊工时制度的审批；  2．外国企业驻蓉办事机构、外国驻蓉领事馆以及国际组织驻蓉机构实行特殊工时制度的审批下放到成都市人力资源和社会保障行政部门管理；  3．将《关于成都市服务外包企业实行特殊工时制度有关问题的通知》（川劳社发[2009]20号）规定的成都市行政区域内符合条件且劳动用工管理规范的技术先进型服务外包企业实行特殊工时制度的审批下放到成都市人力资源和社会保障行政部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trPr>
        <w:tc>
          <w:tcPr>
            <w:tcW w:w="576" w:type="dxa"/>
            <w:vAlign w:val="center"/>
          </w:tcPr>
          <w:p>
            <w:pPr>
              <w:rPr>
                <w:b/>
              </w:rPr>
            </w:pPr>
            <w:r>
              <w:rPr>
                <w:rFonts w:hint="eastAsia"/>
                <w:b/>
              </w:rPr>
              <w:t>责任主体</w:t>
            </w:r>
          </w:p>
        </w:tc>
        <w:tc>
          <w:tcPr>
            <w:tcW w:w="8126" w:type="dxa"/>
            <w:vAlign w:val="center"/>
          </w:tcPr>
          <w:p>
            <w:pPr>
              <w:jc w:val="center"/>
            </w:pPr>
            <w:r>
              <w:rPr>
                <w:rFonts w:hint="eastAsia"/>
              </w:rPr>
              <w:t>阿坝县人力资源和社会保障局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2" w:hRule="atLeast"/>
        </w:trPr>
        <w:tc>
          <w:tcPr>
            <w:tcW w:w="576" w:type="dxa"/>
            <w:vAlign w:val="center"/>
          </w:tcPr>
          <w:p>
            <w:pPr>
              <w:rPr>
                <w:b/>
              </w:rPr>
            </w:pPr>
            <w:r>
              <w:rPr>
                <w:rFonts w:hint="eastAsia"/>
                <w:b/>
              </w:rPr>
              <w:t>责任事项</w:t>
            </w:r>
          </w:p>
        </w:tc>
        <w:tc>
          <w:tcPr>
            <w:tcW w:w="8126" w:type="dxa"/>
            <w:vAlign w:val="center"/>
          </w:tcPr>
          <w:p>
            <w:pPr>
              <w:spacing w:line="240" w:lineRule="exact"/>
              <w:jc w:val="left"/>
              <w:rPr>
                <w:rFonts w:ascii="宋体" w:cs="仿宋_GB2312"/>
                <w:sz w:val="18"/>
                <w:szCs w:val="18"/>
              </w:rPr>
            </w:pPr>
            <w:r>
              <w:rPr>
                <w:rFonts w:ascii="宋体" w:hAnsi="宋体" w:cs="仿宋_GB2312"/>
                <w:sz w:val="18"/>
                <w:szCs w:val="18"/>
              </w:rPr>
              <w:t>1.</w:t>
            </w:r>
            <w:r>
              <w:rPr>
                <w:rFonts w:hint="eastAsia" w:ascii="宋体" w:hAnsi="宋体" w:cs="仿宋_GB2312"/>
                <w:sz w:val="18"/>
                <w:szCs w:val="18"/>
              </w:rPr>
              <w:t>受理责任：公示应当提交的材料，一次性告知补正材料，依法受理或不予受理（不予受理应当告知理由）。</w:t>
            </w:r>
          </w:p>
          <w:p>
            <w:pPr>
              <w:spacing w:line="240" w:lineRule="exact"/>
              <w:jc w:val="left"/>
              <w:rPr>
                <w:rFonts w:ascii="宋体" w:cs="仿宋_GB2312"/>
                <w:sz w:val="18"/>
                <w:szCs w:val="18"/>
              </w:rPr>
            </w:pPr>
            <w:r>
              <w:rPr>
                <w:rFonts w:ascii="宋体" w:hAnsi="宋体" w:cs="仿宋_GB2312"/>
                <w:sz w:val="18"/>
                <w:szCs w:val="18"/>
              </w:rPr>
              <w:t>2.</w:t>
            </w:r>
            <w:r>
              <w:rPr>
                <w:rFonts w:hint="eastAsia" w:ascii="宋体" w:hAnsi="宋体" w:cs="仿宋_GB2312"/>
                <w:sz w:val="18"/>
                <w:szCs w:val="18"/>
              </w:rPr>
              <w:t>审查责任：根据《四川省劳动和社会保障厅〈关于加强对用人单位实行特殊工时制度管理有关问题的通知〉》（川劳社办［</w:t>
            </w:r>
            <w:r>
              <w:rPr>
                <w:rFonts w:ascii="宋体" w:hAnsi="宋体" w:cs="仿宋_GB2312"/>
                <w:sz w:val="18"/>
                <w:szCs w:val="18"/>
              </w:rPr>
              <w:t>2008</w:t>
            </w:r>
            <w:r>
              <w:rPr>
                <w:rFonts w:hint="eastAsia" w:ascii="宋体" w:hAnsi="宋体" w:cs="仿宋_GB2312"/>
                <w:sz w:val="18"/>
                <w:szCs w:val="18"/>
              </w:rPr>
              <w:t>］</w:t>
            </w:r>
            <w:r>
              <w:rPr>
                <w:rFonts w:ascii="宋体" w:hAnsi="宋体" w:cs="仿宋_GB2312"/>
                <w:sz w:val="18"/>
                <w:szCs w:val="18"/>
              </w:rPr>
              <w:t>44</w:t>
            </w:r>
            <w:r>
              <w:rPr>
                <w:rFonts w:hint="eastAsia" w:ascii="宋体" w:hAnsi="宋体" w:cs="仿宋_GB2312"/>
                <w:sz w:val="18"/>
                <w:szCs w:val="18"/>
              </w:rPr>
              <w:t>号）规定，对用人单位提供的书面申请材料进行审查，必要时可进行实地核查，并征求职工代表意见。</w:t>
            </w:r>
          </w:p>
          <w:p>
            <w:pPr>
              <w:spacing w:line="240" w:lineRule="exact"/>
              <w:jc w:val="left"/>
              <w:rPr>
                <w:rFonts w:ascii="宋体" w:cs="仿宋_GB2312"/>
                <w:sz w:val="18"/>
                <w:szCs w:val="18"/>
              </w:rPr>
            </w:pPr>
            <w:r>
              <w:rPr>
                <w:rFonts w:ascii="宋体" w:hAnsi="宋体" w:cs="仿宋_GB2312"/>
                <w:sz w:val="18"/>
                <w:szCs w:val="18"/>
              </w:rPr>
              <w:t>3.</w:t>
            </w:r>
            <w:r>
              <w:rPr>
                <w:rFonts w:hint="eastAsia" w:ascii="宋体" w:hAnsi="宋体" w:cs="仿宋_GB2312"/>
                <w:sz w:val="18"/>
                <w:szCs w:val="18"/>
              </w:rPr>
              <w:t>决定责任：作出行政许可或者不予行政许可决定，法定告知（不予许可的应当书面告知理由）。</w:t>
            </w:r>
          </w:p>
          <w:p>
            <w:pPr>
              <w:spacing w:line="240" w:lineRule="exact"/>
              <w:jc w:val="left"/>
              <w:rPr>
                <w:rFonts w:ascii="宋体" w:cs="仿宋_GB2312"/>
                <w:sz w:val="18"/>
                <w:szCs w:val="18"/>
              </w:rPr>
            </w:pPr>
            <w:r>
              <w:rPr>
                <w:rFonts w:ascii="宋体" w:hAnsi="宋体" w:cs="仿宋_GB2312"/>
                <w:sz w:val="18"/>
                <w:szCs w:val="18"/>
              </w:rPr>
              <w:t>4.</w:t>
            </w:r>
            <w:r>
              <w:rPr>
                <w:rFonts w:hint="eastAsia" w:ascii="宋体" w:hAnsi="宋体" w:cs="仿宋_GB2312"/>
                <w:sz w:val="18"/>
                <w:szCs w:val="18"/>
              </w:rPr>
              <w:t>事后监管责任：建立实施监督检查的运行机制和管理制度，开展定期和不定期检查，依法采取相关处置措施。</w:t>
            </w:r>
          </w:p>
          <w:p>
            <w:pPr>
              <w:jc w:val="left"/>
            </w:pPr>
            <w:r>
              <w:rPr>
                <w:rFonts w:ascii="宋体" w:hAnsi="宋体" w:cs="仿宋_GB2312"/>
                <w:sz w:val="18"/>
                <w:szCs w:val="18"/>
              </w:rPr>
              <w:t>5.</w:t>
            </w:r>
            <w:r>
              <w:rPr>
                <w:rFonts w:hint="eastAsia" w:ascii="宋体" w:hAnsi="宋体" w:cs="仿宋_GB2312"/>
                <w:sz w:val="18"/>
                <w:szCs w:val="18"/>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6" w:hRule="atLeast"/>
        </w:trPr>
        <w:tc>
          <w:tcPr>
            <w:tcW w:w="576" w:type="dxa"/>
            <w:vAlign w:val="center"/>
          </w:tcPr>
          <w:p>
            <w:pPr>
              <w:jc w:val="center"/>
              <w:rPr>
                <w:b/>
              </w:rPr>
            </w:pPr>
            <w:r>
              <w:rPr>
                <w:rFonts w:hint="eastAsia"/>
                <w:b/>
              </w:rPr>
              <w:t>责任事项依据</w:t>
            </w:r>
          </w:p>
        </w:tc>
        <w:tc>
          <w:tcPr>
            <w:tcW w:w="8126" w:type="dxa"/>
          </w:tcPr>
          <w:p>
            <w:pPr>
              <w:spacing w:line="340" w:lineRule="exact"/>
              <w:ind w:firstLine="360" w:firstLineChars="200"/>
              <w:rPr>
                <w:rFonts w:ascii="宋体" w:hAnsi="宋体" w:cs="宋体"/>
                <w:szCs w:val="21"/>
              </w:rPr>
            </w:pPr>
            <w:r>
              <w:rPr>
                <w:rFonts w:ascii="宋体" w:hAnsi="宋体" w:cs="仿宋_GB2312"/>
                <w:sz w:val="18"/>
                <w:szCs w:val="18"/>
              </w:rPr>
              <w:t xml:space="preserve">  </w:t>
            </w: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jc w:val="left"/>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4" w:hRule="atLeast"/>
        </w:trPr>
        <w:tc>
          <w:tcPr>
            <w:tcW w:w="576" w:type="dxa"/>
            <w:vAlign w:val="center"/>
          </w:tcPr>
          <w:p>
            <w:pPr>
              <w:rPr>
                <w:b/>
              </w:rPr>
            </w:pPr>
            <w:r>
              <w:rPr>
                <w:rFonts w:hint="eastAsia"/>
                <w:b/>
              </w:rPr>
              <w:t>问责依据</w:t>
            </w:r>
          </w:p>
        </w:tc>
        <w:tc>
          <w:tcPr>
            <w:tcW w:w="8126" w:type="dxa"/>
          </w:tcPr>
          <w:p>
            <w:pPr>
              <w:jc w:val="left"/>
            </w:pPr>
            <w:r>
              <w:t xml:space="preserve">    </w:t>
            </w:r>
          </w:p>
          <w:p>
            <w:pPr>
              <w:jc w:val="left"/>
            </w:pPr>
            <w:r>
              <w:t xml:space="preserve">    </w:t>
            </w:r>
            <w:r>
              <w:rPr>
                <w:rFonts w:hint="eastAsia"/>
              </w:rPr>
              <w:t>对不履行或不正确履行行政职责的行政机关及其工作人员，依据《中华人民共和国监察法》、《行政机关公务员处分条例》、《四川省行政执法监督条例》、《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6" w:hRule="atLeast"/>
        </w:trPr>
        <w:tc>
          <w:tcPr>
            <w:tcW w:w="576" w:type="dxa"/>
            <w:vAlign w:val="center"/>
          </w:tcPr>
          <w:p>
            <w:pPr>
              <w:rPr>
                <w:b/>
              </w:rPr>
            </w:pPr>
            <w:r>
              <w:rPr>
                <w:rFonts w:hint="eastAsia"/>
                <w:b/>
              </w:rPr>
              <w:t>监督电话</w:t>
            </w:r>
          </w:p>
        </w:tc>
        <w:tc>
          <w:tcPr>
            <w:tcW w:w="8126" w:type="dxa"/>
            <w:vAlign w:val="center"/>
          </w:tcPr>
          <w:p>
            <w:pPr>
              <w:jc w:val="center"/>
              <w:rPr>
                <w:rFonts w:ascii="宋体" w:hAnsi="宋体"/>
              </w:rPr>
            </w:pPr>
            <w:r>
              <w:rPr>
                <w:rFonts w:ascii="宋体" w:hAnsi="宋体"/>
              </w:rPr>
              <w:t>0837-2482487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576" w:type="dxa"/>
            <w:vAlign w:val="center"/>
          </w:tcPr>
          <w:p>
            <w:pPr>
              <w:jc w:val="center"/>
              <w:rPr>
                <w:b/>
              </w:rPr>
            </w:pPr>
            <w:r>
              <w:rPr>
                <w:rFonts w:hint="eastAsia"/>
                <w:b/>
              </w:rPr>
              <w:t>序</w:t>
            </w:r>
            <w:r>
              <w:rPr>
                <w:b/>
              </w:rPr>
              <w:t xml:space="preserve">    </w:t>
            </w:r>
            <w:r>
              <w:rPr>
                <w:rFonts w:hint="eastAsia"/>
                <w:b/>
              </w:rPr>
              <w:t>号</w:t>
            </w:r>
          </w:p>
        </w:tc>
        <w:tc>
          <w:tcPr>
            <w:tcW w:w="8126" w:type="dxa"/>
            <w:vAlign w:val="center"/>
          </w:tcPr>
          <w:p>
            <w:pPr>
              <w:jc w:val="cente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576" w:type="dxa"/>
            <w:vAlign w:val="center"/>
          </w:tcPr>
          <w:p>
            <w:pPr>
              <w:jc w:val="center"/>
              <w:rPr>
                <w:b/>
              </w:rPr>
            </w:pPr>
            <w:r>
              <w:rPr>
                <w:rFonts w:hint="eastAsia"/>
                <w:b/>
              </w:rPr>
              <w:t>权利类型</w:t>
            </w:r>
          </w:p>
        </w:tc>
        <w:tc>
          <w:tcPr>
            <w:tcW w:w="8126" w:type="dxa"/>
            <w:vAlign w:val="center"/>
          </w:tcPr>
          <w:p>
            <w:pPr>
              <w:jc w:val="center"/>
            </w:pPr>
            <w:r>
              <w:rPr>
                <w:rFonts w:hint="eastAsia"/>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8" w:hRule="atLeast"/>
        </w:trPr>
        <w:tc>
          <w:tcPr>
            <w:tcW w:w="576" w:type="dxa"/>
            <w:vAlign w:val="center"/>
          </w:tcPr>
          <w:p>
            <w:pPr>
              <w:jc w:val="center"/>
              <w:rPr>
                <w:b/>
              </w:rPr>
            </w:pPr>
            <w:r>
              <w:rPr>
                <w:rFonts w:hint="eastAsia"/>
                <w:b/>
              </w:rPr>
              <w:t>权力项目名称</w:t>
            </w:r>
          </w:p>
        </w:tc>
        <w:tc>
          <w:tcPr>
            <w:tcW w:w="8126" w:type="dxa"/>
            <w:vAlign w:val="center"/>
          </w:tcPr>
          <w:p>
            <w:pPr>
              <w:jc w:val="center"/>
            </w:pPr>
            <w:r>
              <w:rPr>
                <w:rFonts w:hint="eastAsia"/>
                <w:color w:val="000000" w:themeColor="text1"/>
                <w14:textFill>
                  <w14:solidFill>
                    <w14:schemeClr w14:val="tx1"/>
                  </w14:solidFill>
                </w14:textFill>
              </w:rPr>
              <w:t>劳务派遣经营许可〔仅限经市（州）人力资源社会保障部门授权的县（市、区）〕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6" w:hRule="atLeast"/>
        </w:trPr>
        <w:tc>
          <w:tcPr>
            <w:tcW w:w="576" w:type="dxa"/>
            <w:vAlign w:val="center"/>
          </w:tcPr>
          <w:p>
            <w:pPr>
              <w:rPr>
                <w:b/>
              </w:rPr>
            </w:pPr>
            <w:r>
              <w:rPr>
                <w:rFonts w:hint="eastAsia"/>
                <w:b/>
              </w:rPr>
              <w:t>实施依据</w:t>
            </w:r>
          </w:p>
        </w:tc>
        <w:tc>
          <w:tcPr>
            <w:tcW w:w="8126" w:type="dxa"/>
            <w:vAlign w:val="center"/>
          </w:tcPr>
          <w:p>
            <w:pPr>
              <w:jc w:val="left"/>
            </w:pPr>
            <w:r>
              <w:rPr>
                <w:rFonts w:hint="eastAsia"/>
              </w:rPr>
              <w:t>《劳动合同法》</w:t>
            </w:r>
            <w:r>
              <w:rPr>
                <w:rFonts w:hint="eastAsia"/>
                <w:lang w:eastAsia="zh-CN"/>
              </w:rPr>
              <w:t>第五十七条：“经营劳务派遣业务，应当向劳动行政部门依法申请行政许可。”；《劳务派遣行政许可实施办法》第三条：“县级以上地方人力资源社会保障行政部门按照省、自治区、直辖市人力资源社会保障行政部门确定的许可管辖分工，负责实施本行政区域内劳务派遣行政许可工作以及相应的监督检查”、第六条：“经营劳务派遣业务，应当向所在地有许可管辖权的人力资源社会保障行政部门依法申请行政许可。”；《四川省人力资源和社会保障厅关于做好省政府下放第三批行政审批项目衔接工作的通知》第一条第六款：“将《关于贯彻落实〈劳务派遣行政许可实施办法〉的实施意见》（川人社发[2013]40号）规定的省级以上工商部门登记、注册的在蓉企业申请经营劳务派遣业务的行政许可及监督检查下放到成都市人力资源社会保障行政部门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trPr>
        <w:tc>
          <w:tcPr>
            <w:tcW w:w="576" w:type="dxa"/>
            <w:vAlign w:val="center"/>
          </w:tcPr>
          <w:p>
            <w:pPr>
              <w:rPr>
                <w:b/>
              </w:rPr>
            </w:pPr>
            <w:r>
              <w:rPr>
                <w:rFonts w:hint="eastAsia"/>
                <w:b/>
              </w:rPr>
              <w:t>责任主体</w:t>
            </w:r>
          </w:p>
        </w:tc>
        <w:tc>
          <w:tcPr>
            <w:tcW w:w="8126" w:type="dxa"/>
            <w:vAlign w:val="center"/>
          </w:tcPr>
          <w:p>
            <w:pPr>
              <w:jc w:val="center"/>
            </w:pPr>
            <w:r>
              <w:rPr>
                <w:rFonts w:hint="eastAsia"/>
              </w:rPr>
              <w:t>阿坝县人力资源和社会保障局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0" w:hRule="atLeast"/>
        </w:trPr>
        <w:tc>
          <w:tcPr>
            <w:tcW w:w="576" w:type="dxa"/>
            <w:vAlign w:val="center"/>
          </w:tcPr>
          <w:p>
            <w:pPr>
              <w:rPr>
                <w:b/>
              </w:rPr>
            </w:pPr>
            <w:r>
              <w:rPr>
                <w:rFonts w:hint="eastAsia"/>
                <w:b/>
              </w:rPr>
              <w:t>责任事项</w:t>
            </w:r>
          </w:p>
        </w:tc>
        <w:tc>
          <w:tcPr>
            <w:tcW w:w="8126" w:type="dxa"/>
            <w:vAlign w:val="center"/>
          </w:tcPr>
          <w:p>
            <w:pPr>
              <w:spacing w:line="240" w:lineRule="exact"/>
              <w:jc w:val="left"/>
              <w:rPr>
                <w:rFonts w:ascii="宋体" w:cs="仿宋_GB2312"/>
                <w:sz w:val="18"/>
                <w:szCs w:val="18"/>
              </w:rPr>
            </w:pPr>
            <w:r>
              <w:rPr>
                <w:rFonts w:ascii="宋体" w:hAnsi="宋体" w:cs="仿宋_GB2312"/>
                <w:sz w:val="18"/>
                <w:szCs w:val="18"/>
              </w:rPr>
              <w:t>1.</w:t>
            </w:r>
            <w:r>
              <w:rPr>
                <w:rFonts w:hint="eastAsia" w:ascii="宋体" w:hAnsi="宋体" w:cs="仿宋_GB2312"/>
                <w:sz w:val="18"/>
                <w:szCs w:val="18"/>
              </w:rPr>
              <w:t>受理责任：公示应当提交的材料，一次性告知补正材料，依法受理或不予受理（不予受理应当告知理由）。</w:t>
            </w:r>
          </w:p>
          <w:p>
            <w:pPr>
              <w:spacing w:line="240" w:lineRule="exact"/>
              <w:jc w:val="left"/>
              <w:rPr>
                <w:rFonts w:ascii="宋体" w:cs="仿宋_GB2312"/>
                <w:sz w:val="18"/>
                <w:szCs w:val="18"/>
              </w:rPr>
            </w:pPr>
            <w:r>
              <w:rPr>
                <w:rFonts w:ascii="宋体" w:hAnsi="宋体" w:cs="仿宋_GB2312"/>
                <w:sz w:val="18"/>
                <w:szCs w:val="18"/>
              </w:rPr>
              <w:t>2.</w:t>
            </w:r>
            <w:r>
              <w:rPr>
                <w:rFonts w:hint="eastAsia" w:ascii="宋体" w:hAnsi="宋体" w:cs="仿宋_GB2312"/>
                <w:sz w:val="18"/>
                <w:szCs w:val="18"/>
              </w:rPr>
              <w:t>审查责任：按照《劳务派遣行政许可实施办法》，对书面申请材料进行审查，提出是否同意许可的审核意见，</w:t>
            </w:r>
            <w:r>
              <w:rPr>
                <w:rFonts w:hint="eastAsia" w:ascii="宋体" w:hAnsi="宋体"/>
                <w:color w:val="000000"/>
                <w:sz w:val="18"/>
                <w:szCs w:val="18"/>
              </w:rPr>
              <w:t>决定受理的，应当出具《受理决定书》；决定不予受理的，应当出具《不予受理决定书》，说明不予受理的理由，并告知申请人享有依法申请行政复议或者提起行政诉讼的权利。</w:t>
            </w:r>
          </w:p>
          <w:p>
            <w:pPr>
              <w:spacing w:line="240" w:lineRule="exact"/>
              <w:jc w:val="left"/>
              <w:rPr>
                <w:rFonts w:ascii="宋体" w:cs="仿宋_GB2312"/>
                <w:sz w:val="18"/>
                <w:szCs w:val="18"/>
              </w:rPr>
            </w:pPr>
            <w:r>
              <w:rPr>
                <w:rFonts w:ascii="宋体" w:hAnsi="宋体" w:cs="仿宋_GB2312"/>
                <w:sz w:val="18"/>
                <w:szCs w:val="18"/>
              </w:rPr>
              <w:t>3.</w:t>
            </w:r>
            <w:r>
              <w:rPr>
                <w:rFonts w:hint="eastAsia" w:ascii="宋体" w:hAnsi="宋体" w:cs="仿宋_GB2312"/>
                <w:sz w:val="18"/>
                <w:szCs w:val="18"/>
              </w:rPr>
              <w:t>决定责任：作出行政许可或者不予行政许可决定，法定告知（不予许可的应当书面告知理由）。</w:t>
            </w:r>
          </w:p>
          <w:p>
            <w:pPr>
              <w:spacing w:line="240" w:lineRule="exact"/>
              <w:jc w:val="left"/>
              <w:rPr>
                <w:rFonts w:ascii="宋体" w:cs="仿宋_GB2312"/>
                <w:sz w:val="18"/>
                <w:szCs w:val="18"/>
              </w:rPr>
            </w:pPr>
            <w:r>
              <w:rPr>
                <w:rFonts w:ascii="宋体" w:hAnsi="宋体" w:cs="仿宋_GB2312"/>
                <w:sz w:val="18"/>
                <w:szCs w:val="18"/>
              </w:rPr>
              <w:t>4.</w:t>
            </w:r>
            <w:r>
              <w:rPr>
                <w:rFonts w:hint="eastAsia" w:ascii="宋体" w:hAnsi="宋体" w:cs="仿宋_GB2312"/>
                <w:sz w:val="18"/>
                <w:szCs w:val="18"/>
              </w:rPr>
              <w:t>事后监管责任：建立实施监督检查的运行机制和管理制度，开展定期和不定期检查，依法采取相关处置措施。</w:t>
            </w:r>
          </w:p>
          <w:p>
            <w:pPr>
              <w:jc w:val="left"/>
            </w:pPr>
            <w:r>
              <w:rPr>
                <w:rFonts w:ascii="宋体" w:hAnsi="宋体" w:cs="仿宋_GB2312"/>
                <w:sz w:val="18"/>
                <w:szCs w:val="18"/>
              </w:rPr>
              <w:t>5.</w:t>
            </w:r>
            <w:r>
              <w:rPr>
                <w:rFonts w:hint="eastAsia" w:ascii="宋体" w:hAnsi="宋体" w:cs="仿宋_GB2312"/>
                <w:sz w:val="18"/>
                <w:szCs w:val="18"/>
              </w:rPr>
              <w:t>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6" w:hRule="atLeast"/>
        </w:trPr>
        <w:tc>
          <w:tcPr>
            <w:tcW w:w="576" w:type="dxa"/>
            <w:vAlign w:val="center"/>
          </w:tcPr>
          <w:p>
            <w:pPr>
              <w:jc w:val="center"/>
              <w:rPr>
                <w:b/>
              </w:rPr>
            </w:pPr>
            <w:r>
              <w:rPr>
                <w:rFonts w:hint="eastAsia"/>
                <w:b/>
              </w:rPr>
              <w:t>责任事项依据</w:t>
            </w:r>
          </w:p>
        </w:tc>
        <w:tc>
          <w:tcPr>
            <w:tcW w:w="8126" w:type="dxa"/>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jc w:val="left"/>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3" w:hRule="atLeast"/>
        </w:trPr>
        <w:tc>
          <w:tcPr>
            <w:tcW w:w="576" w:type="dxa"/>
            <w:vAlign w:val="center"/>
          </w:tcPr>
          <w:p>
            <w:pPr>
              <w:rPr>
                <w:b/>
              </w:rPr>
            </w:pPr>
            <w:r>
              <w:rPr>
                <w:rFonts w:hint="eastAsia"/>
                <w:b/>
              </w:rPr>
              <w:t>问责依据</w:t>
            </w:r>
          </w:p>
        </w:tc>
        <w:tc>
          <w:tcPr>
            <w:tcW w:w="8126" w:type="dxa"/>
          </w:tcPr>
          <w:p>
            <w:pPr>
              <w:jc w:val="left"/>
            </w:pPr>
            <w:r>
              <w:t xml:space="preserve">    </w:t>
            </w:r>
            <w:r>
              <w:rPr>
                <w:rFonts w:hint="eastAsia"/>
              </w:rPr>
              <w:t>对不履行或不正确履行行政职责的行政机关及其工作人员，依据《中华人民共和国监察法》、《行政机关公务员处分条例》、《四川省行政执法监督条例》、《四川省行政机关工作人员行政过错责任追究试行办法》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576" w:type="dxa"/>
            <w:vAlign w:val="center"/>
          </w:tcPr>
          <w:p>
            <w:pPr>
              <w:rPr>
                <w:b/>
              </w:rPr>
            </w:pPr>
            <w:r>
              <w:rPr>
                <w:rFonts w:hint="eastAsia"/>
                <w:b/>
              </w:rPr>
              <w:t>监督电话</w:t>
            </w:r>
          </w:p>
        </w:tc>
        <w:tc>
          <w:tcPr>
            <w:tcW w:w="8126" w:type="dxa"/>
            <w:vAlign w:val="center"/>
          </w:tcPr>
          <w:p>
            <w:pPr>
              <w:jc w:val="center"/>
              <w:rPr>
                <w:rFonts w:ascii="宋体" w:hAnsi="宋体"/>
              </w:rPr>
            </w:pPr>
            <w:r>
              <w:rPr>
                <w:rFonts w:ascii="宋体" w:hAnsi="宋体"/>
              </w:rPr>
              <w:t>0837-2482487</w:t>
            </w:r>
          </w:p>
        </w:tc>
      </w:tr>
    </w:tbl>
    <w:p/>
    <w:p/>
    <w:p/>
    <w:p/>
    <w:p>
      <w:pPr>
        <w:rPr>
          <w:rFonts w:hint="eastAsia"/>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B1601A"/>
    <w:rsid w:val="020B6A39"/>
    <w:rsid w:val="03DE65E8"/>
    <w:rsid w:val="074862F1"/>
    <w:rsid w:val="130E6725"/>
    <w:rsid w:val="194C66D2"/>
    <w:rsid w:val="26174DA3"/>
    <w:rsid w:val="2C4E4909"/>
    <w:rsid w:val="3E8D0F56"/>
    <w:rsid w:val="3FFB2A8E"/>
    <w:rsid w:val="4F851586"/>
    <w:rsid w:val="577642B7"/>
    <w:rsid w:val="5F046CB2"/>
    <w:rsid w:val="623C3801"/>
    <w:rsid w:val="65CE374A"/>
    <w:rsid w:val="72162BFB"/>
    <w:rsid w:val="7DB16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rFonts w:cs="Times New Roman"/>
      <w:b/>
      <w:bCs/>
    </w:rPr>
  </w:style>
  <w:style w:type="character" w:styleId="6">
    <w:name w:val="Hyperlink"/>
    <w:basedOn w:val="4"/>
    <w:qFormat/>
    <w:uiPriority w:val="0"/>
    <w:rPr>
      <w:rFonts w:cs="Times New Roman"/>
      <w:color w:val="595757"/>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2018-04-10T08:31:00Z</dcterms:created>
  <dc:creator>Administrator</dc:creator>
  <cp:lastModifiedBy>Administrator</cp:lastModifiedBy>
  <cp:lastPrinted>2018-04-11T06:22:00Z</cp:lastPrinted>
  <dcterms:modified xsi:type="dcterms:W3CDTF">2018-05-09T03:48:53Z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