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eastAsiaTheme="minorEastAsia"/>
          <w:b/>
          <w:szCs w:val="21"/>
        </w:rPr>
      </w:pPr>
      <w:bookmarkStart w:id="0" w:name="_GoBack"/>
      <w:bookmarkEnd w:id="0"/>
      <w:r>
        <w:rPr>
          <w:rFonts w:hint="eastAsia" w:ascii="宋体" w:hAnsi="宋体"/>
          <w:b/>
          <w:sz w:val="44"/>
          <w:szCs w:val="44"/>
        </w:rPr>
        <w:t>阿坝县公安局2018年行政责任清单</w:t>
      </w:r>
    </w:p>
    <w:p>
      <w:pPr>
        <w:jc w:val="center"/>
        <w:rPr>
          <w:rFonts w:asciiTheme="minorEastAsia" w:hAnsiTheme="minorEastAsia" w:eastAsiaTheme="minorEastAsia"/>
          <w:b/>
          <w:szCs w:val="21"/>
        </w:rPr>
      </w:pPr>
    </w:p>
    <w:tbl>
      <w:tblPr>
        <w:tblStyle w:val="8"/>
        <w:tblW w:w="9923" w:type="dxa"/>
        <w:tblInd w:w="-74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77" w:hRule="atLeast"/>
        </w:trPr>
        <w:tc>
          <w:tcPr>
            <w:tcW w:w="567" w:type="dxa"/>
          </w:tcPr>
          <w:p>
            <w:pPr>
              <w:rPr>
                <w:rFonts w:asciiTheme="minorEastAsia" w:hAnsiTheme="minorEastAsia" w:eastAsiaTheme="minorEastAsia"/>
                <w:szCs w:val="21"/>
              </w:rPr>
            </w:pPr>
          </w:p>
          <w:p>
            <w:pPr>
              <w:rPr>
                <w:rFonts w:asciiTheme="minorEastAsia" w:hAnsiTheme="minorEastAsia" w:eastAsiaTheme="minorEastAsia"/>
                <w:szCs w:val="21"/>
              </w:rPr>
            </w:pPr>
          </w:p>
          <w:p>
            <w:pPr>
              <w:rPr>
                <w:rFonts w:asciiTheme="minorEastAsia" w:hAnsiTheme="minorEastAsia" w:eastAsiaTheme="minorEastAsia"/>
                <w:szCs w:val="21"/>
              </w:rPr>
            </w:pPr>
          </w:p>
          <w:p>
            <w:pPr>
              <w:rPr>
                <w:rFonts w:asciiTheme="minorEastAsia" w:hAnsiTheme="minorEastAsia" w:eastAsiaTheme="minorEastAsia"/>
                <w:szCs w:val="21"/>
              </w:rPr>
            </w:pPr>
          </w:p>
          <w:p>
            <w:pPr>
              <w:rPr>
                <w:rFonts w:asciiTheme="minorEastAsia" w:hAnsiTheme="minorEastAsia" w:eastAsiaTheme="minorEastAsia"/>
                <w:szCs w:val="21"/>
              </w:rPr>
            </w:pPr>
          </w:p>
          <w:p>
            <w:pPr>
              <w:rPr>
                <w:rFonts w:asciiTheme="minorEastAsia" w:hAnsiTheme="minorEastAsia" w:eastAsiaTheme="minorEastAsia"/>
                <w:szCs w:val="21"/>
              </w:rPr>
            </w:pPr>
          </w:p>
          <w:p>
            <w:pPr>
              <w:rPr>
                <w:rFonts w:asciiTheme="minorEastAsia" w:hAnsiTheme="minorEastAsia" w:eastAsiaTheme="minorEastAsia"/>
                <w:szCs w:val="21"/>
              </w:rPr>
            </w:pPr>
          </w:p>
          <w:p>
            <w:pPr>
              <w:rPr>
                <w:rFonts w:asciiTheme="minorEastAsia" w:hAnsiTheme="minorEastAsia" w:eastAsiaTheme="minorEastAsia"/>
                <w:szCs w:val="21"/>
              </w:rPr>
            </w:pPr>
          </w:p>
          <w:p>
            <w:pPr>
              <w:rPr>
                <w:rFonts w:asciiTheme="minorEastAsia" w:hAnsiTheme="minorEastAsia" w:eastAsiaTheme="minorEastAsia"/>
                <w:b/>
                <w:szCs w:val="21"/>
              </w:rPr>
            </w:pPr>
            <w:r>
              <w:rPr>
                <w:rFonts w:hint="eastAsia" w:asciiTheme="minorEastAsia" w:hAnsiTheme="minorEastAsia" w:eastAsiaTheme="minorEastAsia"/>
                <w:b/>
                <w:szCs w:val="21"/>
              </w:rPr>
              <w:t>主</w:t>
            </w:r>
          </w:p>
          <w:p>
            <w:pPr>
              <w:rPr>
                <w:rFonts w:asciiTheme="minorEastAsia" w:hAnsiTheme="minorEastAsia" w:eastAsiaTheme="minorEastAsia"/>
                <w:b/>
                <w:szCs w:val="21"/>
              </w:rPr>
            </w:pPr>
          </w:p>
          <w:p>
            <w:pPr>
              <w:rPr>
                <w:rFonts w:asciiTheme="minorEastAsia" w:hAnsiTheme="minorEastAsia" w:eastAsiaTheme="minorEastAsia"/>
                <w:b/>
                <w:szCs w:val="21"/>
              </w:rPr>
            </w:pPr>
            <w:r>
              <w:rPr>
                <w:rFonts w:hint="eastAsia" w:asciiTheme="minorEastAsia" w:hAnsiTheme="minorEastAsia" w:eastAsiaTheme="minorEastAsia"/>
                <w:b/>
                <w:szCs w:val="21"/>
              </w:rPr>
              <w:t>体</w:t>
            </w:r>
          </w:p>
          <w:p>
            <w:pPr>
              <w:rPr>
                <w:rFonts w:asciiTheme="minorEastAsia" w:hAnsiTheme="minorEastAsia" w:eastAsiaTheme="minorEastAsia"/>
                <w:b/>
                <w:szCs w:val="21"/>
              </w:rPr>
            </w:pPr>
          </w:p>
          <w:p>
            <w:pPr>
              <w:rPr>
                <w:rFonts w:asciiTheme="minorEastAsia" w:hAnsiTheme="minorEastAsia" w:eastAsiaTheme="minorEastAsia"/>
                <w:b/>
                <w:szCs w:val="21"/>
              </w:rPr>
            </w:pPr>
            <w:r>
              <w:rPr>
                <w:rFonts w:hint="eastAsia" w:asciiTheme="minorEastAsia" w:hAnsiTheme="minorEastAsia" w:eastAsiaTheme="minorEastAsia"/>
                <w:b/>
                <w:szCs w:val="21"/>
              </w:rPr>
              <w:t>责</w:t>
            </w:r>
          </w:p>
          <w:p>
            <w:pPr>
              <w:rPr>
                <w:rFonts w:asciiTheme="minorEastAsia" w:hAnsiTheme="minorEastAsia" w:eastAsiaTheme="minorEastAsia"/>
                <w:b/>
                <w:szCs w:val="21"/>
              </w:rPr>
            </w:pPr>
          </w:p>
          <w:p>
            <w:pPr>
              <w:rPr>
                <w:rFonts w:asciiTheme="minorEastAsia" w:hAnsiTheme="minorEastAsia" w:eastAsiaTheme="minorEastAsia"/>
                <w:szCs w:val="21"/>
              </w:rPr>
            </w:pPr>
            <w:r>
              <w:rPr>
                <w:rFonts w:hint="eastAsia" w:asciiTheme="minorEastAsia" w:hAnsiTheme="minorEastAsia" w:eastAsiaTheme="minorEastAsia"/>
                <w:b/>
                <w:szCs w:val="21"/>
              </w:rPr>
              <w:t>任</w:t>
            </w:r>
          </w:p>
        </w:tc>
        <w:tc>
          <w:tcPr>
            <w:tcW w:w="9356" w:type="dxa"/>
          </w:tcPr>
          <w:p>
            <w:pPr>
              <w:pStyle w:val="14"/>
              <w:numPr>
                <w:ilvl w:val="0"/>
                <w:numId w:val="1"/>
              </w:numPr>
              <w:ind w:firstLineChars="0"/>
              <w:rPr>
                <w:rFonts w:asciiTheme="minorEastAsia" w:hAnsiTheme="minorEastAsia" w:eastAsiaTheme="minorEastAsia"/>
                <w:b/>
                <w:szCs w:val="21"/>
              </w:rPr>
            </w:pPr>
            <w:r>
              <w:rPr>
                <w:rFonts w:hint="eastAsia" w:asciiTheme="minorEastAsia" w:hAnsiTheme="minorEastAsia" w:eastAsiaTheme="minorEastAsia"/>
                <w:b/>
                <w:szCs w:val="21"/>
              </w:rPr>
              <w:t>主要职责：</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（一）贯彻执行国家公安工作的方针、政策、法律、法规、规章，组织部署、指导、监督、检查全县公安工作；负责本系统，本部门依法行政工作，落实行政执法责任。</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（二）收集掌握影响社会稳定，危害国家安全和社会治安的情况，分析研判形势、制定对策。</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（三）组织全县公安机关应急管理、社会公共事件的处置工作。组织指挥反分裂反自焚防集聚等情报、防范、侦察和应急处置工作。</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（四）负责全县公安法制建设、按管辖办理案件审批、行政诉讼、行政复议工作，组织实施执法监督，依法实施行政许可，行政审批工作。</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（五）组织指挥全县公安侦查工作；协调、指挥、侦破重大案件，处置治安灾害事故、骚扰和群体性突发事件；组织实施重大活动的安全保卫工作。</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（六 ）组织指挥全县公安机关查处危害社会治安秩序行为；依法管理户口、居民身份证、枪支弹药、危险物品、特种行业、娱乐场所等工作；依法管理集会、游行、示威活动；组织全县公安机关对国家机关、社会团体、企事业单位和重点建设工程的治安保卫工作以及群众性组织的治安防范工作。</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（七）组织指挥全县道路交通管理工作并承担相应责任。维护道路交通安全、交通秩序；处置重特大交通事故；依法管理机动车辆（不含拖拉机）和驾驶人员。</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（八）组织指挥全县消防监督、火灾预防、火灾扑救工作和公安应急抢险救援工作。</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（九）组织指挥全县公安警卫业务工作，组织实施对有关的党和国家领导人以及重要外宾在县境内的安全警卫工作并承担相应责任。</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（十）组织指挥全县公安机关对公共信息网络的安全保护工作，负责信息安全等级保卫工作的监督、检查、指导。</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（十一）依法管理出入境和外国人在县境内拘留、旅行的有关工作。</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（十二）组织指挥县看守所、拘留所的管理与执法工作。</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（十三）组织实施全县公安科学技术工作，组织、规划全县公安机关的指挥体系、信息技术、刑事技术建设。</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（十四）拟定全县公安机关装备和经费等警务保障计划和管理制度、组织协调全县公安机关重大任务的警务保障工作。</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（十五）组织领导全县公安机关队伍建设和公安机关党风廉政建设，组织领导全县公安机关组织人事管理、民警教育训练和公安宣传工作。</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十六）组织指挥公安机关纪检监察和警务督察工作，组织领导全县公安机关督察、审计、信访、指导、监督全县公安机关及人民警察的执法活动，按规定权限实施对干部的监督，查处或督办公安队伍重大违纪案件。</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（十七）对判处管制、拘役、剥夺政治权利的罪犯和监外执行的罪犯执行刑罚，对宣告缓刑、假释的罪犯实行监督考察。</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（十八）指导县森林公安机关的业务工作。</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（十九）领导指挥武警县中队执行公安业务工作。</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（二十）承担县政府禁毒委员会、劳动教养管理委员会、反恐怖工作协调小组日常工作。</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（二十一）承担县政府公布的有关行政审批事项。</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（二十二）承办县政府和上级公安机关交办的其他事项。</w:t>
            </w:r>
          </w:p>
          <w:p>
            <w:pPr>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8" w:hRule="atLeast"/>
        </w:trPr>
        <w:tc>
          <w:tcPr>
            <w:tcW w:w="567" w:type="dxa"/>
          </w:tcPr>
          <w:p>
            <w:pPr>
              <w:jc w:val="center"/>
              <w:rPr>
                <w:rFonts w:asciiTheme="minorEastAsia" w:hAnsiTheme="minorEastAsia" w:eastAsiaTheme="minorEastAsia"/>
                <w:b/>
                <w:szCs w:val="21"/>
              </w:rPr>
            </w:pPr>
          </w:p>
          <w:p>
            <w:pPr>
              <w:jc w:val="center"/>
              <w:rPr>
                <w:rFonts w:asciiTheme="minorEastAsia" w:hAnsiTheme="minorEastAsia" w:eastAsiaTheme="minorEastAsia"/>
                <w:b/>
                <w:szCs w:val="21"/>
              </w:rPr>
            </w:pPr>
          </w:p>
          <w:p>
            <w:pPr>
              <w:jc w:val="center"/>
              <w:rPr>
                <w:rFonts w:asciiTheme="minorEastAsia" w:hAnsiTheme="minorEastAsia" w:eastAsiaTheme="minorEastAsia"/>
                <w:b/>
                <w:szCs w:val="21"/>
              </w:rPr>
            </w:pPr>
            <w:r>
              <w:rPr>
                <w:rFonts w:hint="eastAsia" w:asciiTheme="minorEastAsia" w:hAnsiTheme="minorEastAsia" w:eastAsiaTheme="minorEastAsia"/>
                <w:b/>
                <w:szCs w:val="21"/>
              </w:rPr>
              <w:t>职责边界</w:t>
            </w:r>
          </w:p>
        </w:tc>
        <w:tc>
          <w:tcPr>
            <w:tcW w:w="9356" w:type="dxa"/>
          </w:tcPr>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1、阿坝县森林公安局为林业局直属行政机构（正科级）。实行林业局和公安局双重领导的管理体制，党政工作以林业局管理为主，公安业务工作以公安局管理为主。</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2、县政府消防队为县政府直属事业机构，党政工作及业务工作以公安局管理为主。</w:t>
            </w:r>
          </w:p>
        </w:tc>
      </w:tr>
    </w:tbl>
    <w:p>
      <w:pPr>
        <w:autoSpaceDE w:val="0"/>
        <w:autoSpaceDN w:val="0"/>
        <w:adjustRightInd w:val="0"/>
        <w:spacing w:line="460" w:lineRule="exact"/>
        <w:rPr>
          <w:rFonts w:cs="黑体" w:asciiTheme="minorEastAsia" w:hAnsiTheme="minorEastAsia" w:eastAsiaTheme="minorEastAsia"/>
          <w:b/>
          <w:color w:val="000000"/>
          <w:szCs w:val="21"/>
          <w:lang w:val="zh-CN"/>
        </w:rPr>
      </w:pPr>
    </w:p>
    <w:p>
      <w:pPr>
        <w:autoSpaceDE w:val="0"/>
        <w:autoSpaceDN w:val="0"/>
        <w:adjustRightInd w:val="0"/>
        <w:spacing w:line="460" w:lineRule="exact"/>
        <w:rPr>
          <w:rFonts w:cs="黑体" w:asciiTheme="minorEastAsia" w:hAnsiTheme="minorEastAsia" w:eastAsiaTheme="minorEastAsia"/>
          <w:b/>
          <w:color w:val="000000"/>
          <w:szCs w:val="21"/>
          <w:lang w:val="zh-CN"/>
        </w:rPr>
      </w:pPr>
    </w:p>
    <w:p>
      <w:pPr>
        <w:autoSpaceDE w:val="0"/>
        <w:autoSpaceDN w:val="0"/>
        <w:adjustRightInd w:val="0"/>
        <w:spacing w:line="460" w:lineRule="exact"/>
        <w:rPr>
          <w:rFonts w:cs="黑体" w:asciiTheme="minorEastAsia" w:hAnsiTheme="minorEastAsia" w:eastAsiaTheme="minorEastAsia"/>
          <w:b/>
          <w:color w:val="000000"/>
          <w:szCs w:val="21"/>
          <w:lang w:val="zh-CN"/>
        </w:rPr>
      </w:pPr>
    </w:p>
    <w:p>
      <w:pPr>
        <w:autoSpaceDE w:val="0"/>
        <w:autoSpaceDN w:val="0"/>
        <w:adjustRightInd w:val="0"/>
        <w:spacing w:line="460" w:lineRule="exact"/>
        <w:rPr>
          <w:rFonts w:cs="黑体" w:asciiTheme="minorEastAsia" w:hAnsiTheme="minorEastAsia" w:eastAsiaTheme="minorEastAsia"/>
          <w:b/>
          <w:color w:val="000000"/>
          <w:szCs w:val="21"/>
          <w:lang w:val="zh-CN"/>
        </w:rPr>
      </w:pPr>
    </w:p>
    <w:p>
      <w:pPr>
        <w:autoSpaceDE w:val="0"/>
        <w:autoSpaceDN w:val="0"/>
        <w:adjustRightInd w:val="0"/>
        <w:spacing w:line="460" w:lineRule="exact"/>
        <w:rPr>
          <w:rFonts w:cs="黑体" w:asciiTheme="minorEastAsia" w:hAnsiTheme="minorEastAsia" w:eastAsiaTheme="minorEastAsia"/>
          <w:b/>
          <w:color w:val="000000"/>
          <w:szCs w:val="21"/>
          <w:lang w:val="zh-CN"/>
        </w:rPr>
      </w:pPr>
    </w:p>
    <w:p>
      <w:pPr>
        <w:autoSpaceDE w:val="0"/>
        <w:autoSpaceDN w:val="0"/>
        <w:adjustRightInd w:val="0"/>
        <w:spacing w:line="460" w:lineRule="exact"/>
        <w:rPr>
          <w:rFonts w:cs="黑体" w:asciiTheme="minorEastAsia" w:hAnsiTheme="minorEastAsia" w:eastAsiaTheme="minorEastAsia"/>
          <w:b/>
          <w:color w:val="000000"/>
          <w:szCs w:val="21"/>
          <w:lang w:val="zh-CN"/>
        </w:rPr>
      </w:pPr>
    </w:p>
    <w:p>
      <w:pPr>
        <w:autoSpaceDE w:val="0"/>
        <w:autoSpaceDN w:val="0"/>
        <w:adjustRightInd w:val="0"/>
        <w:spacing w:line="460" w:lineRule="exact"/>
        <w:rPr>
          <w:rFonts w:cs="黑体" w:asciiTheme="minorEastAsia" w:hAnsiTheme="minorEastAsia" w:eastAsiaTheme="minorEastAsia"/>
          <w:b/>
          <w:color w:val="000000"/>
          <w:szCs w:val="21"/>
          <w:lang w:val="zh-CN"/>
        </w:rPr>
      </w:pPr>
    </w:p>
    <w:p>
      <w:pPr>
        <w:autoSpaceDE w:val="0"/>
        <w:autoSpaceDN w:val="0"/>
        <w:adjustRightInd w:val="0"/>
        <w:spacing w:line="460" w:lineRule="exact"/>
        <w:rPr>
          <w:rFonts w:cs="黑体" w:asciiTheme="minorEastAsia" w:hAnsiTheme="minorEastAsia" w:eastAsiaTheme="minorEastAsia"/>
          <w:b/>
          <w:color w:val="000000"/>
          <w:szCs w:val="21"/>
          <w:lang w:val="zh-CN"/>
        </w:rPr>
      </w:pPr>
    </w:p>
    <w:p>
      <w:pPr>
        <w:autoSpaceDE w:val="0"/>
        <w:autoSpaceDN w:val="0"/>
        <w:adjustRightInd w:val="0"/>
        <w:spacing w:line="460" w:lineRule="exact"/>
        <w:rPr>
          <w:rFonts w:cs="黑体" w:asciiTheme="minorEastAsia" w:hAnsiTheme="minorEastAsia" w:eastAsiaTheme="minorEastAsia"/>
          <w:b/>
          <w:color w:val="000000"/>
          <w:szCs w:val="21"/>
          <w:lang w:val="zh-CN"/>
        </w:rPr>
      </w:pPr>
    </w:p>
    <w:p>
      <w:pPr>
        <w:autoSpaceDE w:val="0"/>
        <w:autoSpaceDN w:val="0"/>
        <w:adjustRightInd w:val="0"/>
        <w:spacing w:line="460" w:lineRule="exact"/>
        <w:rPr>
          <w:rFonts w:cs="黑体" w:asciiTheme="minorEastAsia" w:hAnsiTheme="minorEastAsia" w:eastAsiaTheme="minorEastAsia"/>
          <w:b/>
          <w:color w:val="000000"/>
          <w:szCs w:val="21"/>
          <w:lang w:val="zh-CN"/>
        </w:rPr>
      </w:pPr>
    </w:p>
    <w:p>
      <w:pPr>
        <w:autoSpaceDE w:val="0"/>
        <w:autoSpaceDN w:val="0"/>
        <w:adjustRightInd w:val="0"/>
        <w:spacing w:line="460" w:lineRule="exact"/>
        <w:rPr>
          <w:rFonts w:cs="黑体" w:asciiTheme="minorEastAsia" w:hAnsiTheme="minorEastAsia" w:eastAsiaTheme="minorEastAsia"/>
          <w:b/>
          <w:color w:val="000000"/>
          <w:szCs w:val="21"/>
          <w:lang w:val="zh-CN"/>
        </w:rPr>
      </w:pPr>
    </w:p>
    <w:p>
      <w:pPr>
        <w:autoSpaceDE w:val="0"/>
        <w:autoSpaceDN w:val="0"/>
        <w:adjustRightInd w:val="0"/>
        <w:spacing w:line="460" w:lineRule="exact"/>
        <w:ind w:firstLine="210" w:firstLineChars="100"/>
        <w:rPr>
          <w:rFonts w:cs="黑体" w:asciiTheme="minorEastAsia" w:hAnsiTheme="minorEastAsia" w:eastAsiaTheme="minorEastAsia"/>
          <w:b/>
          <w:color w:val="000000"/>
          <w:szCs w:val="21"/>
          <w:lang w:val="zh-CN"/>
        </w:rPr>
      </w:pPr>
    </w:p>
    <w:p>
      <w:pPr>
        <w:autoSpaceDE w:val="0"/>
        <w:autoSpaceDN w:val="0"/>
        <w:adjustRightInd w:val="0"/>
        <w:spacing w:line="460" w:lineRule="exact"/>
        <w:ind w:firstLine="210" w:firstLineChars="100"/>
        <w:rPr>
          <w:rFonts w:cs="黑体" w:asciiTheme="minorEastAsia" w:hAnsiTheme="minorEastAsia" w:eastAsiaTheme="minorEastAsia"/>
          <w:b/>
          <w:color w:val="000000"/>
          <w:szCs w:val="21"/>
          <w:lang w:val="zh-CN"/>
        </w:rPr>
      </w:pPr>
    </w:p>
    <w:p>
      <w:pPr>
        <w:autoSpaceDE w:val="0"/>
        <w:autoSpaceDN w:val="0"/>
        <w:adjustRightInd w:val="0"/>
        <w:spacing w:line="460" w:lineRule="exact"/>
        <w:ind w:firstLine="210" w:firstLineChars="100"/>
        <w:rPr>
          <w:rFonts w:cs="黑体" w:asciiTheme="minorEastAsia" w:hAnsiTheme="minorEastAsia" w:eastAsiaTheme="minorEastAsia"/>
          <w:b/>
          <w:color w:val="000000"/>
          <w:szCs w:val="21"/>
          <w:lang w:val="zh-CN"/>
        </w:rPr>
      </w:pPr>
    </w:p>
    <w:p>
      <w:pPr>
        <w:autoSpaceDE w:val="0"/>
        <w:autoSpaceDN w:val="0"/>
        <w:adjustRightInd w:val="0"/>
        <w:spacing w:line="460" w:lineRule="exact"/>
        <w:ind w:firstLine="210" w:firstLineChars="100"/>
        <w:rPr>
          <w:rFonts w:cs="黑体" w:asciiTheme="minorEastAsia" w:hAnsiTheme="minorEastAsia" w:eastAsiaTheme="minorEastAsia"/>
          <w:b/>
          <w:color w:val="000000"/>
          <w:szCs w:val="21"/>
          <w:lang w:val="zh-CN"/>
        </w:rPr>
      </w:pPr>
    </w:p>
    <w:p>
      <w:pPr>
        <w:autoSpaceDE w:val="0"/>
        <w:autoSpaceDN w:val="0"/>
        <w:adjustRightInd w:val="0"/>
        <w:spacing w:line="460" w:lineRule="exact"/>
        <w:ind w:firstLine="210" w:firstLineChars="100"/>
        <w:rPr>
          <w:rFonts w:cs="黑体" w:asciiTheme="minorEastAsia" w:hAnsiTheme="minorEastAsia" w:eastAsiaTheme="minorEastAsia"/>
          <w:b/>
          <w:color w:val="000000"/>
          <w:szCs w:val="21"/>
          <w:lang w:val="zh-CN"/>
        </w:rPr>
      </w:pPr>
    </w:p>
    <w:p>
      <w:pPr>
        <w:autoSpaceDE w:val="0"/>
        <w:autoSpaceDN w:val="0"/>
        <w:adjustRightInd w:val="0"/>
        <w:spacing w:line="460" w:lineRule="exact"/>
        <w:ind w:firstLine="210" w:firstLineChars="100"/>
        <w:rPr>
          <w:rFonts w:cs="黑体" w:asciiTheme="minorEastAsia" w:hAnsiTheme="minorEastAsia" w:eastAsiaTheme="minorEastAsia"/>
          <w:b/>
          <w:color w:val="000000"/>
          <w:szCs w:val="21"/>
          <w:lang w:val="zh-CN"/>
        </w:rPr>
      </w:pPr>
    </w:p>
    <w:p>
      <w:pPr>
        <w:autoSpaceDE w:val="0"/>
        <w:autoSpaceDN w:val="0"/>
        <w:adjustRightInd w:val="0"/>
        <w:spacing w:line="460" w:lineRule="exact"/>
        <w:ind w:firstLine="210" w:firstLineChars="100"/>
        <w:rPr>
          <w:rFonts w:cs="黑体" w:asciiTheme="minorEastAsia" w:hAnsiTheme="minorEastAsia" w:eastAsiaTheme="minorEastAsia"/>
          <w:b/>
          <w:color w:val="000000"/>
          <w:szCs w:val="21"/>
          <w:lang w:val="zh-CN"/>
        </w:rPr>
      </w:pPr>
    </w:p>
    <w:p>
      <w:pPr>
        <w:autoSpaceDE w:val="0"/>
        <w:autoSpaceDN w:val="0"/>
        <w:adjustRightInd w:val="0"/>
        <w:spacing w:line="460" w:lineRule="exact"/>
        <w:ind w:firstLine="210" w:firstLineChars="100"/>
        <w:rPr>
          <w:rFonts w:cs="黑体" w:asciiTheme="minorEastAsia" w:hAnsiTheme="minorEastAsia" w:eastAsiaTheme="minorEastAsia"/>
          <w:b/>
          <w:color w:val="000000"/>
          <w:szCs w:val="21"/>
          <w:lang w:val="zh-CN"/>
        </w:rPr>
      </w:pPr>
    </w:p>
    <w:p>
      <w:pPr>
        <w:autoSpaceDE w:val="0"/>
        <w:autoSpaceDN w:val="0"/>
        <w:adjustRightInd w:val="0"/>
        <w:spacing w:line="460" w:lineRule="exact"/>
        <w:ind w:firstLine="210" w:firstLineChars="100"/>
        <w:rPr>
          <w:rFonts w:cs="黑体" w:asciiTheme="minorEastAsia" w:hAnsiTheme="minorEastAsia" w:eastAsiaTheme="minorEastAsia"/>
          <w:b/>
          <w:color w:val="000000"/>
          <w:szCs w:val="21"/>
          <w:lang w:val="zh-CN"/>
        </w:rPr>
      </w:pPr>
    </w:p>
    <w:p>
      <w:pPr>
        <w:autoSpaceDE w:val="0"/>
        <w:autoSpaceDN w:val="0"/>
        <w:adjustRightInd w:val="0"/>
        <w:spacing w:line="460" w:lineRule="exact"/>
        <w:ind w:firstLine="210" w:firstLineChars="100"/>
        <w:rPr>
          <w:rFonts w:cs="黑体" w:asciiTheme="minorEastAsia" w:hAnsiTheme="minorEastAsia" w:eastAsiaTheme="minorEastAsia"/>
          <w:b/>
          <w:color w:val="000000"/>
          <w:szCs w:val="21"/>
          <w:lang w:val="zh-CN"/>
        </w:rPr>
      </w:pPr>
    </w:p>
    <w:p>
      <w:pPr>
        <w:autoSpaceDE w:val="0"/>
        <w:autoSpaceDN w:val="0"/>
        <w:adjustRightInd w:val="0"/>
        <w:spacing w:line="460" w:lineRule="exact"/>
        <w:ind w:firstLine="210" w:firstLineChars="100"/>
        <w:rPr>
          <w:rFonts w:cs="黑体" w:asciiTheme="minorEastAsia" w:hAnsiTheme="minorEastAsia" w:eastAsiaTheme="minorEastAsia"/>
          <w:b/>
          <w:color w:val="000000"/>
          <w:szCs w:val="21"/>
          <w:lang w:val="zh-CN"/>
        </w:rPr>
      </w:pPr>
    </w:p>
    <w:p>
      <w:pPr>
        <w:autoSpaceDE w:val="0"/>
        <w:autoSpaceDN w:val="0"/>
        <w:adjustRightInd w:val="0"/>
        <w:spacing w:line="460" w:lineRule="exact"/>
        <w:ind w:firstLine="210" w:firstLineChars="100"/>
        <w:rPr>
          <w:rFonts w:cs="黑体" w:asciiTheme="minorEastAsia" w:hAnsiTheme="minorEastAsia" w:eastAsiaTheme="minorEastAsia"/>
          <w:b/>
          <w:color w:val="000000"/>
          <w:szCs w:val="21"/>
          <w:lang w:val="zh-CN"/>
        </w:rPr>
      </w:pPr>
    </w:p>
    <w:p>
      <w:pPr>
        <w:autoSpaceDE w:val="0"/>
        <w:autoSpaceDN w:val="0"/>
        <w:adjustRightInd w:val="0"/>
        <w:spacing w:line="460" w:lineRule="exact"/>
        <w:ind w:firstLine="210" w:firstLineChars="100"/>
        <w:rPr>
          <w:rFonts w:cs="黑体" w:asciiTheme="minorEastAsia" w:hAnsiTheme="minorEastAsia" w:eastAsiaTheme="minorEastAsia"/>
          <w:b/>
          <w:color w:val="000000"/>
          <w:szCs w:val="21"/>
          <w:lang w:val="zh-CN"/>
        </w:rPr>
      </w:pPr>
    </w:p>
    <w:p>
      <w:pPr>
        <w:autoSpaceDE w:val="0"/>
        <w:autoSpaceDN w:val="0"/>
        <w:adjustRightInd w:val="0"/>
        <w:spacing w:line="460" w:lineRule="exact"/>
        <w:ind w:firstLine="441" w:firstLineChars="100"/>
        <w:jc w:val="center"/>
        <w:rPr>
          <w:rFonts w:cs="黑体" w:asciiTheme="majorEastAsia" w:hAnsiTheme="majorEastAsia" w:eastAsiaTheme="majorEastAsia"/>
          <w:b/>
          <w:color w:val="000000"/>
          <w:sz w:val="44"/>
          <w:szCs w:val="44"/>
          <w:lang w:val="zh-CN"/>
        </w:rPr>
      </w:pPr>
      <w:r>
        <w:rPr>
          <w:rFonts w:hint="eastAsia" w:cs="黑体" w:asciiTheme="majorEastAsia" w:hAnsiTheme="majorEastAsia" w:eastAsiaTheme="majorEastAsia"/>
          <w:b/>
          <w:color w:val="000000"/>
          <w:sz w:val="44"/>
          <w:szCs w:val="44"/>
          <w:lang w:val="zh-CN"/>
        </w:rPr>
        <w:t>阿坝县公安局2018年行政许可责任清单</w:t>
      </w:r>
    </w:p>
    <w:p>
      <w:pPr>
        <w:autoSpaceDE w:val="0"/>
        <w:autoSpaceDN w:val="0"/>
        <w:adjustRightInd w:val="0"/>
        <w:spacing w:line="460" w:lineRule="exact"/>
        <w:jc w:val="left"/>
        <w:rPr>
          <w:rFonts w:cs="黑体" w:asciiTheme="minorEastAsia" w:hAnsiTheme="minorEastAsia" w:eastAsiaTheme="minorEastAsia"/>
          <w:b/>
          <w:color w:val="000000"/>
          <w:szCs w:val="21"/>
          <w:lang w:val="zh-CN"/>
        </w:rPr>
      </w:pPr>
    </w:p>
    <w:tbl>
      <w:tblPr>
        <w:tblStyle w:val="8"/>
        <w:tblW w:w="9360" w:type="dxa"/>
        <w:tblInd w:w="-108" w:type="dxa"/>
        <w:tblLayout w:type="fixed"/>
        <w:tblCellMar>
          <w:top w:w="0" w:type="dxa"/>
          <w:left w:w="10" w:type="dxa"/>
          <w:bottom w:w="0" w:type="dxa"/>
          <w:right w:w="10" w:type="dxa"/>
        </w:tblCellMar>
      </w:tblPr>
      <w:tblGrid>
        <w:gridCol w:w="1112"/>
        <w:gridCol w:w="8248"/>
      </w:tblGrid>
      <w:tr>
        <w:tblPrEx>
          <w:tblCellMar>
            <w:top w:w="0" w:type="dxa"/>
            <w:left w:w="10" w:type="dxa"/>
            <w:bottom w:w="0" w:type="dxa"/>
            <w:right w:w="10" w:type="dxa"/>
          </w:tblCellMar>
        </w:tblPrEx>
        <w:trPr>
          <w:trHeight w:val="307"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w:t>
            </w:r>
          </w:p>
        </w:tc>
      </w:tr>
      <w:tr>
        <w:tblPrEx>
          <w:tblCellMar>
            <w:top w:w="0" w:type="dxa"/>
            <w:left w:w="10" w:type="dxa"/>
            <w:bottom w:w="0" w:type="dxa"/>
            <w:right w:w="10" w:type="dxa"/>
          </w:tblCellMar>
        </w:tblPrEx>
        <w:trPr>
          <w:trHeight w:val="286"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420"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枪支、弹药运输许可</w:t>
            </w:r>
          </w:p>
        </w:tc>
      </w:tr>
      <w:tr>
        <w:tblPrEx>
          <w:tblCellMar>
            <w:top w:w="0" w:type="dxa"/>
            <w:left w:w="10" w:type="dxa"/>
            <w:bottom w:w="0" w:type="dxa"/>
            <w:right w:w="10" w:type="dxa"/>
          </w:tblCellMar>
        </w:tblPrEx>
        <w:trPr>
          <w:trHeight w:val="453"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rPr>
            </w:pPr>
            <w:r>
              <w:rPr>
                <w:rFonts w:hint="eastAsia" w:asciiTheme="minorEastAsia" w:hAnsiTheme="minorEastAsia" w:eastAsiaTheme="minorEastAsia"/>
                <w:szCs w:val="21"/>
                <w:shd w:val="clear" w:color="auto" w:fill="F9F9F9"/>
              </w:rPr>
              <w:t>《中华人民共和国枪支管理法》第三十条、三十一条、《射击竞技体育运动枪支管理办法》（国家体育总局、公安部令2010年第13号）第二十七条《中华人民共和国枪支管理法》第三十条、三十一条、《射击竞技体育运动枪支管理办法》（国家体育总局、公安部令2010年第13号）第二十七条</w:t>
            </w:r>
            <w:r>
              <w:rPr>
                <w:rFonts w:hint="eastAsia" w:cs="宋体" w:asciiTheme="minorEastAsia" w:hAnsiTheme="minorEastAsia" w:eastAsiaTheme="minorEastAsia"/>
                <w:color w:val="000000"/>
                <w:szCs w:val="21"/>
                <w:lang w:val="zh-CN"/>
              </w:rPr>
              <w:t>任何单位或者个人未经许可，不得运输枪支。需要运输枪支的，必须向公安机关如实申报运输枪支的品种、数量和运输的路线、方式，领取枪支运输许可证件。在本省、自治区、直辖市内运输的，向运往地设区的市级人民政府公安机关申请领取枪支运输许可证件；跨省、自治区、直辖市运输的，向运往地省级人民政府公安机关申请领取枪支运输许可证件。没有枪支运输许可证件的，任何单位和个人都不得承运，并应当立即报告所在地公安机关。公安机关对没有枪支运输许可证件或者没有按照枪支运输许可证件的规定运输枪支的，应当扣留运输的枪支。</w:t>
            </w:r>
          </w:p>
        </w:tc>
      </w:tr>
      <w:tr>
        <w:tblPrEx>
          <w:tblCellMar>
            <w:top w:w="0" w:type="dxa"/>
            <w:left w:w="10" w:type="dxa"/>
            <w:bottom w:w="0" w:type="dxa"/>
            <w:right w:w="10" w:type="dxa"/>
          </w:tblCellMar>
        </w:tblPrEx>
        <w:trPr>
          <w:trHeight w:val="166"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1882"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48" w:type="dxa"/>
            <w:tcBorders>
              <w:top w:val="single" w:color="auto" w:sz="6" w:space="0"/>
              <w:left w:val="single" w:color="auto" w:sz="6" w:space="0"/>
              <w:bottom w:val="single" w:color="auto" w:sz="6" w:space="0"/>
              <w:right w:val="single" w:color="auto" w:sz="6" w:space="0"/>
            </w:tcBorders>
            <w:vAlign w:val="center"/>
          </w:tcPr>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1.受理责任：公示应当提交的材料，一次性告知补正材料，依法受理或不予受理（不予受理应当告知理由）。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2.审查责任：对书面材料进行审查，提出是否同意枪支、弹药运输许可的审核意见，告知申请人享有申请行政复议的权利。</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3.决定责任：</w:t>
            </w:r>
            <w:r>
              <w:rPr>
                <w:rFonts w:hint="eastAsia" w:cs="仿宋_GB2312" w:asciiTheme="minorEastAsia" w:hAnsiTheme="minorEastAsia" w:eastAsiaTheme="minorEastAsia"/>
                <w:kern w:val="0"/>
                <w:szCs w:val="21"/>
              </w:rPr>
              <w:t>在规定的时限内，</w:t>
            </w:r>
            <w:r>
              <w:rPr>
                <w:rFonts w:hint="eastAsia" w:cs="仿宋_GB2312" w:asciiTheme="minorEastAsia" w:hAnsiTheme="minorEastAsia" w:eastAsiaTheme="minorEastAsia"/>
                <w:kern w:val="0"/>
                <w:szCs w:val="21"/>
                <w:u w:color="000000"/>
              </w:rPr>
              <w:t>作出行政许可或不予行政许可决定，法定告知（不予许可的应当书面告知理由）。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4.事后监管责任：建立实施监督检查的运行机制和管理制度，开展定期和不定期检查，依法采取相关处置措施。</w:t>
            </w:r>
          </w:p>
          <w:p>
            <w:pPr>
              <w:autoSpaceDE w:val="0"/>
              <w:autoSpaceDN w:val="0"/>
              <w:adjustRightInd w:val="0"/>
              <w:spacing w:line="300" w:lineRule="exact"/>
              <w:ind w:firstLine="412"/>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5.其他责任：法律法规规章文件规定应履行的其他责任。</w:t>
            </w:r>
          </w:p>
        </w:tc>
      </w:tr>
      <w:tr>
        <w:tblPrEx>
          <w:tblCellMar>
            <w:top w:w="0" w:type="dxa"/>
            <w:left w:w="10" w:type="dxa"/>
            <w:bottom w:w="0" w:type="dxa"/>
            <w:right w:w="10" w:type="dxa"/>
          </w:tblCellMar>
        </w:tblPrEx>
        <w:trPr>
          <w:trHeight w:val="1718"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4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ind w:firstLine="420"/>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616"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05"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autoSpaceDE w:val="0"/>
        <w:autoSpaceDN w:val="0"/>
        <w:adjustRightInd w:val="0"/>
        <w:spacing w:line="460" w:lineRule="exact"/>
        <w:jc w:val="left"/>
        <w:rPr>
          <w:rFonts w:cs="黑体" w:asciiTheme="minorEastAsia" w:hAnsiTheme="minorEastAsia" w:eastAsiaTheme="minorEastAsia"/>
          <w:b/>
          <w:color w:val="000000"/>
          <w:szCs w:val="21"/>
          <w:lang w:val="zh-CN"/>
        </w:rPr>
      </w:pPr>
    </w:p>
    <w:tbl>
      <w:tblPr>
        <w:tblStyle w:val="8"/>
        <w:tblW w:w="9360" w:type="dxa"/>
        <w:tblInd w:w="-108" w:type="dxa"/>
        <w:tblLayout w:type="fixed"/>
        <w:tblCellMar>
          <w:top w:w="0" w:type="dxa"/>
          <w:left w:w="10" w:type="dxa"/>
          <w:bottom w:w="0" w:type="dxa"/>
          <w:right w:w="10" w:type="dxa"/>
        </w:tblCellMar>
      </w:tblPr>
      <w:tblGrid>
        <w:gridCol w:w="1112"/>
        <w:gridCol w:w="8248"/>
      </w:tblGrid>
      <w:tr>
        <w:tblPrEx>
          <w:tblCellMar>
            <w:top w:w="0" w:type="dxa"/>
            <w:left w:w="10" w:type="dxa"/>
            <w:bottom w:w="0" w:type="dxa"/>
            <w:right w:w="10" w:type="dxa"/>
          </w:tblCellMar>
        </w:tblPrEx>
        <w:trPr>
          <w:trHeight w:val="307"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w:t>
            </w:r>
          </w:p>
        </w:tc>
      </w:tr>
      <w:tr>
        <w:tblPrEx>
          <w:tblCellMar>
            <w:top w:w="0" w:type="dxa"/>
            <w:left w:w="10" w:type="dxa"/>
            <w:bottom w:w="0" w:type="dxa"/>
            <w:right w:w="10" w:type="dxa"/>
          </w:tblCellMar>
        </w:tblPrEx>
        <w:trPr>
          <w:trHeight w:val="286"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420"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第二类、第三类易制毒化学品购买备案证明</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453"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ind w:firstLine="420" w:firstLineChars="200"/>
              <w:jc w:val="left"/>
              <w:rPr>
                <w:rFonts w:cs="宋体" w:asciiTheme="minorEastAsia" w:hAnsiTheme="minorEastAsia" w:eastAsiaTheme="minorEastAsia"/>
                <w:szCs w:val="21"/>
                <w:lang w:val="zh-CN"/>
              </w:rPr>
            </w:pPr>
            <w:r>
              <w:rPr>
                <w:rFonts w:hint="eastAsia" w:cs="宋体" w:asciiTheme="minorEastAsia" w:hAnsiTheme="minorEastAsia" w:eastAsiaTheme="minorEastAsia"/>
                <w:color w:val="000000"/>
                <w:szCs w:val="21"/>
                <w:lang w:val="zh-CN"/>
              </w:rPr>
              <w:t>《易制毒化学品管理条例》、《易制毒化学品购销和运输管理办法》</w:t>
            </w:r>
            <w:r>
              <w:rPr>
                <w:rFonts w:hint="eastAsia" w:cs="宋体" w:asciiTheme="minorEastAsia" w:hAnsiTheme="minorEastAsia" w:eastAsiaTheme="minorEastAsia"/>
                <w:szCs w:val="21"/>
                <w:lang w:val="zh-CN"/>
              </w:rPr>
              <w:t>《</w:t>
            </w:r>
            <w:r>
              <w:rPr>
                <w:rStyle w:val="16"/>
                <w:rFonts w:cs="Arial" w:asciiTheme="minorEastAsia" w:hAnsiTheme="minorEastAsia" w:eastAsiaTheme="minorEastAsia"/>
                <w:bCs/>
                <w:szCs w:val="21"/>
              </w:rPr>
              <w:t>制毒化学品购销和运输管理办法</w:t>
            </w:r>
            <w:r>
              <w:rPr>
                <w:rFonts w:hint="eastAsia" w:cs="宋体" w:asciiTheme="minorEastAsia" w:hAnsiTheme="minorEastAsia" w:eastAsiaTheme="minorEastAsia"/>
                <w:szCs w:val="21"/>
                <w:lang w:val="zh-CN"/>
              </w:rPr>
              <w:t>》</w:t>
            </w:r>
            <w:r>
              <w:rPr>
                <w:rFonts w:cs="Arial" w:asciiTheme="minorEastAsia" w:hAnsiTheme="minorEastAsia" w:eastAsiaTheme="minorEastAsia"/>
                <w:bCs/>
                <w:szCs w:val="21"/>
              </w:rPr>
              <w:t>第十七条</w:t>
            </w:r>
            <w:r>
              <w:rPr>
                <w:rFonts w:cs="Arial" w:asciiTheme="minorEastAsia" w:hAnsiTheme="minorEastAsia" w:eastAsiaTheme="minorEastAsia"/>
                <w:szCs w:val="21"/>
              </w:rPr>
              <w:t> </w:t>
            </w:r>
            <w:r>
              <w:rPr>
                <w:rFonts w:cs="Arial" w:asciiTheme="minorEastAsia" w:hAnsiTheme="minorEastAsia" w:eastAsiaTheme="minorEastAsia"/>
                <w:szCs w:val="21"/>
                <w:shd w:val="clear" w:color="auto" w:fill="FFFFFF"/>
              </w:rPr>
              <w:t>因治疗疾病需要，患者、患者近亲属或者患者委托的人凭医疗机构出具的医疗诊断书和本人的身份证明，可以随身携带第一类中的药品类易制毒化学品药品制剂，但是不得超过医用单张处方的最大剂量。</w:t>
            </w:r>
            <w:r>
              <w:rPr>
                <w:rFonts w:hint="eastAsia" w:cs="宋体" w:asciiTheme="minorEastAsia" w:hAnsiTheme="minorEastAsia" w:eastAsiaTheme="minorEastAsia"/>
                <w:szCs w:val="21"/>
                <w:lang w:val="zh-CN"/>
              </w:rPr>
              <w:t>　购买第二类、第三类易制毒化学品的，应当在购买前将所需购买的品种、数量，向所在地的县级人民政府公安机关备案。个人自用购买少量高锰酸钾的，无须备案。</w:t>
            </w:r>
          </w:p>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申请购买第一类中的非药品类易制毒化学品和第二类、第三类易制毒化学品的，应当提交下列申请材料： （一）经营企业的营业执照（副本和复印件），其他组织的登记证书或者成立批准文件（原件和复印件），或者个人的身份证明（原件和复印件）； （二）合法使用需要证明（原件）。</w:t>
            </w:r>
          </w:p>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购买第二类、第三类易制毒化学品的，应当在购买前将所需购买的品种、数量，向所在地的县级人民政府公安机关备案。公安机关受理备案后，应当于当日出具购买备案证明。 自用一次性购买五公斤以下且年用量五十公斤以下高锰酸钾的，无须备案。</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szCs w:val="21"/>
                <w:lang w:val="zh-CN"/>
              </w:rPr>
              <w:t>《</w:t>
            </w:r>
            <w:r>
              <w:rPr>
                <w:rStyle w:val="16"/>
                <w:rFonts w:cs="Arial" w:asciiTheme="minorEastAsia" w:hAnsiTheme="minorEastAsia" w:eastAsiaTheme="minorEastAsia"/>
                <w:bCs/>
                <w:szCs w:val="21"/>
              </w:rPr>
              <w:t>制毒化学品购销和运输管理办法</w:t>
            </w:r>
            <w:r>
              <w:rPr>
                <w:rFonts w:hint="eastAsia" w:cs="宋体" w:asciiTheme="minorEastAsia" w:hAnsiTheme="minorEastAsia" w:eastAsiaTheme="minorEastAsia"/>
                <w:szCs w:val="21"/>
                <w:lang w:val="zh-CN"/>
              </w:rPr>
              <w:t>》第三条</w:t>
            </w:r>
            <w:r>
              <w:rPr>
                <w:rFonts w:cs="Arial" w:asciiTheme="minorEastAsia" w:hAnsiTheme="minorEastAsia" w:eastAsiaTheme="minorEastAsia"/>
                <w:szCs w:val="21"/>
                <w:shd w:val="clear" w:color="auto" w:fill="FFFFFF"/>
              </w:rPr>
              <w:t>购买第一类中的非药品类易制毒化学品的，应当向所在地省级人民政府公安机关申请购买许可证;购买第二类、第三类易制毒化学品的，应当向所在地县级人民政府公安机关备案。取得购买许可证或者购买备案证明后，方可购买易制毒化学品。</w:t>
            </w:r>
            <w:r>
              <w:rPr>
                <w:rFonts w:hint="eastAsia" w:cs="宋体" w:asciiTheme="minorEastAsia" w:hAnsiTheme="minorEastAsia" w:eastAsiaTheme="minorEastAsia"/>
                <w:szCs w:val="21"/>
                <w:lang w:val="zh-CN"/>
              </w:rPr>
              <w:t>购买第一类中的非药品类易制毒化学品的，应当向所在地省级人民政府公安机关申请购买许可证；</w:t>
            </w:r>
          </w:p>
        </w:tc>
      </w:tr>
      <w:tr>
        <w:tblPrEx>
          <w:tblCellMar>
            <w:top w:w="0" w:type="dxa"/>
            <w:left w:w="10" w:type="dxa"/>
            <w:bottom w:w="0" w:type="dxa"/>
            <w:right w:w="10" w:type="dxa"/>
          </w:tblCellMar>
        </w:tblPrEx>
        <w:trPr>
          <w:trHeight w:val="166"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1882"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48" w:type="dxa"/>
            <w:tcBorders>
              <w:top w:val="single" w:color="auto" w:sz="6" w:space="0"/>
              <w:left w:val="single" w:color="auto" w:sz="6" w:space="0"/>
              <w:bottom w:val="single" w:color="auto" w:sz="6" w:space="0"/>
              <w:right w:val="single" w:color="auto" w:sz="6" w:space="0"/>
            </w:tcBorders>
            <w:vAlign w:val="center"/>
          </w:tcPr>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1.受理责任：公示应当提交的材料，一次性告知补正材料，依法受理或不予受理（不予受理应当告知理由）。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2.审查责任：对书面材料进行审查，提出是否同意</w:t>
            </w:r>
            <w:r>
              <w:rPr>
                <w:rFonts w:hint="eastAsia" w:cs="宋体" w:asciiTheme="minorEastAsia" w:hAnsiTheme="minorEastAsia" w:eastAsiaTheme="minorEastAsia"/>
                <w:color w:val="000000"/>
                <w:kern w:val="0"/>
                <w:szCs w:val="21"/>
              </w:rPr>
              <w:t>第二类、第三类易制毒化学品购买备案证明</w:t>
            </w:r>
            <w:r>
              <w:rPr>
                <w:rFonts w:hint="eastAsia" w:cs="仿宋_GB2312" w:asciiTheme="minorEastAsia" w:hAnsiTheme="minorEastAsia" w:eastAsiaTheme="minorEastAsia"/>
                <w:kern w:val="0"/>
                <w:szCs w:val="21"/>
                <w:u w:color="000000"/>
              </w:rPr>
              <w:t>许可的审核意见，告知申请人享有申请行政复议的权利。</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3.决定责任：</w:t>
            </w:r>
            <w:r>
              <w:rPr>
                <w:rFonts w:hint="eastAsia" w:cs="仿宋_GB2312" w:asciiTheme="minorEastAsia" w:hAnsiTheme="minorEastAsia" w:eastAsiaTheme="minorEastAsia"/>
                <w:kern w:val="0"/>
                <w:szCs w:val="21"/>
              </w:rPr>
              <w:t>在规定的时限内，</w:t>
            </w:r>
            <w:r>
              <w:rPr>
                <w:rFonts w:hint="eastAsia" w:cs="仿宋_GB2312" w:asciiTheme="minorEastAsia" w:hAnsiTheme="minorEastAsia" w:eastAsiaTheme="minorEastAsia"/>
                <w:kern w:val="0"/>
                <w:szCs w:val="21"/>
                <w:u w:color="000000"/>
              </w:rPr>
              <w:t>作出行政许可或不予行政许可决定，法定告知（不予许可的应当书面告知理由）。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4.事后监管责任：建立实施监督检查的运行机制和管理制度，开展定期和不定期检查，依法采取相关处置措施。</w:t>
            </w:r>
          </w:p>
          <w:p>
            <w:pPr>
              <w:autoSpaceDE w:val="0"/>
              <w:autoSpaceDN w:val="0"/>
              <w:adjustRightInd w:val="0"/>
              <w:spacing w:line="300" w:lineRule="exact"/>
              <w:ind w:firstLine="412"/>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5.其他责任：法律法规规章文件规定应履行的其他责任。</w:t>
            </w:r>
          </w:p>
        </w:tc>
      </w:tr>
      <w:tr>
        <w:tblPrEx>
          <w:tblCellMar>
            <w:top w:w="0" w:type="dxa"/>
            <w:left w:w="10" w:type="dxa"/>
            <w:bottom w:w="0" w:type="dxa"/>
            <w:right w:w="10" w:type="dxa"/>
          </w:tblCellMar>
        </w:tblPrEx>
        <w:trPr>
          <w:trHeight w:val="1718"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4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ind w:firstLine="420" w:firstLineChars="200"/>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616"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05"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w:t>
            </w:r>
          </w:p>
        </w:tc>
      </w:tr>
      <w:tr>
        <w:tblPrEx>
          <w:tblCellMar>
            <w:top w:w="0" w:type="dxa"/>
            <w:left w:w="10" w:type="dxa"/>
            <w:bottom w:w="0" w:type="dxa"/>
            <w:right w:w="10" w:type="dxa"/>
          </w:tblCellMar>
        </w:tblPrEx>
        <w:trPr>
          <w:trHeight w:val="29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行政许可</w:t>
            </w:r>
          </w:p>
        </w:tc>
      </w:tr>
      <w:tr>
        <w:tblPrEx>
          <w:tblCellMar>
            <w:top w:w="0" w:type="dxa"/>
            <w:left w:w="10" w:type="dxa"/>
            <w:bottom w:w="0" w:type="dxa"/>
            <w:right w:w="10" w:type="dxa"/>
          </w:tblCellMar>
        </w:tblPrEx>
        <w:trPr>
          <w:trHeight w:val="93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widowControl/>
              <w:ind w:firstLine="735" w:firstLineChars="350"/>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第一类、第二类易制毒化学品运输许可</w:t>
            </w:r>
          </w:p>
        </w:tc>
      </w:tr>
      <w:tr>
        <w:tblPrEx>
          <w:tblCellMar>
            <w:top w:w="0" w:type="dxa"/>
            <w:left w:w="10" w:type="dxa"/>
            <w:bottom w:w="0" w:type="dxa"/>
            <w:right w:w="10" w:type="dxa"/>
          </w:tblCellMar>
        </w:tblPrEx>
        <w:trPr>
          <w:trHeight w:val="6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pStyle w:val="7"/>
              <w:shd w:val="clear" w:color="auto" w:fill="FFFFFF"/>
              <w:spacing w:before="0" w:beforeAutospacing="0" w:after="0" w:afterAutospacing="0"/>
              <w:ind w:firstLine="420"/>
              <w:rPr>
                <w:rFonts w:asciiTheme="minorEastAsia" w:hAnsiTheme="minorEastAsia" w:eastAsiaTheme="minorEastAsia"/>
                <w:sz w:val="21"/>
                <w:szCs w:val="21"/>
              </w:rPr>
            </w:pPr>
            <w:r>
              <w:rPr>
                <w:rFonts w:hint="eastAsia" w:asciiTheme="minorEastAsia" w:hAnsiTheme="minorEastAsia" w:eastAsiaTheme="minorEastAsia"/>
                <w:color w:val="666666"/>
                <w:szCs w:val="21"/>
                <w:shd w:val="clear" w:color="auto" w:fill="FFFFFF"/>
              </w:rPr>
              <w:t>《易制毒化学品管理条例》、《易制毒化学品购销和运输管理办法》</w:t>
            </w:r>
            <w:r>
              <w:rPr>
                <w:rStyle w:val="13"/>
                <w:rFonts w:hint="eastAsia" w:cs="Times New Roman" w:asciiTheme="minorEastAsia" w:hAnsiTheme="minorEastAsia" w:eastAsiaTheme="minorEastAsia"/>
                <w:sz w:val="21"/>
                <w:szCs w:val="21"/>
              </w:rPr>
              <w:t> </w:t>
            </w:r>
            <w:r>
              <w:rPr>
                <w:rFonts w:hint="eastAsia" w:cs="Times New Roman" w:asciiTheme="minorEastAsia" w:hAnsiTheme="minorEastAsia" w:eastAsiaTheme="minorEastAsia"/>
                <w:sz w:val="21"/>
                <w:szCs w:val="21"/>
              </w:rPr>
              <w:t>1、《易制毒化学品管理条例》（2005年8月26日国务院令第445号公布，2005年11月1日起施行。）第二十条：跨设区的市级行政区域（直辖市为跨市界）或者在国务院公安部门确定的禁毒形势严峻的重点地区跨县级行政区域运输第一类易制毒化学品的，由运出地的设区的市级人民政府公安机关审批；运输第二类易制毒化学品的，由运出地的县级人民政府公安机关审批。经审批取得易制毒化学品运输许可证后，方可运输。2、《易制毒化学品购销和运输管理办法》（2006年8月22日公安部令第87号公布，2006年10 月1日起施行。）第十五条：运输易制毒化学品，有下列情形之一的，应当申请运输许可证或者进行备案：（一）跨设区的市级行政区域（直辖市为跨市界）运输的；（二）在禁毒形势严峻的重点地区跨县级行政区域运输的。禁毒形势严峻的重点地区由公安部确定和调整，名单另行公布。</w:t>
            </w:r>
          </w:p>
          <w:p>
            <w:pPr>
              <w:pStyle w:val="7"/>
              <w:shd w:val="clear" w:color="auto" w:fill="FFFFFF"/>
              <w:spacing w:before="0" w:beforeAutospacing="0" w:after="0" w:afterAutospacing="0"/>
              <w:ind w:firstLine="420"/>
              <w:rPr>
                <w:rFonts w:asciiTheme="minorEastAsia" w:hAnsiTheme="minorEastAsia" w:eastAsiaTheme="minorEastAsia"/>
                <w:sz w:val="21"/>
                <w:szCs w:val="21"/>
              </w:rPr>
            </w:pPr>
            <w:r>
              <w:rPr>
                <w:rFonts w:cs="Times New Roman" w:asciiTheme="minorEastAsia" w:hAnsiTheme="minorEastAsia" w:eastAsiaTheme="minorEastAsia"/>
                <w:sz w:val="21"/>
                <w:szCs w:val="21"/>
              </w:rPr>
              <w:t>运输第一类易制毒化学品的，应当向运出地的设区的市级人民政府公安机关申请运输许可证。</w:t>
            </w:r>
          </w:p>
          <w:p>
            <w:pPr>
              <w:pStyle w:val="7"/>
              <w:shd w:val="clear" w:color="auto" w:fill="FFFFFF"/>
              <w:spacing w:before="0" w:beforeAutospacing="0" w:after="0" w:afterAutospacing="0"/>
              <w:ind w:firstLine="420"/>
              <w:rPr>
                <w:rFonts w:cs="Times New Roman" w:asciiTheme="minorEastAsia" w:hAnsiTheme="minorEastAsia" w:eastAsiaTheme="minorEastAsia"/>
                <w:sz w:val="21"/>
                <w:szCs w:val="21"/>
              </w:rPr>
            </w:pPr>
            <w:r>
              <w:rPr>
                <w:rStyle w:val="13"/>
                <w:rFonts w:hint="eastAsia" w:cs="Times New Roman" w:asciiTheme="minorEastAsia" w:hAnsiTheme="minorEastAsia" w:eastAsiaTheme="minorEastAsia"/>
                <w:sz w:val="21"/>
                <w:szCs w:val="21"/>
              </w:rPr>
              <w:t> </w:t>
            </w:r>
            <w:r>
              <w:rPr>
                <w:rFonts w:hint="eastAsia" w:cs="Times New Roman" w:asciiTheme="minorEastAsia" w:hAnsiTheme="minorEastAsia" w:eastAsiaTheme="minorEastAsia"/>
                <w:sz w:val="21"/>
                <w:szCs w:val="21"/>
              </w:rPr>
              <w:t>运输第二类易制毒化学品的，应当向运出地县级人民政府公安机关申请运输许可证。</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asciiTheme="minorEastAsia" w:hAnsiTheme="minorEastAsia" w:eastAsiaTheme="minorEastAsia"/>
                <w:sz w:val="21"/>
                <w:szCs w:val="21"/>
              </w:rPr>
              <w:t>公安部《易制毒化学品购销和运输管理办法》第十八条： 运输易制毒化学品，应当由货主向公安机关申请运输许可证或者进行备案。申请易制毒化学品运输许可证或者进行备案，应当提交下列材料：</w:t>
            </w:r>
            <w:r>
              <w:rPr>
                <w:rFonts w:hint="eastAsia" w:asciiTheme="minorEastAsia" w:hAnsiTheme="minorEastAsia" w:eastAsiaTheme="minorEastAsia"/>
                <w:sz w:val="21"/>
                <w:szCs w:val="21"/>
              </w:rPr>
              <w:br w:type="textWrapping"/>
            </w:r>
            <w:r>
              <w:rPr>
                <w:rFonts w:hint="eastAsia" w:asciiTheme="minorEastAsia" w:hAnsiTheme="minorEastAsia" w:eastAsiaTheme="minorEastAsia"/>
                <w:sz w:val="21"/>
                <w:szCs w:val="21"/>
              </w:rPr>
              <w:t>（一）经营企业的营业执照（副本和复印件），其他组织的登记证书或者成立批准文件（原件和复印件），个人的身份证明（原件和复印件）；</w:t>
            </w:r>
            <w:r>
              <w:rPr>
                <w:rFonts w:hint="eastAsia" w:asciiTheme="minorEastAsia" w:hAnsiTheme="minorEastAsia" w:eastAsiaTheme="minorEastAsia"/>
                <w:sz w:val="21"/>
                <w:szCs w:val="21"/>
              </w:rPr>
              <w:br w:type="textWrapping"/>
            </w:r>
            <w:r>
              <w:rPr>
                <w:rFonts w:hint="eastAsia" w:asciiTheme="minorEastAsia" w:hAnsiTheme="minorEastAsia" w:eastAsiaTheme="minorEastAsia"/>
                <w:sz w:val="21"/>
                <w:szCs w:val="21"/>
              </w:rPr>
              <w:t>（二）易制毒化学品购销合同（复印件）；</w:t>
            </w:r>
            <w:r>
              <w:rPr>
                <w:rFonts w:hint="eastAsia" w:asciiTheme="minorEastAsia" w:hAnsiTheme="minorEastAsia" w:eastAsiaTheme="minorEastAsia"/>
                <w:sz w:val="21"/>
                <w:szCs w:val="21"/>
              </w:rPr>
              <w:br w:type="textWrapping"/>
            </w:r>
            <w:r>
              <w:rPr>
                <w:rFonts w:hint="eastAsia" w:asciiTheme="minorEastAsia" w:hAnsiTheme="minorEastAsia" w:eastAsiaTheme="minorEastAsia"/>
                <w:sz w:val="21"/>
                <w:szCs w:val="21"/>
              </w:rPr>
              <w:t>（三）经办人的身份证明（原件和复印件）。</w:t>
            </w:r>
            <w:r>
              <w:rPr>
                <w:rFonts w:hint="eastAsia" w:asciiTheme="minorEastAsia" w:hAnsiTheme="minorEastAsia" w:eastAsiaTheme="minorEastAsia"/>
                <w:sz w:val="21"/>
                <w:szCs w:val="21"/>
              </w:rPr>
              <w:br w:type="textWrapping"/>
            </w:r>
          </w:p>
        </w:tc>
      </w:tr>
      <w:tr>
        <w:tblPrEx>
          <w:tblCellMar>
            <w:top w:w="0" w:type="dxa"/>
            <w:left w:w="10" w:type="dxa"/>
            <w:bottom w:w="0" w:type="dxa"/>
            <w:right w:w="10" w:type="dxa"/>
          </w:tblCellMar>
        </w:tblPrEx>
        <w:trPr>
          <w:trHeight w:val="56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191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1.受理责任：公示应当提交的材料，一次性告知补正材料，依法受理或不予受理（不予受理应当告知理由）。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2.审查责任：对书面材料进行审查，提出是否同意</w:t>
            </w:r>
            <w:r>
              <w:rPr>
                <w:rFonts w:hint="eastAsia" w:cs="宋体" w:asciiTheme="minorEastAsia" w:hAnsiTheme="minorEastAsia" w:eastAsiaTheme="minorEastAsia"/>
                <w:color w:val="000000"/>
                <w:kern w:val="0"/>
                <w:szCs w:val="21"/>
              </w:rPr>
              <w:t>第一类、第二类易制毒化学品运输许可</w:t>
            </w:r>
            <w:r>
              <w:rPr>
                <w:rFonts w:hint="eastAsia" w:cs="仿宋_GB2312" w:asciiTheme="minorEastAsia" w:hAnsiTheme="minorEastAsia" w:eastAsiaTheme="minorEastAsia"/>
                <w:kern w:val="0"/>
                <w:szCs w:val="21"/>
                <w:u w:color="000000"/>
              </w:rPr>
              <w:t>的审核意见，告知申请人享有申请行政复议的权利。</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3.决定责任：</w:t>
            </w:r>
            <w:r>
              <w:rPr>
                <w:rFonts w:hint="eastAsia" w:cs="仿宋_GB2312" w:asciiTheme="minorEastAsia" w:hAnsiTheme="minorEastAsia" w:eastAsiaTheme="minorEastAsia"/>
                <w:kern w:val="0"/>
                <w:szCs w:val="21"/>
              </w:rPr>
              <w:t>在规定的时限内，</w:t>
            </w:r>
            <w:r>
              <w:rPr>
                <w:rFonts w:hint="eastAsia" w:cs="仿宋_GB2312" w:asciiTheme="minorEastAsia" w:hAnsiTheme="minorEastAsia" w:eastAsiaTheme="minorEastAsia"/>
                <w:kern w:val="0"/>
                <w:szCs w:val="21"/>
                <w:u w:color="000000"/>
              </w:rPr>
              <w:t>作出行政许可或不予行政许可决定，法定告知（不予许可的应当书面告知理由）。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4.事后监管责任：建立实施监督检查的运行机制和管理制度，开展定期和不定期检查，依法采取相关处置措施。</w:t>
            </w:r>
          </w:p>
          <w:p>
            <w:pPr>
              <w:autoSpaceDE w:val="0"/>
              <w:autoSpaceDN w:val="0"/>
              <w:adjustRightInd w:val="0"/>
              <w:spacing w:line="300" w:lineRule="exact"/>
              <w:ind w:firstLine="412"/>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5.其他责任：法律法规规章文件规定应履行的其他责任。</w:t>
            </w:r>
          </w:p>
        </w:tc>
      </w:tr>
      <w:tr>
        <w:tblPrEx>
          <w:tblCellMar>
            <w:top w:w="0" w:type="dxa"/>
            <w:left w:w="10" w:type="dxa"/>
            <w:bottom w:w="0" w:type="dxa"/>
            <w:right w:w="10" w:type="dxa"/>
          </w:tblCellMar>
        </w:tblPrEx>
        <w:trPr>
          <w:trHeight w:val="1748"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pStyle w:val="7"/>
              <w:shd w:val="clear" w:color="auto" w:fill="FFFFFF"/>
              <w:spacing w:before="0" w:beforeAutospacing="0" w:after="0" w:afterAutospacing="0"/>
              <w:ind w:firstLine="420"/>
              <w:rPr>
                <w:rFonts w:cs="Times New Roman" w:asciiTheme="minorEastAsia" w:hAnsiTheme="minorEastAsia" w:eastAsiaTheme="minorEastAsia"/>
                <w:sz w:val="21"/>
                <w:szCs w:val="21"/>
              </w:rPr>
            </w:pPr>
          </w:p>
        </w:tc>
      </w:tr>
      <w:tr>
        <w:tblPrEx>
          <w:tblCellMar>
            <w:top w:w="0" w:type="dxa"/>
            <w:left w:w="10" w:type="dxa"/>
            <w:bottom w:w="0" w:type="dxa"/>
            <w:right w:w="10" w:type="dxa"/>
          </w:tblCellMar>
        </w:tblPrEx>
        <w:trPr>
          <w:trHeight w:val="62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360" w:type="dxa"/>
        <w:tblInd w:w="-108" w:type="dxa"/>
        <w:tblLayout w:type="fixed"/>
        <w:tblCellMar>
          <w:top w:w="0" w:type="dxa"/>
          <w:left w:w="10" w:type="dxa"/>
          <w:bottom w:w="0" w:type="dxa"/>
          <w:right w:w="10" w:type="dxa"/>
        </w:tblCellMar>
      </w:tblPr>
      <w:tblGrid>
        <w:gridCol w:w="1112"/>
        <w:gridCol w:w="8248"/>
      </w:tblGrid>
      <w:tr>
        <w:tblPrEx>
          <w:tblCellMar>
            <w:top w:w="0" w:type="dxa"/>
            <w:left w:w="10" w:type="dxa"/>
            <w:bottom w:w="0" w:type="dxa"/>
            <w:right w:w="10" w:type="dxa"/>
          </w:tblCellMar>
        </w:tblPrEx>
        <w:trPr>
          <w:trHeight w:val="307"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w:t>
            </w:r>
          </w:p>
        </w:tc>
      </w:tr>
      <w:tr>
        <w:tblPrEx>
          <w:tblCellMar>
            <w:top w:w="0" w:type="dxa"/>
            <w:left w:w="10" w:type="dxa"/>
            <w:bottom w:w="0" w:type="dxa"/>
            <w:right w:w="10" w:type="dxa"/>
          </w:tblCellMar>
        </w:tblPrEx>
        <w:trPr>
          <w:trHeight w:val="286"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权力类型</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行政许可</w:t>
            </w:r>
          </w:p>
        </w:tc>
      </w:tr>
      <w:tr>
        <w:tblPrEx>
          <w:tblCellMar>
            <w:top w:w="0" w:type="dxa"/>
            <w:left w:w="10" w:type="dxa"/>
            <w:bottom w:w="0" w:type="dxa"/>
            <w:right w:w="10" w:type="dxa"/>
          </w:tblCellMar>
        </w:tblPrEx>
        <w:trPr>
          <w:trHeight w:val="420"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48" w:type="dxa"/>
            <w:tcBorders>
              <w:top w:val="single" w:color="auto" w:sz="6" w:space="0"/>
              <w:left w:val="single" w:color="auto" w:sz="6" w:space="0"/>
              <w:bottom w:val="single" w:color="auto" w:sz="6" w:space="0"/>
              <w:right w:val="single" w:color="auto" w:sz="6" w:space="0"/>
            </w:tcBorders>
            <w:vAlign w:val="center"/>
          </w:tcPr>
          <w:p>
            <w:pPr>
              <w:widowControl/>
              <w:ind w:firstLine="735" w:firstLineChars="350"/>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第三类易制毒化学品运输事前备案</w:t>
            </w:r>
          </w:p>
        </w:tc>
      </w:tr>
      <w:tr>
        <w:trPr>
          <w:trHeight w:val="453"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ind w:firstLine="420"/>
              <w:jc w:val="left"/>
              <w:rPr>
                <w:rFonts w:cs="宋体" w:asciiTheme="minorEastAsia" w:hAnsiTheme="minorEastAsia" w:eastAsiaTheme="minorEastAsia"/>
                <w:color w:val="FF0000"/>
                <w:szCs w:val="21"/>
                <w:shd w:val="clear" w:color="auto" w:fill="F2F2F2"/>
              </w:rPr>
            </w:pPr>
            <w:r>
              <w:rPr>
                <w:rFonts w:hint="eastAsia" w:cs="宋体" w:asciiTheme="minorEastAsia" w:hAnsiTheme="minorEastAsia" w:eastAsiaTheme="minorEastAsia"/>
                <w:color w:val="000000"/>
                <w:szCs w:val="21"/>
                <w:lang w:val="zh-CN"/>
              </w:rPr>
              <w:t>《易制毒化学品管理条例》  《易制毒化学品购销和运输管理办法》</w:t>
            </w:r>
            <w:r>
              <w:rPr>
                <w:rFonts w:hint="eastAsia" w:cs="宋体" w:asciiTheme="minorEastAsia" w:hAnsiTheme="minorEastAsia" w:eastAsiaTheme="minorEastAsia"/>
                <w:szCs w:val="21"/>
                <w:shd w:val="clear" w:color="auto" w:fill="F2F2F2"/>
              </w:rPr>
              <w:t>《易制毒化学品管理条例》（国务院令第445号）第二十条：</w:t>
            </w:r>
            <w:r>
              <w:rPr>
                <w:rFonts w:hint="eastAsia" w:cs="宋体" w:asciiTheme="minorEastAsia" w:hAnsiTheme="minorEastAsia" w:eastAsiaTheme="minorEastAsia"/>
                <w:color w:val="000000"/>
                <w:szCs w:val="21"/>
                <w:lang w:val="zh-CN"/>
              </w:rPr>
              <w:t>跨设区的市级行政区域（直辖市为跨市界）或者在国务院公安部门确定的禁毒形势严峻的重点地区跨县级行政区域运输第一类易制毒化学品的，由运出地的设区的市级人民政府公安机关审批；运输第二类易制毒化学品的，由运出地的县级人民政府公安机关审批。</w:t>
            </w:r>
          </w:p>
          <w:p>
            <w:pPr>
              <w:autoSpaceDE w:val="0"/>
              <w:autoSpaceDN w:val="0"/>
              <w:adjustRightInd w:val="0"/>
              <w:spacing w:line="300" w:lineRule="exact"/>
              <w:ind w:firstLine="420"/>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申请易制毒化学品运输许可，应当提交易制毒化学品的购销合同，货主是企业的，应当提交营业执照；货主是其他组织的，应当提交登记证书（成立批准文件）；货主是个人的，应当提交其个人身份证明。经办人还应当提交本人的身份证明。  公安机关应当自收到第一类易制毒化学品运输许可申请之日起10日内，收到第二类易制毒化学品运输许可申请之日起3日内，对申请人提交的申请材料进行审查。对符合规定的，发给运输许可证；不予许可的，应当书面说明理由。</w:t>
            </w:r>
          </w:p>
          <w:p>
            <w:pPr>
              <w:autoSpaceDE w:val="0"/>
              <w:autoSpaceDN w:val="0"/>
              <w:adjustRightInd w:val="0"/>
              <w:spacing w:line="300" w:lineRule="exact"/>
              <w:ind w:firstLine="420"/>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运输易制毒化学品，有下列情形之一的，应当申请运输许可证或者进行备案： （一）跨设区的市级行政区域（直辖市为跨市界）运输的； （二）在禁毒形势严峻的重点地区跨县级行政区域运输的。禁毒形势严峻的重点地区由公安部确定和调整，名单另行公布。 运输第一类易制毒化学品的，应当向运出地的设区的市级人民政府公安机关申请运输许可证。 运输第二类易制毒化学品的，应当向运出地县级人民政府公安机关申请运输许可证。 运输第三类易制毒化学品的，应当向运出地县级人民政府公安机关备案。</w:t>
            </w:r>
          </w:p>
          <w:p>
            <w:pPr>
              <w:autoSpaceDE w:val="0"/>
              <w:autoSpaceDN w:val="0"/>
              <w:adjustRightInd w:val="0"/>
              <w:spacing w:line="300" w:lineRule="exact"/>
              <w:ind w:firstLine="420"/>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运输易制毒化学品，应当由货主向公安机关申请运输许可证或者进行备案。 申请易制毒化学品运输许可证或者进行备案，应当提交下列材料： （一）经营企业的营业执照（副本和复印件），其他组织的登记证书或者成立批准文件（原件和复印件），个人的身份证明（原件和复印件）； （二）易制毒化学品购销合同（复印件）； （三）经办人的身份证明（原件和复印件）</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负责审批的公安机关应当自收到第一类易制毒化学品运输许可申请之日起十日内，收到第二类易制毒化学品运输许可申请之日起三日内，对申请人提交的申请材料进行审查。对符合规定的，发给运输许可证；不予许可的，应当书面说明理由。 负责审批的公安机关对运输许可申请能够当场予以办理的，应当当场办理；对材料不齐备需要补充的，应当一次告知申请人需补充的内容；对提供材料不符合规定不予受理的，应当书面说明理由。</w:t>
            </w:r>
          </w:p>
        </w:tc>
      </w:tr>
      <w:tr>
        <w:tblPrEx>
          <w:tblCellMar>
            <w:top w:w="0" w:type="dxa"/>
            <w:left w:w="10" w:type="dxa"/>
            <w:bottom w:w="0" w:type="dxa"/>
            <w:right w:w="10" w:type="dxa"/>
          </w:tblCellMar>
        </w:tblPrEx>
        <w:trPr>
          <w:trHeight w:val="166"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1882"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48" w:type="dxa"/>
            <w:tcBorders>
              <w:top w:val="single" w:color="auto" w:sz="6" w:space="0"/>
              <w:left w:val="single" w:color="auto" w:sz="6" w:space="0"/>
              <w:bottom w:val="single" w:color="auto" w:sz="6" w:space="0"/>
              <w:right w:val="single" w:color="auto" w:sz="6" w:space="0"/>
            </w:tcBorders>
            <w:vAlign w:val="center"/>
          </w:tcPr>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1.受理责任：公示应当提交的材料，一次性告知补正材料，依法受理或不予受理（不予受理应当告知理由）。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2.审查责任：对书面材料进行审查，提出是否同意</w:t>
            </w:r>
            <w:r>
              <w:rPr>
                <w:rFonts w:hint="eastAsia" w:cs="宋体" w:asciiTheme="minorEastAsia" w:hAnsiTheme="minorEastAsia" w:eastAsiaTheme="minorEastAsia"/>
                <w:color w:val="000000"/>
                <w:kern w:val="0"/>
                <w:szCs w:val="21"/>
              </w:rPr>
              <w:t>第三类易制毒化学品运输事前备案许可</w:t>
            </w:r>
            <w:r>
              <w:rPr>
                <w:rFonts w:hint="eastAsia" w:cs="仿宋_GB2312" w:asciiTheme="minorEastAsia" w:hAnsiTheme="minorEastAsia" w:eastAsiaTheme="minorEastAsia"/>
                <w:kern w:val="0"/>
                <w:szCs w:val="21"/>
                <w:u w:color="000000"/>
              </w:rPr>
              <w:t>的审核意见，告知申请人享有申请行政复议的权利。</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3.决定责任：</w:t>
            </w:r>
            <w:r>
              <w:rPr>
                <w:rFonts w:hint="eastAsia" w:cs="仿宋_GB2312" w:asciiTheme="minorEastAsia" w:hAnsiTheme="minorEastAsia" w:eastAsiaTheme="minorEastAsia"/>
                <w:kern w:val="0"/>
                <w:szCs w:val="21"/>
              </w:rPr>
              <w:t>在规定的时限内，</w:t>
            </w:r>
            <w:r>
              <w:rPr>
                <w:rFonts w:hint="eastAsia" w:cs="仿宋_GB2312" w:asciiTheme="minorEastAsia" w:hAnsiTheme="minorEastAsia" w:eastAsiaTheme="minorEastAsia"/>
                <w:kern w:val="0"/>
                <w:szCs w:val="21"/>
                <w:u w:color="000000"/>
              </w:rPr>
              <w:t>作出行政许可或不予行政许可决定，法定告知（不予许可的应当书面告知理由）。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4.事后监管责任：建立实施监督检查的运行机制和管理制度，开展定期和不定期检查，依法采取相关处置措施。</w:t>
            </w:r>
          </w:p>
          <w:p>
            <w:pPr>
              <w:autoSpaceDE w:val="0"/>
              <w:autoSpaceDN w:val="0"/>
              <w:adjustRightInd w:val="0"/>
              <w:spacing w:line="300" w:lineRule="exact"/>
              <w:ind w:firstLine="412"/>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5.其他责任：法律法规规章文件规定应履行的其他责任。</w:t>
            </w:r>
          </w:p>
        </w:tc>
      </w:tr>
      <w:tr>
        <w:tblPrEx>
          <w:tblCellMar>
            <w:top w:w="0" w:type="dxa"/>
            <w:left w:w="10" w:type="dxa"/>
            <w:bottom w:w="0" w:type="dxa"/>
            <w:right w:w="10" w:type="dxa"/>
          </w:tblCellMar>
        </w:tblPrEx>
        <w:trPr>
          <w:trHeight w:val="1718"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4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ind w:firstLine="420"/>
              <w:jc w:val="left"/>
              <w:rPr>
                <w:rFonts w:cs="宋体" w:asciiTheme="minorEastAsia" w:hAnsiTheme="minorEastAsia" w:eastAsiaTheme="minorEastAsia"/>
                <w:color w:val="000000"/>
                <w:szCs w:val="21"/>
                <w:lang w:val="zh-CN"/>
              </w:rPr>
            </w:pPr>
          </w:p>
          <w:p>
            <w:pPr>
              <w:autoSpaceDE w:val="0"/>
              <w:autoSpaceDN w:val="0"/>
              <w:adjustRightInd w:val="0"/>
              <w:spacing w:line="300" w:lineRule="exact"/>
              <w:ind w:firstLine="420"/>
              <w:jc w:val="left"/>
              <w:rPr>
                <w:rFonts w:cs="宋体" w:asciiTheme="minorEastAsia" w:hAnsiTheme="minorEastAsia" w:eastAsiaTheme="minorEastAsia"/>
                <w:color w:val="000000"/>
                <w:szCs w:val="21"/>
                <w:lang w:val="zh-CN"/>
              </w:rPr>
            </w:pPr>
          </w:p>
        </w:tc>
      </w:tr>
      <w:tr>
        <w:trPr>
          <w:trHeight w:val="616"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05"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r>
        <w:tblPrEx>
          <w:tblCellMar>
            <w:top w:w="0" w:type="dxa"/>
            <w:left w:w="10" w:type="dxa"/>
            <w:bottom w:w="0" w:type="dxa"/>
            <w:right w:w="10" w:type="dxa"/>
          </w:tblCellMar>
        </w:tblPrEx>
        <w:trPr>
          <w:trHeight w:val="305"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w:t>
            </w:r>
          </w:p>
        </w:tc>
      </w:tr>
      <w:tr>
        <w:tblPrEx>
          <w:tblCellMar>
            <w:top w:w="0" w:type="dxa"/>
            <w:left w:w="10" w:type="dxa"/>
            <w:bottom w:w="0" w:type="dxa"/>
            <w:right w:w="10" w:type="dxa"/>
          </w:tblCellMar>
        </w:tblPrEx>
        <w:trPr>
          <w:trHeight w:val="657"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rPr>
          <w:trHeight w:val="305"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kern w:val="0"/>
                <w:szCs w:val="21"/>
              </w:rPr>
              <w:t>民用爆炸物品购买许可</w:t>
            </w:r>
          </w:p>
        </w:tc>
      </w:tr>
      <w:tr>
        <w:tblPrEx>
          <w:tblCellMar>
            <w:top w:w="0" w:type="dxa"/>
            <w:left w:w="10" w:type="dxa"/>
            <w:bottom w:w="0" w:type="dxa"/>
            <w:right w:w="10" w:type="dxa"/>
          </w:tblCellMar>
        </w:tblPrEx>
        <w:trPr>
          <w:trHeight w:val="646"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48" w:type="dxa"/>
            <w:tcBorders>
              <w:top w:val="single" w:color="auto" w:sz="6" w:space="0"/>
              <w:left w:val="single" w:color="auto" w:sz="6" w:space="0"/>
              <w:bottom w:val="single" w:color="auto" w:sz="6" w:space="0"/>
              <w:right w:val="single" w:color="auto" w:sz="6" w:space="0"/>
            </w:tcBorders>
            <w:vAlign w:val="center"/>
          </w:tcPr>
          <w:p>
            <w:pPr>
              <w:pStyle w:val="7"/>
              <w:spacing w:before="300" w:beforeAutospacing="0" w:line="345" w:lineRule="atLeast"/>
              <w:ind w:firstLine="480"/>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szCs w:val="21"/>
                <w:lang w:val="zh-CN"/>
              </w:rPr>
              <w:t>《民用爆炸物品安全管理条例》</w:t>
            </w:r>
            <w:r>
              <w:rPr>
                <w:rFonts w:asciiTheme="minorEastAsia" w:hAnsiTheme="minorEastAsia" w:eastAsiaTheme="minorEastAsia"/>
                <w:color w:val="000000" w:themeColor="text1"/>
                <w:sz w:val="21"/>
                <w:szCs w:val="21"/>
                <w14:textFill>
                  <w14:solidFill>
                    <w14:schemeClr w14:val="tx1"/>
                  </w14:solidFill>
                </w14:textFill>
              </w:rPr>
              <w:t>《民用爆炸物品安全管理条例》第二十一条</w:t>
            </w:r>
            <w:r>
              <w:rPr>
                <w:rFonts w:hint="eastAsia" w:asciiTheme="minorEastAsia" w:hAnsiTheme="minorEastAsia" w:eastAsiaTheme="minorEastAsia"/>
                <w:color w:val="000000" w:themeColor="text1"/>
                <w:sz w:val="21"/>
                <w:szCs w:val="21"/>
                <w14:textFill>
                  <w14:solidFill>
                    <w14:schemeClr w14:val="tx1"/>
                  </w14:solidFill>
                </w14:textFill>
              </w:rPr>
              <w:t>：</w:t>
            </w:r>
            <w:r>
              <w:rPr>
                <w:rFonts w:asciiTheme="minorEastAsia" w:hAnsiTheme="minorEastAsia" w:eastAsiaTheme="minorEastAsia"/>
                <w:color w:val="000000" w:themeColor="text1"/>
                <w:sz w:val="21"/>
                <w:szCs w:val="21"/>
                <w14:textFill>
                  <w14:solidFill>
                    <w14:schemeClr w14:val="tx1"/>
                  </w14:solidFill>
                </w14:textFill>
              </w:rPr>
              <w:t xml:space="preserve"> 民用爆炸物品使用单位申请购买民用爆炸物品的，应当向所在地县级人民政府公安机关提出购买申请，并提交下列有关材料：（一）工商营业执照或者事业单位法人证书；（二）《爆破作业单位许可证》或者其他合法使用证明；（三）购买单位的名称、地址、银行账户（四）购买品种、数量和用途说明。</w:t>
            </w:r>
          </w:p>
          <w:p>
            <w:pPr>
              <w:pStyle w:val="7"/>
              <w:spacing w:before="300" w:beforeAutospacing="0" w:line="345" w:lineRule="atLeast"/>
              <w:ind w:firstLine="48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受理申请的公安机关应当自受理申请之日起5日内对提交的有关材料进行审查，对符合条件的，核发《民用爆炸物品购买许可证》；对不符合条件的，不予核发《民用爆炸物品购买许可证》，书面向申请人说明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asciiTheme="minorEastAsia" w:hAnsiTheme="minorEastAsia" w:eastAsiaTheme="minorEastAsia"/>
                <w:color w:val="000000" w:themeColor="text1"/>
                <w:sz w:val="21"/>
                <w:szCs w:val="21"/>
                <w14:textFill>
                  <w14:solidFill>
                    <w14:schemeClr w14:val="tx1"/>
                  </w14:solidFill>
                </w14:textFill>
              </w:rPr>
              <w:t>《民用爆炸物品购买许可证》应当载明许可购买的品种、数量、购买单位以及许可的有效期限。</w:t>
            </w:r>
          </w:p>
        </w:tc>
      </w:tr>
      <w:tr>
        <w:tblPrEx>
          <w:tblCellMar>
            <w:top w:w="0" w:type="dxa"/>
            <w:left w:w="10" w:type="dxa"/>
            <w:bottom w:w="0" w:type="dxa"/>
            <w:right w:w="10" w:type="dxa"/>
          </w:tblCellMar>
        </w:tblPrEx>
        <w:trPr>
          <w:trHeight w:val="556"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05"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w:t>
            </w:r>
            <w:r>
              <w:rPr>
                <w:rFonts w:hint="eastAsia" w:cs="宋体" w:asciiTheme="minorEastAsia" w:hAnsiTheme="minorEastAsia" w:eastAsiaTheme="minorEastAsia"/>
                <w:color w:val="000000"/>
                <w:kern w:val="0"/>
                <w:szCs w:val="21"/>
              </w:rPr>
              <w:t>民用爆炸物品购买</w:t>
            </w:r>
            <w:r>
              <w:rPr>
                <w:rFonts w:hint="eastAsia" w:cs="宋体" w:asciiTheme="minorEastAsia" w:hAnsiTheme="minorEastAsia" w:eastAsiaTheme="minorEastAsia"/>
                <w:color w:val="000000"/>
                <w:szCs w:val="21"/>
                <w:lang w:val="zh-CN"/>
              </w:rPr>
              <w:t>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rPr>
          <w:trHeight w:val="1240"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4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pStyle w:val="7"/>
              <w:spacing w:before="300" w:beforeAutospacing="0" w:line="345" w:lineRule="atLeast"/>
              <w:ind w:firstLine="480"/>
              <w:rPr>
                <w:rFonts w:asciiTheme="minorEastAsia" w:hAnsiTheme="minorEastAsia" w:eastAsiaTheme="minorEastAsia"/>
                <w:color w:val="000000"/>
                <w:sz w:val="21"/>
                <w:szCs w:val="21"/>
              </w:rPr>
            </w:pPr>
          </w:p>
        </w:tc>
      </w:tr>
      <w:tr>
        <w:tblPrEx>
          <w:tblCellMar>
            <w:top w:w="0" w:type="dxa"/>
            <w:left w:w="10" w:type="dxa"/>
            <w:bottom w:w="0" w:type="dxa"/>
            <w:right w:w="10" w:type="dxa"/>
          </w:tblCellMar>
        </w:tblPrEx>
        <w:trPr>
          <w:trHeight w:val="305"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05"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360" w:type="dxa"/>
        <w:tblInd w:w="-108" w:type="dxa"/>
        <w:tblLayout w:type="fixed"/>
        <w:tblCellMar>
          <w:top w:w="0" w:type="dxa"/>
          <w:left w:w="10" w:type="dxa"/>
          <w:bottom w:w="0" w:type="dxa"/>
          <w:right w:w="10" w:type="dxa"/>
        </w:tblCellMar>
      </w:tblPr>
      <w:tblGrid>
        <w:gridCol w:w="1112"/>
        <w:gridCol w:w="8248"/>
      </w:tblGrid>
      <w:tr>
        <w:tblPrEx>
          <w:tblCellMar>
            <w:top w:w="0" w:type="dxa"/>
            <w:left w:w="10" w:type="dxa"/>
            <w:bottom w:w="0" w:type="dxa"/>
            <w:right w:w="10" w:type="dxa"/>
          </w:tblCellMar>
        </w:tblPrEx>
        <w:trPr>
          <w:trHeight w:val="307"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6</w:t>
            </w:r>
          </w:p>
        </w:tc>
      </w:tr>
      <w:tr>
        <w:tblPrEx>
          <w:tblCellMar>
            <w:top w:w="0" w:type="dxa"/>
            <w:left w:w="10" w:type="dxa"/>
            <w:bottom w:w="0" w:type="dxa"/>
            <w:right w:w="10" w:type="dxa"/>
          </w:tblCellMar>
        </w:tblPrEx>
        <w:trPr>
          <w:trHeight w:val="286"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权力类型</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行政许可</w:t>
            </w:r>
          </w:p>
        </w:tc>
      </w:tr>
      <w:tr>
        <w:tblPrEx>
          <w:tblCellMar>
            <w:top w:w="0" w:type="dxa"/>
            <w:left w:w="10" w:type="dxa"/>
            <w:bottom w:w="0" w:type="dxa"/>
            <w:right w:w="10" w:type="dxa"/>
          </w:tblCellMar>
        </w:tblPrEx>
        <w:trPr>
          <w:trHeight w:val="420"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48" w:type="dxa"/>
            <w:tcBorders>
              <w:top w:val="single" w:color="auto" w:sz="6" w:space="0"/>
              <w:left w:val="single" w:color="auto" w:sz="6" w:space="0"/>
              <w:bottom w:val="single" w:color="auto" w:sz="6" w:space="0"/>
              <w:right w:val="single" w:color="auto" w:sz="6" w:space="0"/>
            </w:tcBorders>
            <w:vAlign w:val="center"/>
          </w:tcPr>
          <w:p>
            <w:pPr>
              <w:widowControl/>
              <w:ind w:firstLine="1890" w:firstLineChars="900"/>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民用爆炸物品运输许可</w:t>
            </w:r>
          </w:p>
        </w:tc>
      </w:tr>
      <w:tr>
        <w:tblPrEx>
          <w:tblCellMar>
            <w:top w:w="0" w:type="dxa"/>
            <w:left w:w="10" w:type="dxa"/>
            <w:bottom w:w="0" w:type="dxa"/>
            <w:right w:w="10" w:type="dxa"/>
          </w:tblCellMar>
        </w:tblPrEx>
        <w:trPr>
          <w:trHeight w:val="453"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ind w:firstLine="1575" w:firstLineChars="750"/>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《民用爆炸物品安全管理条例》《民用爆炸物品安全管理条例》</w:t>
            </w:r>
            <w:r>
              <w:rPr>
                <w:rFonts w:hint="eastAsia" w:asciiTheme="minorEastAsia" w:hAnsiTheme="minorEastAsia" w:eastAsiaTheme="minorEastAsia"/>
                <w:b/>
                <w:bCs/>
                <w:color w:val="000000"/>
                <w:szCs w:val="21"/>
              </w:rPr>
              <w:t>第二十六条</w:t>
            </w:r>
            <w:r>
              <w:rPr>
                <w:rFonts w:hint="eastAsia" w:asciiTheme="minorEastAsia" w:hAnsiTheme="minorEastAsia" w:eastAsiaTheme="minorEastAsia"/>
                <w:color w:val="000000"/>
                <w:szCs w:val="21"/>
                <w:shd w:val="clear" w:color="auto" w:fill="FFFFFF"/>
              </w:rPr>
              <w:t>　运输民用爆炸物品，收货单位应当向运达地县级人民政府公安机关提出申请，并提交包括下列内容的材料：</w:t>
            </w:r>
            <w:r>
              <w:rPr>
                <w:rFonts w:hint="eastAsia" w:asciiTheme="minorEastAsia" w:hAnsiTheme="minorEastAsia" w:eastAsiaTheme="minorEastAsia"/>
                <w:color w:val="000000"/>
                <w:szCs w:val="21"/>
              </w:rPr>
              <w:br w:type="textWrapping"/>
            </w:r>
            <w:r>
              <w:rPr>
                <w:rFonts w:hint="eastAsia" w:asciiTheme="minorEastAsia" w:hAnsiTheme="minorEastAsia" w:eastAsiaTheme="minorEastAsia"/>
                <w:color w:val="000000"/>
                <w:szCs w:val="21"/>
                <w:shd w:val="clear" w:color="auto" w:fill="FFFFFF"/>
              </w:rPr>
              <w:t>　　（一）民用爆炸物品生产企业、销售企业、使用单位以及进出口单位分别提供的《民用爆炸物品生产许可证》、《民用爆炸物品销售许可证》、《民用爆炸物品购买许可证》或者进出口批准证明；</w:t>
            </w:r>
            <w:r>
              <w:rPr>
                <w:rFonts w:hint="eastAsia" w:asciiTheme="minorEastAsia" w:hAnsiTheme="minorEastAsia" w:eastAsiaTheme="minorEastAsia"/>
                <w:color w:val="000000"/>
                <w:szCs w:val="21"/>
              </w:rPr>
              <w:br w:type="textWrapping"/>
            </w:r>
            <w:r>
              <w:rPr>
                <w:rFonts w:hint="eastAsia" w:asciiTheme="minorEastAsia" w:hAnsiTheme="minorEastAsia" w:eastAsiaTheme="minorEastAsia"/>
                <w:color w:val="000000"/>
                <w:szCs w:val="21"/>
                <w:shd w:val="clear" w:color="auto" w:fill="FFFFFF"/>
              </w:rPr>
              <w:t>　　（二）运输民用爆炸物品的品种、数量、包装材料和包装方式；</w:t>
            </w:r>
            <w:r>
              <w:rPr>
                <w:rFonts w:hint="eastAsia" w:asciiTheme="minorEastAsia" w:hAnsiTheme="minorEastAsia" w:eastAsiaTheme="minorEastAsia"/>
                <w:color w:val="000000"/>
                <w:szCs w:val="21"/>
              </w:rPr>
              <w:br w:type="textWrapping"/>
            </w:r>
            <w:r>
              <w:rPr>
                <w:rFonts w:hint="eastAsia" w:asciiTheme="minorEastAsia" w:hAnsiTheme="minorEastAsia" w:eastAsiaTheme="minorEastAsia"/>
                <w:color w:val="000000"/>
                <w:szCs w:val="21"/>
                <w:shd w:val="clear" w:color="auto" w:fill="FFFFFF"/>
              </w:rPr>
              <w:t>　　（三）运输民用爆炸物品的特性、出现险情的应急处置方法；</w:t>
            </w:r>
            <w:r>
              <w:rPr>
                <w:rFonts w:hint="eastAsia" w:asciiTheme="minorEastAsia" w:hAnsiTheme="minorEastAsia" w:eastAsiaTheme="minorEastAsia"/>
                <w:color w:val="000000"/>
                <w:szCs w:val="21"/>
              </w:rPr>
              <w:br w:type="textWrapping"/>
            </w:r>
            <w:r>
              <w:rPr>
                <w:rFonts w:hint="eastAsia" w:asciiTheme="minorEastAsia" w:hAnsiTheme="minorEastAsia" w:eastAsiaTheme="minorEastAsia"/>
                <w:color w:val="000000"/>
                <w:szCs w:val="21"/>
                <w:shd w:val="clear" w:color="auto" w:fill="FFFFFF"/>
              </w:rPr>
              <w:t>　　（四）运输时间、起始地点、运输路线、经停地点。</w:t>
            </w:r>
            <w:r>
              <w:rPr>
                <w:rFonts w:hint="eastAsia" w:asciiTheme="minorEastAsia" w:hAnsiTheme="minorEastAsia" w:eastAsiaTheme="minorEastAsia"/>
                <w:color w:val="000000"/>
                <w:szCs w:val="21"/>
              </w:rPr>
              <w:br w:type="textWrapping"/>
            </w:r>
            <w:r>
              <w:rPr>
                <w:rFonts w:hint="eastAsia" w:asciiTheme="minorEastAsia" w:hAnsiTheme="minorEastAsia" w:eastAsiaTheme="minorEastAsia"/>
                <w:color w:val="000000"/>
                <w:szCs w:val="21"/>
                <w:shd w:val="clear" w:color="auto" w:fill="FFFFFF"/>
              </w:rPr>
              <w:t>　　受理申请的公安机关应当自受理申请之日起3日内对提交的有关材料进行审查，对符合条件的，核发《民用爆炸物品运输许可证》；对不符合条件的，不予核发《民用爆炸物品运输许可证》，书面向申请人说明理由。</w:t>
            </w:r>
            <w:r>
              <w:rPr>
                <w:rFonts w:hint="eastAsia" w:asciiTheme="minorEastAsia" w:hAnsiTheme="minorEastAsia" w:eastAsiaTheme="minorEastAsia"/>
                <w:color w:val="000000"/>
                <w:szCs w:val="21"/>
              </w:rPr>
              <w:br w:type="textWrapping"/>
            </w:r>
            <w:r>
              <w:rPr>
                <w:rFonts w:hint="eastAsia" w:asciiTheme="minorEastAsia" w:hAnsiTheme="minorEastAsia" w:eastAsiaTheme="minorEastAsia"/>
                <w:color w:val="000000"/>
                <w:szCs w:val="21"/>
                <w:shd w:val="clear" w:color="auto" w:fill="FFFFFF"/>
              </w:rPr>
              <w:t>　　《民用爆炸物品运输许可证》应当载明收货单位、销售企业、承运人，一次性运输有效期限、起始地点、运输路线、经停地点，民用爆炸物品的品种、数量。</w:t>
            </w:r>
          </w:p>
        </w:tc>
      </w:tr>
      <w:tr>
        <w:tblPrEx>
          <w:tblCellMar>
            <w:top w:w="0" w:type="dxa"/>
            <w:left w:w="10" w:type="dxa"/>
            <w:bottom w:w="0" w:type="dxa"/>
            <w:right w:w="10" w:type="dxa"/>
          </w:tblCellMar>
        </w:tblPrEx>
        <w:trPr>
          <w:trHeight w:val="166"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1882"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48" w:type="dxa"/>
            <w:tcBorders>
              <w:top w:val="single" w:color="auto" w:sz="6" w:space="0"/>
              <w:left w:val="single" w:color="auto" w:sz="6" w:space="0"/>
              <w:bottom w:val="single" w:color="auto" w:sz="6" w:space="0"/>
              <w:right w:val="single" w:color="auto" w:sz="6" w:space="0"/>
            </w:tcBorders>
            <w:vAlign w:val="center"/>
          </w:tcPr>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1.受理责任：公示应当提交的材料，一次性告知补正材料，依法受理或不予受理（不予受理应当告知理由）。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2.审查责任：对书面材料进行审查，提出是否同意</w:t>
            </w:r>
            <w:r>
              <w:rPr>
                <w:rFonts w:hint="eastAsia" w:cs="宋体" w:asciiTheme="minorEastAsia" w:hAnsiTheme="minorEastAsia" w:eastAsiaTheme="minorEastAsia"/>
                <w:color w:val="000000"/>
                <w:kern w:val="0"/>
                <w:szCs w:val="21"/>
              </w:rPr>
              <w:t>民用爆炸物品运输许可</w:t>
            </w:r>
            <w:r>
              <w:rPr>
                <w:rFonts w:hint="eastAsia" w:cs="仿宋_GB2312" w:asciiTheme="minorEastAsia" w:hAnsiTheme="minorEastAsia" w:eastAsiaTheme="minorEastAsia"/>
                <w:kern w:val="0"/>
                <w:szCs w:val="21"/>
                <w:u w:color="000000"/>
              </w:rPr>
              <w:t>的审核意见，告知申请人享有申请行政复议的权利。</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3.决定责任：</w:t>
            </w:r>
            <w:r>
              <w:rPr>
                <w:rFonts w:hint="eastAsia" w:cs="仿宋_GB2312" w:asciiTheme="minorEastAsia" w:hAnsiTheme="minorEastAsia" w:eastAsiaTheme="minorEastAsia"/>
                <w:kern w:val="0"/>
                <w:szCs w:val="21"/>
              </w:rPr>
              <w:t>在规定的时限内，</w:t>
            </w:r>
            <w:r>
              <w:rPr>
                <w:rFonts w:hint="eastAsia" w:cs="仿宋_GB2312" w:asciiTheme="minorEastAsia" w:hAnsiTheme="minorEastAsia" w:eastAsiaTheme="minorEastAsia"/>
                <w:kern w:val="0"/>
                <w:szCs w:val="21"/>
                <w:u w:color="000000"/>
              </w:rPr>
              <w:t>作出行政许可或不予行政许可决定，法定告知（不予许可的应当书面告知理由）。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4.事后监管责任：建立实施监督检查的运行机制和管理制度，开展定期和不定期检查，依法采取相关处置措施。</w:t>
            </w:r>
          </w:p>
          <w:p>
            <w:pPr>
              <w:autoSpaceDE w:val="0"/>
              <w:autoSpaceDN w:val="0"/>
              <w:adjustRightInd w:val="0"/>
              <w:spacing w:line="300" w:lineRule="exact"/>
              <w:ind w:firstLine="412"/>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5.其他责任：法律法规规章文件规定应履行的其他责任。</w:t>
            </w:r>
          </w:p>
        </w:tc>
      </w:tr>
      <w:tr>
        <w:tblPrEx>
          <w:tblCellMar>
            <w:top w:w="0" w:type="dxa"/>
            <w:left w:w="10" w:type="dxa"/>
            <w:bottom w:w="0" w:type="dxa"/>
            <w:right w:w="10" w:type="dxa"/>
          </w:tblCellMar>
        </w:tblPrEx>
        <w:trPr>
          <w:trHeight w:val="2192"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4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ind w:firstLine="420"/>
              <w:jc w:val="left"/>
              <w:rPr>
                <w:rFonts w:cs="宋体" w:asciiTheme="minorEastAsia" w:hAnsiTheme="minorEastAsia" w:eastAsiaTheme="minorEastAsia"/>
                <w:color w:val="FF0000"/>
                <w:szCs w:val="21"/>
                <w:lang w:val="zh-CN"/>
              </w:rPr>
            </w:pPr>
          </w:p>
        </w:tc>
      </w:tr>
      <w:tr>
        <w:tblPrEx>
          <w:tblCellMar>
            <w:top w:w="0" w:type="dxa"/>
            <w:left w:w="10" w:type="dxa"/>
            <w:bottom w:w="0" w:type="dxa"/>
            <w:right w:w="10" w:type="dxa"/>
          </w:tblCellMar>
        </w:tblPrEx>
        <w:trPr>
          <w:trHeight w:val="616"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05" w:hRule="atLeast"/>
        </w:trPr>
        <w:tc>
          <w:tcPr>
            <w:tcW w:w="111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4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7</w:t>
            </w:r>
          </w:p>
        </w:tc>
      </w:tr>
      <w:tr>
        <w:tblPrEx>
          <w:tblCellMar>
            <w:top w:w="0" w:type="dxa"/>
            <w:left w:w="10" w:type="dxa"/>
            <w:bottom w:w="0" w:type="dxa"/>
            <w:right w:w="10" w:type="dxa"/>
          </w:tblCellMar>
        </w:tblPrEx>
        <w:trPr>
          <w:trHeight w:val="29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行政许可</w:t>
            </w:r>
          </w:p>
        </w:tc>
      </w:tr>
      <w:tr>
        <w:tblPrEx>
          <w:tblCellMar>
            <w:top w:w="0" w:type="dxa"/>
            <w:left w:w="10" w:type="dxa"/>
            <w:bottom w:w="0" w:type="dxa"/>
            <w:right w:w="10" w:type="dxa"/>
          </w:tblCellMar>
        </w:tblPrEx>
        <w:trPr>
          <w:trHeight w:val="93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widowControl/>
              <w:ind w:firstLine="735" w:firstLineChars="350"/>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金融机构营业场所、金库安全防范设施建设方案审批及工程验收</w:t>
            </w:r>
          </w:p>
        </w:tc>
      </w:tr>
      <w:tr>
        <w:tblPrEx>
          <w:tblCellMar>
            <w:top w:w="0" w:type="dxa"/>
            <w:left w:w="10" w:type="dxa"/>
            <w:bottom w:w="0" w:type="dxa"/>
            <w:right w:w="10" w:type="dxa"/>
          </w:tblCellMar>
        </w:tblPrEx>
        <w:trPr>
          <w:trHeight w:val="6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ind w:firstLine="735" w:firstLineChars="350"/>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《金融机构营业场所和金库安全防范设施建设许可实施办法》</w:t>
            </w:r>
            <w:r>
              <w:rPr>
                <w:rFonts w:hint="eastAsia" w:cs="宋体" w:asciiTheme="minorEastAsia" w:hAnsiTheme="minorEastAsia" w:eastAsiaTheme="minorEastAsia"/>
                <w:color w:val="000000" w:themeColor="text1"/>
                <w:szCs w:val="21"/>
                <w:lang w:val="zh-CN"/>
                <w14:textFill>
                  <w14:solidFill>
                    <w14:schemeClr w14:val="tx1"/>
                  </w14:solidFill>
                </w14:textFill>
              </w:rPr>
              <w:t>《金融机构营业场所和金库安全防范设施建设许可实施办法》</w:t>
            </w:r>
            <w:r>
              <w:rPr>
                <w:rFonts w:hint="eastAsia" w:cs="宋体" w:asciiTheme="minorEastAsia" w:hAnsiTheme="minorEastAsia" w:eastAsiaTheme="minorEastAsia"/>
                <w:color w:val="000000"/>
                <w:szCs w:val="21"/>
                <w:lang w:val="zh-CN"/>
              </w:rPr>
              <w:t>第二条第一款　在中华人民共和国境内新建、改建金融机构营业场所、金库的，实行安全防范设施建设许可制度。 第三条  各级人民政府公安机关治安管理部门具体负责组织实施本办法。 第四条第一款　金融机构营业场所、金库安全防范设施建设方案审批和工程验收实行“属地管理、分级审批”的原则，由县级以上人民政府公安机关负责实施。</w:t>
            </w:r>
          </w:p>
        </w:tc>
      </w:tr>
      <w:tr>
        <w:tblPrEx>
          <w:tblCellMar>
            <w:top w:w="0" w:type="dxa"/>
            <w:left w:w="10" w:type="dxa"/>
            <w:bottom w:w="0" w:type="dxa"/>
            <w:right w:w="10" w:type="dxa"/>
          </w:tblCellMar>
        </w:tblPrEx>
        <w:trPr>
          <w:trHeight w:val="56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191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1.受理责任：公示应当提交的材料，一次性告知补正材料，依法受理或不予受理（不予受理应当告知理由）。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2.审查责任：对书面材料进行审查，提出是否同意</w:t>
            </w:r>
            <w:r>
              <w:rPr>
                <w:rFonts w:hint="eastAsia" w:cs="宋体" w:asciiTheme="minorEastAsia" w:hAnsiTheme="minorEastAsia" w:eastAsiaTheme="minorEastAsia"/>
                <w:color w:val="000000"/>
                <w:kern w:val="0"/>
                <w:szCs w:val="21"/>
              </w:rPr>
              <w:t>金融机构营业场所、金库安全防范设施建设方案审批及工程验收</w:t>
            </w:r>
            <w:r>
              <w:rPr>
                <w:rFonts w:hint="eastAsia" w:cs="仿宋_GB2312" w:asciiTheme="minorEastAsia" w:hAnsiTheme="minorEastAsia" w:eastAsiaTheme="minorEastAsia"/>
                <w:kern w:val="0"/>
                <w:szCs w:val="21"/>
                <w:u w:color="000000"/>
              </w:rPr>
              <w:t>许可的审核意见，告知申请人享有申请行政复议的权利。</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3.决定责任：</w:t>
            </w:r>
            <w:r>
              <w:rPr>
                <w:rFonts w:hint="eastAsia" w:cs="仿宋_GB2312" w:asciiTheme="minorEastAsia" w:hAnsiTheme="minorEastAsia" w:eastAsiaTheme="minorEastAsia"/>
                <w:kern w:val="0"/>
                <w:szCs w:val="21"/>
              </w:rPr>
              <w:t>在规定的时限内，</w:t>
            </w:r>
            <w:r>
              <w:rPr>
                <w:rFonts w:hint="eastAsia" w:cs="仿宋_GB2312" w:asciiTheme="minorEastAsia" w:hAnsiTheme="minorEastAsia" w:eastAsiaTheme="minorEastAsia"/>
                <w:kern w:val="0"/>
                <w:szCs w:val="21"/>
                <w:u w:color="000000"/>
              </w:rPr>
              <w:t>作出行政许可或不予行政许可决定，法定告知（不予许可的应当书面告知理由）。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4.事后监管责任：建立实施监督检查的运行机制和管理制度，开展定期和不定期检查，依法采取相关处置措施。</w:t>
            </w:r>
          </w:p>
          <w:p>
            <w:pPr>
              <w:autoSpaceDE w:val="0"/>
              <w:autoSpaceDN w:val="0"/>
              <w:adjustRightInd w:val="0"/>
              <w:spacing w:line="300" w:lineRule="exact"/>
              <w:ind w:firstLine="412"/>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5.其他责任：法律法规规章文件规定应履行的其他责任。</w:t>
            </w:r>
          </w:p>
        </w:tc>
      </w:tr>
      <w:tr>
        <w:tblPrEx>
          <w:tblCellMar>
            <w:top w:w="0" w:type="dxa"/>
            <w:left w:w="10" w:type="dxa"/>
            <w:bottom w:w="0" w:type="dxa"/>
            <w:right w:w="10" w:type="dxa"/>
          </w:tblCellMar>
        </w:tblPrEx>
        <w:trPr>
          <w:trHeight w:val="1748"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ind w:firstLine="420"/>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62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8</w:t>
            </w:r>
          </w:p>
        </w:tc>
      </w:tr>
      <w:tr>
        <w:tblPrEx>
          <w:tblCellMar>
            <w:top w:w="0" w:type="dxa"/>
            <w:left w:w="10" w:type="dxa"/>
            <w:bottom w:w="0" w:type="dxa"/>
            <w:right w:w="10" w:type="dxa"/>
          </w:tblCellMar>
        </w:tblPrEx>
        <w:trPr>
          <w:trHeight w:val="29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行政许可</w:t>
            </w:r>
          </w:p>
        </w:tc>
      </w:tr>
      <w:tr>
        <w:tblPrEx>
          <w:tblCellMar>
            <w:top w:w="0" w:type="dxa"/>
            <w:left w:w="10" w:type="dxa"/>
            <w:bottom w:w="0" w:type="dxa"/>
            <w:right w:w="10" w:type="dxa"/>
          </w:tblCellMar>
        </w:tblPrEx>
        <w:trPr>
          <w:trHeight w:val="93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widowControl/>
              <w:ind w:firstLine="1155" w:firstLineChars="550"/>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举行集会游行示威许可</w:t>
            </w:r>
          </w:p>
        </w:tc>
      </w:tr>
      <w:tr>
        <w:tblPrEx>
          <w:tblCellMar>
            <w:top w:w="0" w:type="dxa"/>
            <w:left w:w="10" w:type="dxa"/>
            <w:bottom w:w="0" w:type="dxa"/>
            <w:right w:w="10" w:type="dxa"/>
          </w:tblCellMar>
        </w:tblPrEx>
        <w:trPr>
          <w:trHeight w:val="6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ind w:firstLine="210" w:firstLineChars="100"/>
              <w:jc w:val="left"/>
              <w:rPr>
                <w:rFonts w:cs="宋体" w:asciiTheme="minorEastAsia" w:hAnsiTheme="minorEastAsia" w:eastAsiaTheme="minorEastAsia"/>
                <w:szCs w:val="21"/>
                <w:lang w:val="zh-CN"/>
              </w:rPr>
            </w:pPr>
            <w:r>
              <w:rPr>
                <w:rFonts w:hint="eastAsia" w:cs="宋体" w:asciiTheme="minorEastAsia" w:hAnsiTheme="minorEastAsia" w:eastAsiaTheme="minorEastAsia"/>
                <w:color w:val="000000"/>
                <w:szCs w:val="21"/>
                <w:lang w:val="zh-CN"/>
              </w:rPr>
              <w:t>《中华人民共和国集会游行示威法》 《中华人民共和国集会游行示威法实施条例》</w:t>
            </w:r>
            <w:r>
              <w:rPr>
                <w:rFonts w:cs="Arial" w:asciiTheme="minorEastAsia" w:hAnsiTheme="minorEastAsia" w:eastAsiaTheme="minorEastAsia"/>
                <w:szCs w:val="21"/>
                <w:shd w:val="clear" w:color="auto" w:fill="FFFFFF"/>
              </w:rPr>
              <w:t>《中华人民共和国集会游行示威法》第二章第</w:t>
            </w:r>
            <w:r>
              <w:rPr>
                <w:rFonts w:hint="eastAsia" w:cs="Arial" w:asciiTheme="minorEastAsia" w:hAnsiTheme="minorEastAsia" w:eastAsiaTheme="minorEastAsia"/>
                <w:szCs w:val="21"/>
                <w:shd w:val="clear" w:color="auto" w:fill="FFFFFF"/>
              </w:rPr>
              <w:t>六</w:t>
            </w:r>
            <w:r>
              <w:rPr>
                <w:rFonts w:cs="Arial" w:asciiTheme="minorEastAsia" w:hAnsiTheme="minorEastAsia" w:eastAsiaTheme="minorEastAsia"/>
                <w:szCs w:val="21"/>
                <w:shd w:val="clear" w:color="auto" w:fill="FFFFFF"/>
              </w:rPr>
              <w:t>条</w:t>
            </w:r>
            <w:r>
              <w:rPr>
                <w:rFonts w:hint="eastAsia" w:cs="宋体" w:asciiTheme="minorEastAsia" w:hAnsiTheme="minorEastAsia" w:eastAsiaTheme="minorEastAsia"/>
                <w:szCs w:val="21"/>
                <w:lang w:val="zh-CN"/>
              </w:rPr>
              <w:t xml:space="preserve">集会、游行、示威的主管机关，是集会、游行、示威举行地的市、县公安局、城市公安分局；游行、示威路线经过两个以上区、县的，主管机关为所经过区、县的公安机关的共同上一级公安机关。集会、游行、示威由举行地的市、县公安局、城市公安分局主管。    </w:t>
            </w:r>
          </w:p>
          <w:p>
            <w:pPr>
              <w:autoSpaceDE w:val="0"/>
              <w:autoSpaceDN w:val="0"/>
              <w:adjustRightInd w:val="0"/>
              <w:spacing w:line="300" w:lineRule="exact"/>
              <w:ind w:firstLine="210" w:firstLineChars="100"/>
              <w:jc w:val="left"/>
              <w:rPr>
                <w:rFonts w:asciiTheme="minorEastAsia" w:hAnsiTheme="minorEastAsia" w:eastAsiaTheme="minorEastAsia"/>
                <w:szCs w:val="21"/>
              </w:rPr>
            </w:pPr>
            <w:r>
              <w:rPr>
                <w:rFonts w:cs="Arial" w:asciiTheme="minorEastAsia" w:hAnsiTheme="minorEastAsia" w:eastAsiaTheme="minorEastAsia"/>
                <w:szCs w:val="21"/>
                <w:shd w:val="clear" w:color="auto" w:fill="FFFFFF"/>
              </w:rPr>
              <w:t xml:space="preserve">《中华人民共和国集会游行示威法》第二章第八条 </w:t>
            </w:r>
            <w:r>
              <w:rPr>
                <w:rFonts w:hint="eastAsia" w:asciiTheme="minorEastAsia" w:hAnsiTheme="minorEastAsia" w:eastAsiaTheme="minorEastAsia"/>
                <w:szCs w:val="21"/>
              </w:rPr>
              <w:t xml:space="preserve"> 举行集会、游行、示威，必须有负责人。</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　　依照本法规定需要申请的集会、游行、示威，其负责人必须在举行日期的五日前向主管机关递交书面申请。申请书中应当载明集会、游行、示威的目的、方式、标语、口号、人数、车辆数、使用音响设备的种类与数量、起止时间、地点(包括集合地和解散地)、路线和负责人的姓名、职业、住址。</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56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191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1.受理责任：公示应当提交的材料，一次性告知补正材料，依法受理或不予受理（不予受理应当告知理由）。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2.审查责任：对书面材料进行审查，提出是否同意</w:t>
            </w:r>
            <w:r>
              <w:rPr>
                <w:rFonts w:hint="eastAsia" w:cs="宋体" w:asciiTheme="minorEastAsia" w:hAnsiTheme="minorEastAsia" w:eastAsiaTheme="minorEastAsia"/>
                <w:color w:val="000000"/>
                <w:kern w:val="0"/>
                <w:szCs w:val="21"/>
              </w:rPr>
              <w:t>举行集会游行示威</w:t>
            </w:r>
            <w:r>
              <w:rPr>
                <w:rFonts w:hint="eastAsia" w:cs="仿宋_GB2312" w:asciiTheme="minorEastAsia" w:hAnsiTheme="minorEastAsia" w:eastAsiaTheme="minorEastAsia"/>
                <w:kern w:val="0"/>
                <w:szCs w:val="21"/>
                <w:u w:color="000000"/>
              </w:rPr>
              <w:t>许可的审核意见，告知申请人享有申请行政复议的权利。</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3.决定责任：</w:t>
            </w:r>
            <w:r>
              <w:rPr>
                <w:rFonts w:hint="eastAsia" w:cs="仿宋_GB2312" w:asciiTheme="minorEastAsia" w:hAnsiTheme="minorEastAsia" w:eastAsiaTheme="minorEastAsia"/>
                <w:kern w:val="0"/>
                <w:szCs w:val="21"/>
              </w:rPr>
              <w:t>在规定的时限内，</w:t>
            </w:r>
            <w:r>
              <w:rPr>
                <w:rFonts w:hint="eastAsia" w:cs="仿宋_GB2312" w:asciiTheme="minorEastAsia" w:hAnsiTheme="minorEastAsia" w:eastAsiaTheme="minorEastAsia"/>
                <w:kern w:val="0"/>
                <w:szCs w:val="21"/>
                <w:u w:color="000000"/>
              </w:rPr>
              <w:t>作出行政许可或不予行政许可决定，法定告知（不予许可的应当书面告知理由）。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4.事后监管责任：建立实施监督检查的运行机制和管理制度，开展定期和不定期检查，依法采取相关处置措施。</w:t>
            </w:r>
          </w:p>
          <w:p>
            <w:pPr>
              <w:autoSpaceDE w:val="0"/>
              <w:autoSpaceDN w:val="0"/>
              <w:adjustRightInd w:val="0"/>
              <w:spacing w:line="300" w:lineRule="exact"/>
              <w:ind w:firstLine="412"/>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5.其他责任：法律法规规章文件规定应履行的其他责任。</w:t>
            </w:r>
          </w:p>
        </w:tc>
      </w:tr>
      <w:tr>
        <w:tblPrEx>
          <w:tblCellMar>
            <w:top w:w="0" w:type="dxa"/>
            <w:left w:w="10" w:type="dxa"/>
            <w:bottom w:w="0" w:type="dxa"/>
            <w:right w:w="10" w:type="dxa"/>
          </w:tblCellMar>
        </w:tblPrEx>
        <w:trPr>
          <w:trHeight w:val="1748"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hint="eastAsia" w:cs="宋体" w:asciiTheme="minorEastAsia" w:hAnsiTheme="minorEastAsia" w:eastAsiaTheme="minorEastAsia"/>
                <w:color w:val="000000"/>
                <w:szCs w:val="21"/>
                <w:lang w:val="zh-CN"/>
              </w:rPr>
              <w:t xml:space="preserve"> </w:t>
            </w: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ind w:firstLine="210" w:firstLineChars="100"/>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62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9</w:t>
            </w:r>
          </w:p>
        </w:tc>
      </w:tr>
      <w:tr>
        <w:tblPrEx>
          <w:tblCellMar>
            <w:top w:w="0" w:type="dxa"/>
            <w:left w:w="10" w:type="dxa"/>
            <w:bottom w:w="0" w:type="dxa"/>
            <w:right w:w="10" w:type="dxa"/>
          </w:tblCellMar>
        </w:tblPrEx>
        <w:trPr>
          <w:trHeight w:val="29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行政许可</w:t>
            </w:r>
          </w:p>
        </w:tc>
      </w:tr>
      <w:tr>
        <w:tblPrEx>
          <w:tblCellMar>
            <w:top w:w="0" w:type="dxa"/>
            <w:left w:w="10" w:type="dxa"/>
            <w:bottom w:w="0" w:type="dxa"/>
            <w:right w:w="10" w:type="dxa"/>
          </w:tblCellMar>
        </w:tblPrEx>
        <w:trPr>
          <w:trHeight w:val="93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widowControl/>
              <w:ind w:firstLine="2100" w:firstLineChars="1000"/>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大型群众性活动安全许可</w:t>
            </w:r>
          </w:p>
        </w:tc>
      </w:tr>
      <w:tr>
        <w:tblPrEx>
          <w:tblCellMar>
            <w:top w:w="0" w:type="dxa"/>
            <w:left w:w="10" w:type="dxa"/>
            <w:bottom w:w="0" w:type="dxa"/>
            <w:right w:w="10" w:type="dxa"/>
          </w:tblCellMar>
        </w:tblPrEx>
        <w:trPr>
          <w:trHeight w:val="6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ind w:firstLine="420"/>
              <w:jc w:val="left"/>
              <w:rPr>
                <w:rFonts w:cs="宋体" w:asciiTheme="minorEastAsia" w:hAnsiTheme="minorEastAsia" w:eastAsiaTheme="minorEastAsia"/>
                <w:szCs w:val="21"/>
                <w:lang w:val="zh-CN"/>
              </w:rPr>
            </w:pPr>
            <w:r>
              <w:rPr>
                <w:rFonts w:hint="eastAsia" w:cs="宋体" w:asciiTheme="minorEastAsia" w:hAnsiTheme="minorEastAsia" w:eastAsiaTheme="minorEastAsia"/>
                <w:color w:val="000000"/>
                <w:szCs w:val="21"/>
                <w:lang w:val="zh-CN"/>
              </w:rPr>
              <w:t>《大型群众性活动安全许可》  《大型群众性活动安全管理条例》</w:t>
            </w:r>
            <w:r>
              <w:rPr>
                <w:rFonts w:cs="微软雅黑" w:asciiTheme="minorEastAsia" w:hAnsiTheme="minorEastAsia" w:eastAsiaTheme="minorEastAsia"/>
                <w:szCs w:val="21"/>
                <w:shd w:val="clear" w:color="auto" w:fill="FFFFFF"/>
              </w:rPr>
              <w:t>《大型群众性活动安全管理条例》</w:t>
            </w:r>
            <w:r>
              <w:rPr>
                <w:rFonts w:hint="eastAsia" w:cs="微软雅黑" w:asciiTheme="minorEastAsia" w:hAnsiTheme="minorEastAsia" w:eastAsiaTheme="minorEastAsia"/>
                <w:szCs w:val="21"/>
                <w:shd w:val="clear" w:color="auto" w:fill="FFFFFF"/>
              </w:rPr>
              <w:t>第十二条</w:t>
            </w:r>
            <w:r>
              <w:rPr>
                <w:rFonts w:hint="eastAsia" w:cs="宋体" w:asciiTheme="minorEastAsia" w:hAnsiTheme="minorEastAsia" w:eastAsiaTheme="minorEastAsia"/>
                <w:szCs w:val="21"/>
                <w:lang w:val="zh-CN"/>
              </w:rPr>
              <w:t>承办者变更大型群众性活动地点、内容及扩大大型群众性活动举办规模的，应当依照本条例的规定重新申请安全许可</w:t>
            </w:r>
          </w:p>
          <w:p>
            <w:pPr>
              <w:autoSpaceDE w:val="0"/>
              <w:autoSpaceDN w:val="0"/>
              <w:adjustRightInd w:val="0"/>
              <w:spacing w:line="300" w:lineRule="exact"/>
              <w:ind w:firstLine="420"/>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公安机关对大型群众性活动实行安全许可制度。《营业性演出管理条例》对演出活动的安全管理另有规定的，从其规定</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56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191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1.受理责任：公示应当提交的材料，一次性告知补正材料，依法受理或不予受理（不予受理应当告知理由）。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2.审查责任：对书面材料进行审查，提出是否同意</w:t>
            </w:r>
            <w:r>
              <w:rPr>
                <w:rFonts w:hint="eastAsia" w:cs="宋体" w:asciiTheme="minorEastAsia" w:hAnsiTheme="minorEastAsia" w:eastAsiaTheme="minorEastAsia"/>
                <w:color w:val="000000"/>
                <w:kern w:val="0"/>
                <w:szCs w:val="21"/>
              </w:rPr>
              <w:t>大型群众性活动安全许可</w:t>
            </w:r>
            <w:r>
              <w:rPr>
                <w:rFonts w:hint="eastAsia" w:cs="仿宋_GB2312" w:asciiTheme="minorEastAsia" w:hAnsiTheme="minorEastAsia" w:eastAsiaTheme="minorEastAsia"/>
                <w:kern w:val="0"/>
                <w:szCs w:val="21"/>
                <w:u w:color="000000"/>
              </w:rPr>
              <w:t>的审核意见，告知申请人享有申请行政复议的权利。</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3.决定责任：</w:t>
            </w:r>
            <w:r>
              <w:rPr>
                <w:rFonts w:hint="eastAsia" w:cs="仿宋_GB2312" w:asciiTheme="minorEastAsia" w:hAnsiTheme="minorEastAsia" w:eastAsiaTheme="minorEastAsia"/>
                <w:kern w:val="0"/>
                <w:szCs w:val="21"/>
              </w:rPr>
              <w:t>在规定的时限内，</w:t>
            </w:r>
            <w:r>
              <w:rPr>
                <w:rFonts w:hint="eastAsia" w:cs="仿宋_GB2312" w:asciiTheme="minorEastAsia" w:hAnsiTheme="minorEastAsia" w:eastAsiaTheme="minorEastAsia"/>
                <w:kern w:val="0"/>
                <w:szCs w:val="21"/>
                <w:u w:color="000000"/>
              </w:rPr>
              <w:t>作出行政许可或不予行政许可决定，法定告知（不予许可的应当书面告知理由）。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4.事后监管责任：建立实施监督检查的运行机制和管理制度，开展定期和不定期检查，依法采取相关处置措施。</w:t>
            </w:r>
          </w:p>
          <w:p>
            <w:pPr>
              <w:autoSpaceDE w:val="0"/>
              <w:autoSpaceDN w:val="0"/>
              <w:adjustRightInd w:val="0"/>
              <w:spacing w:line="300" w:lineRule="exact"/>
              <w:ind w:firstLine="412"/>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5.其他责任：法律法规规章文件规定应履行的其他责任。</w:t>
            </w:r>
          </w:p>
        </w:tc>
      </w:tr>
      <w:tr>
        <w:tblPrEx>
          <w:tblCellMar>
            <w:top w:w="0" w:type="dxa"/>
            <w:left w:w="10" w:type="dxa"/>
            <w:bottom w:w="0" w:type="dxa"/>
            <w:right w:w="10" w:type="dxa"/>
          </w:tblCellMar>
        </w:tblPrEx>
        <w:trPr>
          <w:trHeight w:val="1748"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ind w:firstLine="420"/>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62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10</w:t>
            </w:r>
          </w:p>
        </w:tc>
      </w:tr>
      <w:tr>
        <w:tblPrEx>
          <w:tblCellMar>
            <w:top w:w="0" w:type="dxa"/>
            <w:left w:w="10" w:type="dxa"/>
            <w:bottom w:w="0" w:type="dxa"/>
            <w:right w:w="10" w:type="dxa"/>
          </w:tblCellMar>
        </w:tblPrEx>
        <w:trPr>
          <w:trHeight w:val="29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行政许可</w:t>
            </w:r>
          </w:p>
        </w:tc>
      </w:tr>
      <w:tr>
        <w:tblPrEx>
          <w:tblCellMar>
            <w:top w:w="0" w:type="dxa"/>
            <w:left w:w="10" w:type="dxa"/>
            <w:bottom w:w="0" w:type="dxa"/>
            <w:right w:w="10" w:type="dxa"/>
          </w:tblCellMar>
        </w:tblPrEx>
        <w:trPr>
          <w:trHeight w:val="93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widowControl/>
              <w:ind w:firstLine="2100" w:firstLineChars="1000"/>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举办焰火晚会及其他大型焰火燃放活动许可</w:t>
            </w:r>
          </w:p>
        </w:tc>
      </w:tr>
      <w:tr>
        <w:tblPrEx>
          <w:tblCellMar>
            <w:top w:w="0" w:type="dxa"/>
            <w:left w:w="10" w:type="dxa"/>
            <w:bottom w:w="0" w:type="dxa"/>
            <w:right w:w="10" w:type="dxa"/>
          </w:tblCellMar>
        </w:tblPrEx>
        <w:trPr>
          <w:trHeight w:val="6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asciiTheme="minorEastAsia" w:hAnsiTheme="minorEastAsia" w:eastAsiaTheme="minorEastAsia"/>
                <w:color w:val="4E4D4D"/>
                <w:szCs w:val="21"/>
                <w:shd w:val="clear" w:color="auto" w:fill="FFFFFF"/>
              </w:rPr>
              <w:t>《烟花爆竹安全管理条例》</w:t>
            </w:r>
            <w:r>
              <w:rPr>
                <w:rFonts w:hint="eastAsia" w:cs="Calibri" w:asciiTheme="minorEastAsia" w:hAnsiTheme="minorEastAsia" w:eastAsiaTheme="minorEastAsia"/>
                <w:color w:val="4E4D4D"/>
                <w:sz w:val="21"/>
                <w:szCs w:val="21"/>
              </w:rPr>
              <w:t>《烟花爆竹安全管理条例》第三十三条：依照本条例规定需要申请的焰火晚会以及其他大型焰火燃放活动，必须向县公安局递交书面申请。申请书中应载明举办焰火晚会以及其他大型焰火燃放活动的时间、地点、环境、活动性质、规模及燃放烟花爆竹的种类、规格、数量。</w:t>
            </w:r>
          </w:p>
        </w:tc>
      </w:tr>
      <w:tr>
        <w:tblPrEx>
          <w:tblCellMar>
            <w:top w:w="0" w:type="dxa"/>
            <w:left w:w="10" w:type="dxa"/>
            <w:bottom w:w="0" w:type="dxa"/>
            <w:right w:w="10" w:type="dxa"/>
          </w:tblCellMar>
        </w:tblPrEx>
        <w:trPr>
          <w:trHeight w:val="56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191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1.受理责任：公示应当提交的材料，一次性告知补正材料，依法受理或不予受理（不予受理应当告知理由）。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2.审查责任：对书面材料进行审查，提出是否同意</w:t>
            </w:r>
            <w:r>
              <w:rPr>
                <w:rFonts w:hint="eastAsia" w:cs="宋体" w:asciiTheme="minorEastAsia" w:hAnsiTheme="minorEastAsia" w:eastAsiaTheme="minorEastAsia"/>
                <w:color w:val="000000"/>
                <w:kern w:val="0"/>
                <w:szCs w:val="21"/>
              </w:rPr>
              <w:t>举办焰火晚会及其他大型焰火燃放活动许可许可</w:t>
            </w:r>
            <w:r>
              <w:rPr>
                <w:rFonts w:hint="eastAsia" w:cs="仿宋_GB2312" w:asciiTheme="minorEastAsia" w:hAnsiTheme="minorEastAsia" w:eastAsiaTheme="minorEastAsia"/>
                <w:kern w:val="0"/>
                <w:szCs w:val="21"/>
                <w:u w:color="000000"/>
              </w:rPr>
              <w:t>的审核意见，告知申请人享有申请行政复议的权利。</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3.决定责任：</w:t>
            </w:r>
            <w:r>
              <w:rPr>
                <w:rFonts w:hint="eastAsia" w:cs="仿宋_GB2312" w:asciiTheme="minorEastAsia" w:hAnsiTheme="minorEastAsia" w:eastAsiaTheme="minorEastAsia"/>
                <w:kern w:val="0"/>
                <w:szCs w:val="21"/>
              </w:rPr>
              <w:t>在规定的时限内，</w:t>
            </w:r>
            <w:r>
              <w:rPr>
                <w:rFonts w:hint="eastAsia" w:cs="仿宋_GB2312" w:asciiTheme="minorEastAsia" w:hAnsiTheme="minorEastAsia" w:eastAsiaTheme="minorEastAsia"/>
                <w:kern w:val="0"/>
                <w:szCs w:val="21"/>
                <w:u w:color="000000"/>
              </w:rPr>
              <w:t>作出行政许可或不予行政许可决定，法定告知（不予许可的应当书面告知理由）。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4.事后监管责任：建立实施监督检查的运行机制和管理制度，开展定期和不定期检查，依法采取相关处置措施。</w:t>
            </w:r>
          </w:p>
          <w:p>
            <w:pPr>
              <w:autoSpaceDE w:val="0"/>
              <w:autoSpaceDN w:val="0"/>
              <w:adjustRightInd w:val="0"/>
              <w:spacing w:line="300" w:lineRule="exact"/>
              <w:ind w:firstLine="412"/>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5.其他责任：法律法规规章文件规定应履行的其他责任。</w:t>
            </w:r>
          </w:p>
        </w:tc>
      </w:tr>
      <w:tr>
        <w:tblPrEx>
          <w:tblCellMar>
            <w:top w:w="0" w:type="dxa"/>
            <w:left w:w="10" w:type="dxa"/>
            <w:bottom w:w="0" w:type="dxa"/>
            <w:right w:w="10" w:type="dxa"/>
          </w:tblCellMar>
        </w:tblPrEx>
        <w:trPr>
          <w:trHeight w:val="1748"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pStyle w:val="7"/>
              <w:shd w:val="clear" w:color="auto" w:fill="FFFFFF"/>
              <w:spacing w:before="0" w:beforeAutospacing="0" w:after="0" w:afterAutospacing="0" w:line="500" w:lineRule="atLeast"/>
              <w:jc w:val="both"/>
              <w:rPr>
                <w:rFonts w:cs="Calibri" w:asciiTheme="minorEastAsia" w:hAnsiTheme="minorEastAsia" w:eastAsiaTheme="minorEastAsia"/>
                <w:color w:val="4E4D4D"/>
                <w:sz w:val="21"/>
                <w:szCs w:val="21"/>
              </w:rPr>
            </w:pPr>
          </w:p>
        </w:tc>
      </w:tr>
      <w:tr>
        <w:tblPrEx>
          <w:tblCellMar>
            <w:top w:w="0" w:type="dxa"/>
            <w:left w:w="10" w:type="dxa"/>
            <w:bottom w:w="0" w:type="dxa"/>
            <w:right w:w="10" w:type="dxa"/>
          </w:tblCellMar>
        </w:tblPrEx>
        <w:trPr>
          <w:trHeight w:val="62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11</w:t>
            </w:r>
          </w:p>
        </w:tc>
      </w:tr>
      <w:tr>
        <w:tblPrEx>
          <w:tblCellMar>
            <w:top w:w="0" w:type="dxa"/>
            <w:left w:w="10" w:type="dxa"/>
            <w:bottom w:w="0" w:type="dxa"/>
            <w:right w:w="10" w:type="dxa"/>
          </w:tblCellMar>
        </w:tblPrEx>
        <w:trPr>
          <w:trHeight w:val="5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行政许可</w:t>
            </w:r>
          </w:p>
        </w:tc>
      </w:tr>
      <w:tr>
        <w:tblPrEx>
          <w:tblCellMar>
            <w:top w:w="0" w:type="dxa"/>
            <w:left w:w="10" w:type="dxa"/>
            <w:bottom w:w="0" w:type="dxa"/>
            <w:right w:w="10" w:type="dxa"/>
          </w:tblCellMar>
        </w:tblPrEx>
        <w:trPr>
          <w:trHeight w:val="93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widowControl/>
              <w:ind w:firstLine="2100" w:firstLineChars="1000"/>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典当业特种行业许可证核发</w:t>
            </w:r>
          </w:p>
        </w:tc>
      </w:tr>
      <w:tr>
        <w:tblPrEx>
          <w:tblCellMar>
            <w:top w:w="0" w:type="dxa"/>
            <w:left w:w="10" w:type="dxa"/>
            <w:bottom w:w="0" w:type="dxa"/>
            <w:right w:w="10" w:type="dxa"/>
          </w:tblCellMar>
        </w:tblPrEx>
        <w:trPr>
          <w:trHeight w:val="6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ind w:firstLine="420"/>
              <w:jc w:val="left"/>
              <w:rPr>
                <w:rFonts w:cs="微软雅黑" w:asciiTheme="minorEastAsia" w:hAnsiTheme="minorEastAsia" w:eastAsiaTheme="minorEastAsia"/>
                <w:szCs w:val="21"/>
              </w:rPr>
            </w:pPr>
            <w:r>
              <w:rPr>
                <w:rFonts w:hint="eastAsia" w:cs="宋体" w:asciiTheme="minorEastAsia" w:hAnsiTheme="minorEastAsia" w:eastAsiaTheme="minorEastAsia"/>
                <w:color w:val="000000"/>
                <w:szCs w:val="21"/>
                <w:lang w:val="zh-CN"/>
              </w:rPr>
              <w:t xml:space="preserve">《典当管理办法》 </w:t>
            </w:r>
            <w:r>
              <w:rPr>
                <w:rFonts w:hint="eastAsia" w:cs="微软雅黑" w:asciiTheme="minorEastAsia" w:hAnsiTheme="minorEastAsia" w:eastAsiaTheme="minorEastAsia"/>
                <w:szCs w:val="21"/>
              </w:rPr>
              <w:t>《国务院对确需保留的行政审批项目设定行政许可的决定》（国务院令第412号）附件第35项《典当管理办法》（商务部、公安部2005年第8号）第十六条</w:t>
            </w:r>
            <w:r>
              <w:rPr>
                <w:rFonts w:cs="Arial" w:asciiTheme="minorEastAsia" w:hAnsiTheme="minorEastAsia" w:eastAsiaTheme="minorEastAsia"/>
                <w:szCs w:val="21"/>
              </w:rPr>
              <w:t>申请人领取《典当经营许可证》后，应当在10日内向所在地县级人民政府公安机关申请典当行《特种行业许可证》，并提供下列材料：</w:t>
            </w:r>
          </w:p>
          <w:p>
            <w:pPr>
              <w:pStyle w:val="7"/>
              <w:shd w:val="clear" w:color="auto" w:fill="FFFFFF"/>
              <w:spacing w:before="0" w:beforeAutospacing="0" w:after="225" w:afterAutospacing="0"/>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（一）申请报告；</w:t>
            </w:r>
          </w:p>
          <w:p>
            <w:pPr>
              <w:pStyle w:val="7"/>
              <w:shd w:val="clear" w:color="auto" w:fill="FFFFFF"/>
              <w:spacing w:before="0" w:beforeAutospacing="0" w:after="225" w:afterAutospacing="0"/>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（二）《典当经营许可证》及复印件；</w:t>
            </w:r>
          </w:p>
          <w:p>
            <w:pPr>
              <w:pStyle w:val="7"/>
              <w:shd w:val="clear" w:color="auto" w:fill="FFFFFF"/>
              <w:spacing w:before="0" w:beforeAutospacing="0" w:after="225" w:afterAutospacing="0"/>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（三）法定代表人、个人股东和其他高级管理人员的简历及有效身份证件复印件；</w:t>
            </w:r>
          </w:p>
          <w:p>
            <w:pPr>
              <w:pStyle w:val="7"/>
              <w:shd w:val="clear" w:color="auto" w:fill="FFFFFF"/>
              <w:spacing w:before="0" w:beforeAutospacing="0" w:after="225" w:afterAutospacing="0"/>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（四）法定代表人、个人股东和其他高级管理人员的户口所在地县级人民政府公安机关出具的无故意犯罪记录证明；</w:t>
            </w:r>
          </w:p>
          <w:p>
            <w:pPr>
              <w:pStyle w:val="7"/>
              <w:shd w:val="clear" w:color="auto" w:fill="FFFFFF"/>
              <w:spacing w:before="0" w:beforeAutospacing="0" w:after="225" w:afterAutospacing="0"/>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（五）典当行经营场所及保管库房平面图、建筑结构图；</w:t>
            </w:r>
          </w:p>
          <w:p>
            <w:pPr>
              <w:pStyle w:val="7"/>
              <w:shd w:val="clear" w:color="auto" w:fill="FFFFFF"/>
              <w:spacing w:before="0" w:beforeAutospacing="0" w:after="225" w:afterAutospacing="0"/>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（六）录像设备、防护设施、保险箱（柜、库）及消防设施安装、设置位置分布图；</w:t>
            </w:r>
          </w:p>
          <w:p>
            <w:pPr>
              <w:pStyle w:val="7"/>
              <w:shd w:val="clear" w:color="auto" w:fill="FFFFFF"/>
              <w:spacing w:before="0" w:beforeAutospacing="0" w:after="225" w:afterAutospacing="0"/>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（七）各项治安保卫、消防安全管理制度；</w:t>
            </w:r>
          </w:p>
          <w:p>
            <w:pPr>
              <w:autoSpaceDE w:val="0"/>
              <w:autoSpaceDN w:val="0"/>
              <w:adjustRightInd w:val="0"/>
              <w:spacing w:line="300" w:lineRule="exact"/>
              <w:ind w:firstLine="2730" w:firstLineChars="1300"/>
              <w:jc w:val="left"/>
              <w:rPr>
                <w:rFonts w:cs="宋体" w:asciiTheme="minorEastAsia" w:hAnsiTheme="minorEastAsia" w:eastAsiaTheme="minorEastAsia"/>
                <w:color w:val="000000"/>
                <w:szCs w:val="21"/>
                <w:lang w:val="zh-CN"/>
              </w:rPr>
            </w:pPr>
            <w:r>
              <w:rPr>
                <w:rFonts w:cs="Arial" w:asciiTheme="minorEastAsia" w:hAnsiTheme="minorEastAsia" w:eastAsiaTheme="minorEastAsia"/>
                <w:sz w:val="21"/>
                <w:szCs w:val="21"/>
              </w:rPr>
              <w:t>（八）治安保卫组织或者治安保卫人员基本情况</w:t>
            </w:r>
            <w:r>
              <w:rPr>
                <w:rFonts w:hint="eastAsia" w:cs="宋体" w:asciiTheme="minorEastAsia" w:hAnsiTheme="minorEastAsia" w:eastAsiaTheme="minorEastAsia"/>
                <w:color w:val="000000"/>
                <w:szCs w:val="21"/>
                <w:lang w:val="zh-CN"/>
              </w:rPr>
              <w:t xml:space="preserve"> </w:t>
            </w:r>
          </w:p>
        </w:tc>
      </w:tr>
      <w:tr>
        <w:tblPrEx>
          <w:tblCellMar>
            <w:top w:w="0" w:type="dxa"/>
            <w:left w:w="10" w:type="dxa"/>
            <w:bottom w:w="0" w:type="dxa"/>
            <w:right w:w="10" w:type="dxa"/>
          </w:tblCellMar>
        </w:tblPrEx>
        <w:trPr>
          <w:trHeight w:val="56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191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1.受理责任：公示应当提交的材料，一次性告知补正材料，依法受理或不予受理（不予受理应当告知理由）。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2.审查责任：对书面材料进行审查，提出是否同意</w:t>
            </w:r>
            <w:r>
              <w:rPr>
                <w:rFonts w:hint="eastAsia" w:cs="宋体" w:asciiTheme="minorEastAsia" w:hAnsiTheme="minorEastAsia" w:eastAsiaTheme="minorEastAsia"/>
                <w:color w:val="000000"/>
                <w:kern w:val="0"/>
                <w:szCs w:val="21"/>
              </w:rPr>
              <w:t>典当业特种行业许可证核发</w:t>
            </w:r>
            <w:r>
              <w:rPr>
                <w:rFonts w:hint="eastAsia" w:cs="仿宋_GB2312" w:asciiTheme="minorEastAsia" w:hAnsiTheme="minorEastAsia" w:eastAsiaTheme="minorEastAsia"/>
                <w:kern w:val="0"/>
                <w:szCs w:val="21"/>
                <w:u w:color="000000"/>
              </w:rPr>
              <w:t>许可的审核意见，告知申请人享有申请行政复议的权利。</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3.决定责任：</w:t>
            </w:r>
            <w:r>
              <w:rPr>
                <w:rFonts w:hint="eastAsia" w:cs="仿宋_GB2312" w:asciiTheme="minorEastAsia" w:hAnsiTheme="minorEastAsia" w:eastAsiaTheme="minorEastAsia"/>
                <w:kern w:val="0"/>
                <w:szCs w:val="21"/>
              </w:rPr>
              <w:t>在规定的时限内，</w:t>
            </w:r>
            <w:r>
              <w:rPr>
                <w:rFonts w:hint="eastAsia" w:cs="仿宋_GB2312" w:asciiTheme="minorEastAsia" w:hAnsiTheme="minorEastAsia" w:eastAsiaTheme="minorEastAsia"/>
                <w:kern w:val="0"/>
                <w:szCs w:val="21"/>
                <w:u w:color="000000"/>
              </w:rPr>
              <w:t>作出行政许可或不予行政许可决定，法定告知（不予许可的应当书面告知理由）。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4.事后监管责任：建立实施监督检查的运行机制和管理制度，开展定期和不定期检查，依法采取相关处置措施。</w:t>
            </w:r>
          </w:p>
          <w:p>
            <w:pPr>
              <w:autoSpaceDE w:val="0"/>
              <w:autoSpaceDN w:val="0"/>
              <w:adjustRightInd w:val="0"/>
              <w:spacing w:line="300" w:lineRule="exact"/>
              <w:ind w:firstLine="412"/>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5.其他责任：法律法规规章文件规定应履行的其他责任。</w:t>
            </w:r>
          </w:p>
        </w:tc>
      </w:tr>
      <w:tr>
        <w:tblPrEx>
          <w:tblCellMar>
            <w:top w:w="0" w:type="dxa"/>
            <w:left w:w="10" w:type="dxa"/>
            <w:bottom w:w="0" w:type="dxa"/>
            <w:right w:w="10" w:type="dxa"/>
          </w:tblCellMar>
        </w:tblPrEx>
        <w:trPr>
          <w:trHeight w:val="1748"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pStyle w:val="7"/>
              <w:shd w:val="clear" w:color="auto" w:fill="FFFFFF"/>
              <w:spacing w:before="0" w:beforeAutospacing="0" w:after="225" w:afterAutospacing="0"/>
              <w:ind w:firstLine="480"/>
              <w:rPr>
                <w:rFonts w:cs="Arial" w:asciiTheme="minorEastAsia" w:hAnsiTheme="minorEastAsia" w:eastAsiaTheme="minorEastAsia"/>
                <w:color w:val="333333"/>
                <w:sz w:val="21"/>
                <w:szCs w:val="21"/>
              </w:rPr>
            </w:pPr>
          </w:p>
        </w:tc>
      </w:tr>
      <w:tr>
        <w:tblPrEx>
          <w:tblCellMar>
            <w:top w:w="0" w:type="dxa"/>
            <w:left w:w="10" w:type="dxa"/>
            <w:bottom w:w="0" w:type="dxa"/>
            <w:right w:w="10" w:type="dxa"/>
          </w:tblCellMar>
        </w:tblPrEx>
        <w:trPr>
          <w:trHeight w:val="62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12</w:t>
            </w:r>
          </w:p>
        </w:tc>
      </w:tr>
      <w:tr>
        <w:tblPrEx>
          <w:tblCellMar>
            <w:top w:w="0" w:type="dxa"/>
            <w:left w:w="10" w:type="dxa"/>
            <w:bottom w:w="0" w:type="dxa"/>
            <w:right w:w="10" w:type="dxa"/>
          </w:tblCellMar>
        </w:tblPrEx>
        <w:trPr>
          <w:trHeight w:val="5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行政许可</w:t>
            </w:r>
          </w:p>
        </w:tc>
      </w:tr>
      <w:tr>
        <w:tblPrEx>
          <w:tblCellMar>
            <w:top w:w="0" w:type="dxa"/>
            <w:left w:w="10" w:type="dxa"/>
            <w:bottom w:w="0" w:type="dxa"/>
            <w:right w:w="10" w:type="dxa"/>
          </w:tblCellMar>
        </w:tblPrEx>
        <w:trPr>
          <w:trHeight w:val="93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widowControl/>
              <w:ind w:firstLine="2205" w:firstLineChars="1050"/>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公章刻制业特种行业许可证核发</w:t>
            </w:r>
          </w:p>
        </w:tc>
      </w:tr>
      <w:tr>
        <w:tblPrEx>
          <w:tblCellMar>
            <w:top w:w="0" w:type="dxa"/>
            <w:left w:w="10" w:type="dxa"/>
            <w:bottom w:w="0" w:type="dxa"/>
            <w:right w:w="10" w:type="dxa"/>
          </w:tblCellMar>
        </w:tblPrEx>
        <w:trPr>
          <w:trHeight w:val="6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pStyle w:val="7"/>
              <w:spacing w:before="0" w:beforeAutospacing="0" w:after="0" w:afterAutospacing="0"/>
              <w:rPr>
                <w:rFonts w:asciiTheme="minorEastAsia" w:hAnsiTheme="minorEastAsia" w:eastAsiaTheme="minorEastAsia"/>
                <w:color w:val="000000"/>
                <w:sz w:val="21"/>
                <w:szCs w:val="21"/>
              </w:rPr>
            </w:pPr>
            <w:r>
              <w:rPr>
                <w:rFonts w:hint="eastAsia" w:cs="宋体" w:asciiTheme="minorEastAsia" w:hAnsiTheme="minorEastAsia" w:eastAsiaTheme="minorEastAsia"/>
                <w:color w:val="000000"/>
                <w:szCs w:val="21"/>
                <w:lang w:val="zh-CN"/>
              </w:rPr>
              <w:t>《印铸刻字业暂行管理规则》（1951年）《国务院对确需保留的行政审批项目设定行政许可的决定》</w:t>
            </w:r>
            <w:r>
              <w:rPr>
                <w:rFonts w:hint="eastAsia" w:asciiTheme="minorEastAsia" w:hAnsiTheme="minorEastAsia" w:eastAsiaTheme="minorEastAsia"/>
                <w:color w:val="000000"/>
                <w:sz w:val="21"/>
                <w:szCs w:val="21"/>
              </w:rPr>
              <w:t>【行政法规】《国务院对确需保留的行政审批项目设定行政许可的决定》(2004年6月29日国务院令第412号,2009年1月29日予以修改)</w:t>
            </w:r>
          </w:p>
          <w:p>
            <w:pPr>
              <w:pStyle w:val="7"/>
              <w:spacing w:before="0" w:beforeAutospacing="0" w:after="0" w:afterAutospacing="0"/>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附件第37项公章刻制业特种行业许可证核发。实施机关：县级以上地方人民政府公安机关。</w:t>
            </w:r>
          </w:p>
          <w:p>
            <w:pPr>
              <w:autoSpaceDE w:val="0"/>
              <w:autoSpaceDN w:val="0"/>
              <w:adjustRightInd w:val="0"/>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 xml:space="preserve"> 1.凡经营印铸刻字业者，须先向该管市（县）人民政府公安局或分局申请登记</w:t>
            </w:r>
          </w:p>
          <w:p>
            <w:pPr>
              <w:autoSpaceDE w:val="0"/>
              <w:autoSpaceDN w:val="0"/>
              <w:adjustRightInd w:val="0"/>
              <w:ind w:firstLine="420"/>
              <w:jc w:val="left"/>
              <w:rPr>
                <w:rFonts w:cs="宋体" w:asciiTheme="minorEastAsia" w:hAnsiTheme="minorEastAsia" w:eastAsiaTheme="minorEastAsia"/>
                <w:color w:val="000000"/>
                <w:szCs w:val="21"/>
                <w:lang w:val="zh-CN"/>
              </w:rPr>
            </w:pP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公章刻制业特种行业许可证核发，实施单位为县级以上地方人民政府公安机关</w:t>
            </w:r>
          </w:p>
        </w:tc>
      </w:tr>
      <w:tr>
        <w:tblPrEx>
          <w:tblCellMar>
            <w:top w:w="0" w:type="dxa"/>
            <w:left w:w="10" w:type="dxa"/>
            <w:bottom w:w="0" w:type="dxa"/>
            <w:right w:w="10" w:type="dxa"/>
          </w:tblCellMar>
        </w:tblPrEx>
        <w:trPr>
          <w:trHeight w:val="56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191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1.受理责任：公示应当提交的材料，一次性告知补正材料，依法受理或不予受理（不予受理应当告知理由）。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2.审查责任：对书面材料进行审查，提出是否同意公章刻制业特种行业许可证核发许可的审核意见，告知申请人享有申请行政复议的权利。</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3.决定责任：</w:t>
            </w:r>
            <w:r>
              <w:rPr>
                <w:rFonts w:hint="eastAsia" w:cs="仿宋_GB2312" w:asciiTheme="minorEastAsia" w:hAnsiTheme="minorEastAsia" w:eastAsiaTheme="minorEastAsia"/>
                <w:kern w:val="0"/>
                <w:szCs w:val="21"/>
              </w:rPr>
              <w:t>在规定的时限内，</w:t>
            </w:r>
            <w:r>
              <w:rPr>
                <w:rFonts w:hint="eastAsia" w:cs="仿宋_GB2312" w:asciiTheme="minorEastAsia" w:hAnsiTheme="minorEastAsia" w:eastAsiaTheme="minorEastAsia"/>
                <w:kern w:val="0"/>
                <w:szCs w:val="21"/>
                <w:u w:color="000000"/>
              </w:rPr>
              <w:t>作出行政许可或不予行政许可决定，法定告知（不予许可的应当书面告知理由）。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4.事后监管责任：建立实施监督检查的运行机制和管理制度，开展定期和不定期检查，依法采取相关处置措施。</w:t>
            </w:r>
          </w:p>
          <w:p>
            <w:pPr>
              <w:autoSpaceDE w:val="0"/>
              <w:autoSpaceDN w:val="0"/>
              <w:adjustRightInd w:val="0"/>
              <w:spacing w:line="300" w:lineRule="exact"/>
              <w:ind w:firstLine="412"/>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5.其他责任：法律法规规章文件规定应履行的其他责任。</w:t>
            </w:r>
          </w:p>
        </w:tc>
      </w:tr>
      <w:tr>
        <w:tblPrEx>
          <w:tblCellMar>
            <w:top w:w="0" w:type="dxa"/>
            <w:left w:w="10" w:type="dxa"/>
            <w:bottom w:w="0" w:type="dxa"/>
            <w:right w:w="10" w:type="dxa"/>
          </w:tblCellMar>
        </w:tblPrEx>
        <w:trPr>
          <w:trHeight w:val="1748"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hint="eastAsia" w:asciiTheme="minorEastAsia" w:hAnsiTheme="minorEastAsia" w:eastAsiaTheme="minorEastAsia"/>
                <w:color w:val="000000"/>
                <w:sz w:val="21"/>
                <w:szCs w:val="21"/>
              </w:rPr>
              <w:t>　</w:t>
            </w: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numPr>
                <w:ilvl w:val="0"/>
                <w:numId w:val="0"/>
              </w:numPr>
              <w:autoSpaceDE w:val="0"/>
              <w:autoSpaceDN w:val="0"/>
              <w:adjustRightInd w:val="0"/>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62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13</w:t>
            </w:r>
          </w:p>
        </w:tc>
      </w:tr>
      <w:tr>
        <w:tblPrEx>
          <w:tblCellMar>
            <w:top w:w="0" w:type="dxa"/>
            <w:left w:w="10" w:type="dxa"/>
            <w:bottom w:w="0" w:type="dxa"/>
            <w:right w:w="10" w:type="dxa"/>
          </w:tblCellMar>
        </w:tblPrEx>
        <w:trPr>
          <w:trHeight w:val="5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行政许可</w:t>
            </w:r>
          </w:p>
        </w:tc>
      </w:tr>
      <w:tr>
        <w:tblPrEx>
          <w:tblCellMar>
            <w:top w:w="0" w:type="dxa"/>
            <w:left w:w="10" w:type="dxa"/>
            <w:bottom w:w="0" w:type="dxa"/>
            <w:right w:w="10" w:type="dxa"/>
          </w:tblCellMar>
        </w:tblPrEx>
        <w:trPr>
          <w:trHeight w:val="93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widowControl/>
              <w:ind w:firstLine="2205" w:firstLineChars="1050"/>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旅馆业特种行业许可证核发</w:t>
            </w:r>
          </w:p>
        </w:tc>
      </w:tr>
      <w:tr>
        <w:tblPrEx>
          <w:tblCellMar>
            <w:top w:w="0" w:type="dxa"/>
            <w:left w:w="10" w:type="dxa"/>
            <w:bottom w:w="0" w:type="dxa"/>
            <w:right w:w="10" w:type="dxa"/>
          </w:tblCellMar>
        </w:tblPrEx>
        <w:trPr>
          <w:trHeight w:val="6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pStyle w:val="7"/>
              <w:shd w:val="clear" w:color="auto" w:fill="FFFFFF"/>
              <w:spacing w:before="0" w:beforeAutospacing="0" w:after="0" w:afterAutospacing="0"/>
              <w:ind w:firstLine="630"/>
              <w:jc w:val="both"/>
              <w:rPr>
                <w:rFonts w:asciiTheme="minorEastAsia" w:hAnsiTheme="minorEastAsia" w:eastAsiaTheme="minorEastAsia"/>
                <w:sz w:val="21"/>
                <w:szCs w:val="21"/>
              </w:rPr>
            </w:pPr>
            <w:r>
              <w:rPr>
                <w:rFonts w:hint="eastAsia" w:cs="宋体" w:asciiTheme="minorEastAsia" w:hAnsiTheme="minorEastAsia" w:eastAsiaTheme="minorEastAsia"/>
                <w:color w:val="000000"/>
                <w:szCs w:val="21"/>
                <w:lang w:val="zh-CN"/>
              </w:rPr>
              <w:t>《旅馆业治安管理办法》（公安部） 《四川省旅馆业治安管理办法》</w:t>
            </w:r>
            <w:r>
              <w:rPr>
                <w:rFonts w:hint="eastAsia" w:asciiTheme="minorEastAsia" w:hAnsiTheme="minorEastAsia" w:eastAsiaTheme="minorEastAsia"/>
                <w:sz w:val="21"/>
                <w:szCs w:val="21"/>
              </w:rPr>
              <w:t>（一）国务院对确需保留的行政审批项目设定行政许可的决定》（412号令，2004年）第三十六项：旅馆业特种行业许可证核发，实施单位为县级以上地方人民政府公安机关。</w:t>
            </w:r>
          </w:p>
          <w:p>
            <w:pPr>
              <w:pStyle w:val="7"/>
              <w:shd w:val="clear" w:color="auto" w:fill="FFFFFF"/>
              <w:spacing w:before="0" w:beforeAutospacing="0" w:after="0" w:afterAutospacing="0"/>
              <w:ind w:firstLine="630"/>
              <w:jc w:val="both"/>
              <w:rPr>
                <w:rFonts w:asciiTheme="minorEastAsia" w:hAnsiTheme="minorEastAsia" w:eastAsiaTheme="minorEastAsia"/>
                <w:sz w:val="21"/>
                <w:szCs w:val="21"/>
              </w:rPr>
            </w:pPr>
            <w:r>
              <w:rPr>
                <w:rFonts w:hint="eastAsia" w:asciiTheme="minorEastAsia" w:hAnsiTheme="minorEastAsia" w:eastAsiaTheme="minorEastAsia"/>
                <w:sz w:val="21"/>
                <w:szCs w:val="21"/>
              </w:rPr>
              <w:t>（二）《四川省旅馆业治安管理办法》（2013年8月26日省政府第21次常务会议审议通过）第八条：开办旅馆的单位或者个人，在办理营业执照前，应当向所在地县级以上公安机关申请办理《特种行业许可证》。</w:t>
            </w:r>
          </w:p>
          <w:p>
            <w:pPr>
              <w:autoSpaceDE w:val="0"/>
              <w:autoSpaceDN w:val="0"/>
              <w:adjustRightInd w:val="0"/>
              <w:spacing w:line="300" w:lineRule="exact"/>
              <w:ind w:firstLine="210" w:firstLineChars="100"/>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56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191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1.受理责任：公示应当提交的材料，一次性告知补正材料，依法受理或不予受理（不予受理应当告知理由）。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2.审查责任：对书面材料进行审查，提出是否同意旅馆业特种行业许可证核发许可的审核意见，告知申请人享有申请行政复议的权利。</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3.决定责任：</w:t>
            </w:r>
            <w:r>
              <w:rPr>
                <w:rFonts w:hint="eastAsia" w:cs="仿宋_GB2312" w:asciiTheme="minorEastAsia" w:hAnsiTheme="minorEastAsia" w:eastAsiaTheme="minorEastAsia"/>
                <w:kern w:val="0"/>
                <w:szCs w:val="21"/>
              </w:rPr>
              <w:t>在规定的时限内，</w:t>
            </w:r>
            <w:r>
              <w:rPr>
                <w:rFonts w:hint="eastAsia" w:cs="仿宋_GB2312" w:asciiTheme="minorEastAsia" w:hAnsiTheme="minorEastAsia" w:eastAsiaTheme="minorEastAsia"/>
                <w:kern w:val="0"/>
                <w:szCs w:val="21"/>
                <w:u w:color="000000"/>
              </w:rPr>
              <w:t>作出行政许可或不予行政许可决定，法定告知（不予许可的应当书面告知理由）。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4.事后监管责任：建立实施监督检查的运行机制和管理制度，开展定期和不定期检查，依法采取相关处置措施。</w:t>
            </w:r>
          </w:p>
          <w:p>
            <w:pPr>
              <w:autoSpaceDE w:val="0"/>
              <w:autoSpaceDN w:val="0"/>
              <w:adjustRightInd w:val="0"/>
              <w:spacing w:line="300" w:lineRule="exact"/>
              <w:ind w:firstLine="412"/>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5.其他责任：法律法规规章文件规定应履行的其他责任。</w:t>
            </w:r>
          </w:p>
        </w:tc>
      </w:tr>
      <w:tr>
        <w:tblPrEx>
          <w:tblCellMar>
            <w:top w:w="0" w:type="dxa"/>
            <w:left w:w="10" w:type="dxa"/>
            <w:bottom w:w="0" w:type="dxa"/>
            <w:right w:w="10" w:type="dxa"/>
          </w:tblCellMar>
        </w:tblPrEx>
        <w:trPr>
          <w:trHeight w:val="1748"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jc w:val="left"/>
              <w:rPr>
                <w:rFonts w:cs="宋体" w:asciiTheme="minorEastAsia" w:hAnsiTheme="minorEastAsia" w:eastAsiaTheme="minorEastAsia"/>
                <w:color w:val="000000"/>
                <w:szCs w:val="21"/>
              </w:rPr>
            </w:pPr>
          </w:p>
        </w:tc>
      </w:tr>
      <w:tr>
        <w:tblPrEx>
          <w:tblCellMar>
            <w:top w:w="0" w:type="dxa"/>
            <w:left w:w="10" w:type="dxa"/>
            <w:bottom w:w="0" w:type="dxa"/>
            <w:right w:w="10" w:type="dxa"/>
          </w:tblCellMar>
        </w:tblPrEx>
        <w:trPr>
          <w:trHeight w:val="62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14</w:t>
            </w:r>
          </w:p>
        </w:tc>
      </w:tr>
      <w:tr>
        <w:tblPrEx>
          <w:tblCellMar>
            <w:top w:w="0" w:type="dxa"/>
            <w:left w:w="10" w:type="dxa"/>
            <w:bottom w:w="0" w:type="dxa"/>
            <w:right w:w="10" w:type="dxa"/>
          </w:tblCellMar>
        </w:tblPrEx>
        <w:trPr>
          <w:trHeight w:val="5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行政许可</w:t>
            </w:r>
          </w:p>
        </w:tc>
      </w:tr>
      <w:tr>
        <w:tblPrEx>
          <w:tblCellMar>
            <w:top w:w="0" w:type="dxa"/>
            <w:left w:w="10" w:type="dxa"/>
            <w:bottom w:w="0" w:type="dxa"/>
            <w:right w:w="10" w:type="dxa"/>
          </w:tblCellMar>
        </w:tblPrEx>
        <w:trPr>
          <w:trHeight w:val="93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widowControl/>
              <w:ind w:firstLine="945" w:firstLineChars="450"/>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互联网上网服务营业场所信息网络安全和消防安全审核</w:t>
            </w:r>
          </w:p>
        </w:tc>
      </w:tr>
      <w:tr>
        <w:tblPrEx>
          <w:tblCellMar>
            <w:top w:w="0" w:type="dxa"/>
            <w:left w:w="10" w:type="dxa"/>
            <w:bottom w:w="0" w:type="dxa"/>
            <w:right w:w="10" w:type="dxa"/>
          </w:tblCellMar>
        </w:tblPrEx>
        <w:trPr>
          <w:trHeight w:val="6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ind w:firstLine="630" w:firstLineChars="300"/>
              <w:jc w:val="left"/>
              <w:rPr>
                <w:rFonts w:asciiTheme="minorEastAsia" w:hAnsiTheme="minorEastAsia" w:eastAsiaTheme="minorEastAsia"/>
                <w:color w:val="000000"/>
                <w:szCs w:val="21"/>
              </w:rPr>
            </w:pPr>
            <w:r>
              <w:rPr>
                <w:rFonts w:hint="eastAsia" w:cs="宋体" w:asciiTheme="minorEastAsia" w:hAnsiTheme="minorEastAsia" w:eastAsiaTheme="minorEastAsia"/>
                <w:color w:val="000000"/>
                <w:szCs w:val="21"/>
                <w:lang w:val="zh-CN"/>
              </w:rPr>
              <w:t>《互联网上网服务营业场所管理条例》</w:t>
            </w:r>
            <w:r>
              <w:rPr>
                <w:rFonts w:asciiTheme="minorEastAsia" w:hAnsiTheme="minorEastAsia" w:eastAsiaTheme="minorEastAsia"/>
                <w:color w:val="000000"/>
                <w:szCs w:val="21"/>
              </w:rPr>
              <w:t>《互联网上网服务营业场所管理条例》第十一条文化行政部门应当自收到申请之日起20个工作日内作出决定；经审查，符合条件的，发给同意筹建的批准文件。申请人完成筹建后，持同意筹建的批准文件到同级公安机关申请信息网络安全和消防安全审核。公安机关应当自收到申请之日起20个工作日内作出决定；经实地检查并审核合格的，发给批准文件。</w:t>
            </w:r>
          </w:p>
          <w:p>
            <w:pPr>
              <w:autoSpaceDE w:val="0"/>
              <w:autoSpaceDN w:val="0"/>
              <w:adjustRightInd w:val="0"/>
              <w:spacing w:line="300" w:lineRule="exact"/>
              <w:ind w:firstLine="630" w:firstLineChars="300"/>
              <w:jc w:val="left"/>
              <w:rPr>
                <w:rFonts w:asciiTheme="minorEastAsia" w:hAnsiTheme="minorEastAsia" w:eastAsiaTheme="minorEastAsia"/>
                <w:color w:val="000000"/>
                <w:szCs w:val="21"/>
              </w:rPr>
            </w:pPr>
            <w:r>
              <w:rPr>
                <w:rFonts w:asciiTheme="minorEastAsia" w:hAnsiTheme="minorEastAsia" w:eastAsiaTheme="minorEastAsia"/>
                <w:color w:val="000000"/>
                <w:szCs w:val="21"/>
              </w:rPr>
              <w:t>申请人持公安机关批准文件向文化行政部门申请最终审核。文化行政部门应当自收到申请之日起15个工作日内依据本条例第八条的规定作出决定；经实地检查并审核合格的，发给《网络文化经营许可证》。对申请人的申请，文化行政部门经审查不符合条件的，或者公安机关经审核不合格的，应当分别向申请人书面说明理由。</w:t>
            </w:r>
          </w:p>
          <w:p>
            <w:pPr>
              <w:autoSpaceDE w:val="0"/>
              <w:autoSpaceDN w:val="0"/>
              <w:adjustRightInd w:val="0"/>
              <w:spacing w:line="300" w:lineRule="exact"/>
              <w:ind w:firstLine="840" w:firstLineChars="400"/>
              <w:jc w:val="left"/>
              <w:rPr>
                <w:rFonts w:cs="宋体" w:asciiTheme="minorEastAsia" w:hAnsiTheme="minorEastAsia" w:eastAsiaTheme="minorEastAsia"/>
                <w:color w:val="000000"/>
                <w:szCs w:val="21"/>
                <w:lang w:val="zh-CN"/>
              </w:rPr>
            </w:pPr>
            <w:r>
              <w:rPr>
                <w:rFonts w:asciiTheme="minorEastAsia" w:hAnsiTheme="minorEastAsia" w:eastAsiaTheme="minorEastAsia"/>
                <w:color w:val="000000"/>
                <w:szCs w:val="21"/>
              </w:rPr>
              <w:t xml:space="preserve"> 第十三条互联网上网服务营业场所经营单位变更营业场所地址或者对营业场所进行改建、扩建，变更计算机数量或者其他重要事项的，应当经原审核机关同意。互联网上网服务营业场所经营单位变更名称、住所、法定代表人或者主要负责人、注册资本、网络地址或者终止经营活动的，应当依法到工商行政管理部门办理变更登记或者注销登记，并到文化行政部门、公安机关办理有关手续或者备案。</w:t>
            </w:r>
          </w:p>
        </w:tc>
      </w:tr>
      <w:tr>
        <w:tblPrEx>
          <w:tblCellMar>
            <w:top w:w="0" w:type="dxa"/>
            <w:left w:w="10" w:type="dxa"/>
            <w:bottom w:w="0" w:type="dxa"/>
            <w:right w:w="10" w:type="dxa"/>
          </w:tblCellMar>
        </w:tblPrEx>
        <w:trPr>
          <w:trHeight w:val="56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191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1.受理责任：公示应当提交的材料，一次性告知补正材料，依法受理或不予受理（不予受理应当告知理由）。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2.审查责任：对书面材料进行审查，提出是否同意互联网上网服务营业场所信息网络安全和消防安全审核许可的审核意见，告知申请人享有申请行政复议的权利。</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3.决定责任：</w:t>
            </w:r>
            <w:r>
              <w:rPr>
                <w:rFonts w:hint="eastAsia" w:cs="仿宋_GB2312" w:asciiTheme="minorEastAsia" w:hAnsiTheme="minorEastAsia" w:eastAsiaTheme="minorEastAsia"/>
                <w:kern w:val="0"/>
                <w:szCs w:val="21"/>
              </w:rPr>
              <w:t>在规定的时限内，</w:t>
            </w:r>
            <w:r>
              <w:rPr>
                <w:rFonts w:hint="eastAsia" w:cs="仿宋_GB2312" w:asciiTheme="minorEastAsia" w:hAnsiTheme="minorEastAsia" w:eastAsiaTheme="minorEastAsia"/>
                <w:kern w:val="0"/>
                <w:szCs w:val="21"/>
                <w:u w:color="000000"/>
              </w:rPr>
              <w:t>作出行政许可或不予行政许可决定，法定告知（不予许可的应当书面告知理由）。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4.事后监管责任：建立实施监督检查的运行机制和管理制度，开展定期和不定期检查，依法采取相关处置措施。</w:t>
            </w:r>
          </w:p>
          <w:p>
            <w:pPr>
              <w:autoSpaceDE w:val="0"/>
              <w:autoSpaceDN w:val="0"/>
              <w:adjustRightInd w:val="0"/>
              <w:spacing w:line="300" w:lineRule="exact"/>
              <w:ind w:firstLine="412"/>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5.其他责任：法律法规规章文件规定应履行的其他责任。</w:t>
            </w:r>
          </w:p>
        </w:tc>
      </w:tr>
      <w:tr>
        <w:tblPrEx>
          <w:tblCellMar>
            <w:top w:w="0" w:type="dxa"/>
            <w:left w:w="10" w:type="dxa"/>
            <w:bottom w:w="0" w:type="dxa"/>
            <w:right w:w="10" w:type="dxa"/>
          </w:tblCellMar>
        </w:tblPrEx>
        <w:trPr>
          <w:trHeight w:val="1748"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ind w:firstLine="630" w:firstLineChars="300"/>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62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15</w:t>
            </w:r>
          </w:p>
        </w:tc>
      </w:tr>
      <w:tr>
        <w:tblPrEx>
          <w:tblCellMar>
            <w:top w:w="0" w:type="dxa"/>
            <w:left w:w="10" w:type="dxa"/>
            <w:bottom w:w="0" w:type="dxa"/>
            <w:right w:w="10" w:type="dxa"/>
          </w:tblCellMar>
        </w:tblPrEx>
        <w:trPr>
          <w:trHeight w:val="5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b/>
                <w:color w:val="000000"/>
                <w:szCs w:val="21"/>
                <w:lang w:val="zh-CN"/>
              </w:rPr>
              <w:t>行政许可</w:t>
            </w:r>
          </w:p>
        </w:tc>
      </w:tr>
      <w:tr>
        <w:tblPrEx>
          <w:tblCellMar>
            <w:top w:w="0" w:type="dxa"/>
            <w:left w:w="10" w:type="dxa"/>
            <w:bottom w:w="0" w:type="dxa"/>
            <w:right w:w="10" w:type="dxa"/>
          </w:tblCellMar>
        </w:tblPrEx>
        <w:trPr>
          <w:trHeight w:val="93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widowControl/>
              <w:ind w:firstLine="1575" w:firstLineChars="750"/>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建设工程消防设计审核</w:t>
            </w:r>
          </w:p>
        </w:tc>
      </w:tr>
      <w:tr>
        <w:tblPrEx>
          <w:tblCellMar>
            <w:top w:w="0" w:type="dxa"/>
            <w:left w:w="10" w:type="dxa"/>
            <w:bottom w:w="0" w:type="dxa"/>
            <w:right w:w="10" w:type="dxa"/>
          </w:tblCellMar>
        </w:tblPrEx>
        <w:trPr>
          <w:trHeight w:val="6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《中华人民共和国消防法》《建设工程消防监督管理规定》</w:t>
            </w:r>
          </w:p>
          <w:tbl>
            <w:tblPr>
              <w:tblStyle w:val="8"/>
              <w:tblW w:w="8288" w:type="dxa"/>
              <w:tblInd w:w="-108" w:type="dxa"/>
              <w:tblLayout w:type="fixed"/>
              <w:tblCellMar>
                <w:top w:w="0" w:type="dxa"/>
                <w:left w:w="10" w:type="dxa"/>
                <w:bottom w:w="0" w:type="dxa"/>
                <w:right w:w="10" w:type="dxa"/>
              </w:tblCellMar>
            </w:tblPr>
            <w:tblGrid>
              <w:gridCol w:w="8288"/>
            </w:tblGrid>
            <w:tr>
              <w:tblPrEx>
                <w:tblCellMar>
                  <w:top w:w="0" w:type="dxa"/>
                  <w:left w:w="10" w:type="dxa"/>
                  <w:bottom w:w="0" w:type="dxa"/>
                  <w:right w:w="10" w:type="dxa"/>
                </w:tblCellMar>
              </w:tblPrEx>
              <w:trPr>
                <w:trHeight w:val="1748" w:hRule="atLeast"/>
              </w:trPr>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《中华人民共和国消防法》第十一条：国务院公安部门规定的大型的人员密集场所和其他特殊建设工程，建设单位应当将消防设计文件报送公安机关消防机构审核，公安机关消防机构依法对审核的结果负责。</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建设工程消防监督管理规定》第十三条：对具有下列情形之一的人员密集场所，建设单位应当向公安机关消防机构申请消防设计审核，并在建设工程竣工后向出具消防设计审核意见的公安机关消防机构申请消防验收： （一）建筑总面积大于二万平方米的体育场馆、会堂，公共展览馆、博物馆的展示厅； （二）建筑总面积大于一万五千平方米的民用机场航站楼、客运车站候车室、客运码头候船厅； （三）建筑总面积大于一万平方米的宾馆、饭店、商场、市场； 　　（四）建筑总面积大于二千五百平方米的影剧院，公共图书馆的阅览室，营业性室内健身、休闲场馆，医院的门诊楼，大学的教学楼、图书馆、食堂，劳动密集型企业的生产加工车间，寺庙、教堂； （五）建筑总面积大于一千平方米的托儿所、幼儿园的儿童用房，儿童游乐厅等室内儿童活动场所，养老院、福利院，医院、疗养院的病房楼，中小学校的教学楼、图书馆、食堂，学校的集体宿舍，劳动密集型企业的员工集体宿舍； （六）建筑总面积大于五百平方米的歌舞厅、录像厅、放映厅、卡拉ＯＫ厅、夜总会、游艺厅、桑拿浴室、网吧、酒吧，具有娱乐功能的餐馆、茶馆、咖啡厅。</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建设工程消防监督管理规定》第十四条：对具有下列情形之一的特殊建设工程，建设单位应当向公安机关消防机构申请消防设计审核，并在建设工程竣工后向出具消防设计审核意见的公安机关消防机构申请消防验收： （一）设有本规定第十三条所列的人员密集场所的建设工程； （二）国家机关办公楼、电力调度楼、电信楼、邮政楼、防灾指挥调度楼、广播电视楼、档案楼； （三）本条第一项、第二项规定以外的单体建筑面积大于四万平方米或者建筑高度超过五十米的公共建筑； （四）国家标准规定的一类高层住宅建筑； （五）城市轨道交通、隧道工程，大型发电、变配电工程； （六）生产、储存、装卸易燃易爆危险物品的工厂、仓库和专用车站、码头，易燃易爆气体和液体的充装站、供应站、调压站。</w:t>
                  </w:r>
                </w:p>
              </w:tc>
            </w:tr>
          </w:tbl>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56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191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1.受理责任：公示应当提交的材料，一次性告知补正材料，依法受理或不予受理（不予受理应当告知理由）。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2.审查责任：对书面材料进行审查，提出是否同意建设工程消防设计审核许可的审核意见，告知申请人享有申请行政复议的权利。</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3.决定责任：</w:t>
            </w:r>
            <w:r>
              <w:rPr>
                <w:rFonts w:hint="eastAsia" w:cs="仿宋_GB2312" w:asciiTheme="minorEastAsia" w:hAnsiTheme="minorEastAsia" w:eastAsiaTheme="minorEastAsia"/>
                <w:kern w:val="0"/>
                <w:szCs w:val="21"/>
              </w:rPr>
              <w:t>在规定的时限内，</w:t>
            </w:r>
            <w:r>
              <w:rPr>
                <w:rFonts w:hint="eastAsia" w:cs="仿宋_GB2312" w:asciiTheme="minorEastAsia" w:hAnsiTheme="minorEastAsia" w:eastAsiaTheme="minorEastAsia"/>
                <w:kern w:val="0"/>
                <w:szCs w:val="21"/>
                <w:u w:color="000000"/>
              </w:rPr>
              <w:t>作出行政许可或不予行政许可决定，法定告知（不予许可的应当书面告知理由）。</w:t>
            </w:r>
          </w:p>
          <w:p>
            <w:pPr>
              <w:spacing w:line="260" w:lineRule="exact"/>
              <w:jc w:val="left"/>
              <w:rPr>
                <w:rFonts w:cs="仿宋_GB2312" w:asciiTheme="minorEastAsia" w:hAnsiTheme="minorEastAsia" w:eastAsiaTheme="minorEastAsia"/>
                <w:kern w:val="0"/>
                <w:szCs w:val="21"/>
                <w:u w:color="000000"/>
              </w:rPr>
            </w:pPr>
            <w:r>
              <w:rPr>
                <w:rFonts w:hint="eastAsia" w:cs="仿宋_GB2312" w:asciiTheme="minorEastAsia" w:hAnsiTheme="minorEastAsia" w:eastAsiaTheme="minorEastAsia"/>
                <w:kern w:val="0"/>
                <w:szCs w:val="21"/>
                <w:u w:color="000000"/>
              </w:rPr>
              <w:t>4.事后监管责任：建立实施监督检查的运行机制和管理制度，开展定期和不定期检查，依法采取相关处置措施。</w:t>
            </w:r>
          </w:p>
          <w:p>
            <w:pPr>
              <w:autoSpaceDE w:val="0"/>
              <w:autoSpaceDN w:val="0"/>
              <w:adjustRightInd w:val="0"/>
              <w:spacing w:line="300" w:lineRule="exact"/>
              <w:ind w:firstLine="412"/>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5.其他责任：法律法规规章文件规定应履行的其他责任。</w:t>
            </w:r>
          </w:p>
        </w:tc>
      </w:tr>
      <w:tr>
        <w:tblPrEx>
          <w:tblCellMar>
            <w:top w:w="0" w:type="dxa"/>
            <w:left w:w="10" w:type="dxa"/>
            <w:bottom w:w="0" w:type="dxa"/>
            <w:right w:w="10" w:type="dxa"/>
          </w:tblCellMar>
        </w:tblPrEx>
        <w:trPr>
          <w:trHeight w:val="1748"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62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仿宋_GB2312" w:asciiTheme="minorEastAsia" w:hAnsiTheme="minorEastAsia" w:eastAsiaTheme="minorEastAsia"/>
                <w:kern w:val="0"/>
                <w:szCs w:val="21"/>
                <w:u w:color="000000"/>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16</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kern w:val="0"/>
                <w:szCs w:val="21"/>
              </w:rPr>
              <w:t>公众聚集场所投入使用、营业前消防安全检查</w:t>
            </w:r>
          </w:p>
        </w:tc>
      </w:tr>
      <w:tr>
        <w:tblPrEx>
          <w:tblCellMar>
            <w:top w:w="0" w:type="dxa"/>
            <w:left w:w="10" w:type="dxa"/>
            <w:bottom w:w="0" w:type="dxa"/>
            <w:right w:w="10" w:type="dxa"/>
          </w:tblCellMar>
        </w:tblPrEx>
        <w:trPr>
          <w:trHeight w:val="57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 xml:space="preserve">    《中华人民共和国消防法》《消防监督检查规定》  </w:t>
            </w:r>
            <w:r>
              <w:rPr>
                <w:rFonts w:cs="Arial" w:asciiTheme="minorEastAsia" w:hAnsiTheme="minorEastAsia" w:eastAsiaTheme="minorEastAsia"/>
                <w:b w:val="0"/>
                <w:bCs w:val="0"/>
                <w:color w:val="333333"/>
                <w:sz w:val="21"/>
                <w:szCs w:val="21"/>
              </w:rPr>
              <w:t>《中华人民共和国消防法》第十五</w:t>
            </w:r>
            <w:r>
              <w:rPr>
                <w:rFonts w:hint="eastAsia" w:cs="Arial" w:asciiTheme="minorEastAsia" w:hAnsiTheme="minorEastAsia" w:eastAsiaTheme="minorEastAsia"/>
                <w:b w:val="0"/>
                <w:bCs w:val="0"/>
                <w:color w:val="333333"/>
                <w:sz w:val="21"/>
                <w:szCs w:val="21"/>
              </w:rPr>
              <w:t>条:</w:t>
            </w:r>
            <w:r>
              <w:rPr>
                <w:rFonts w:hint="eastAsia" w:cs="宋体" w:asciiTheme="minorEastAsia" w:hAnsiTheme="minorEastAsia" w:eastAsiaTheme="minorEastAsia"/>
                <w:b w:val="0"/>
                <w:color w:val="000000"/>
                <w:sz w:val="21"/>
                <w:szCs w:val="21"/>
                <w:lang w:val="zh-CN"/>
              </w:rPr>
              <w:t>公众聚集场所在投入使用、营业前，建设单位或者使用单位应当向场所所在地的县级以上地方人民政府公安机关消防机构申请消防安全检查。</w:t>
            </w:r>
          </w:p>
        </w:tc>
      </w:tr>
      <w:tr>
        <w:tblPrEx>
          <w:tblCellMar>
            <w:top w:w="0" w:type="dxa"/>
            <w:left w:w="10" w:type="dxa"/>
            <w:bottom w:w="0" w:type="dxa"/>
            <w:right w:w="10" w:type="dxa"/>
          </w:tblCellMar>
        </w:tblPrEx>
        <w:trPr>
          <w:trHeight w:val="69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03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w:t>
            </w:r>
            <w:r>
              <w:rPr>
                <w:rFonts w:hint="eastAsia" w:cs="宋体" w:asciiTheme="minorEastAsia" w:hAnsiTheme="minorEastAsia" w:eastAsiaTheme="minorEastAsia"/>
                <w:color w:val="000000"/>
                <w:kern w:val="0"/>
                <w:szCs w:val="21"/>
              </w:rPr>
              <w:t>公众聚集场所投入使用、营业前消防安全检查</w:t>
            </w:r>
            <w:r>
              <w:rPr>
                <w:rFonts w:hint="eastAsia" w:cs="宋体" w:asciiTheme="minorEastAsia" w:hAnsiTheme="minorEastAsia" w:eastAsiaTheme="minorEastAsia"/>
                <w:color w:val="000000"/>
                <w:szCs w:val="21"/>
                <w:lang w:val="zh-CN"/>
              </w:rPr>
              <w:t>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58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pStyle w:val="3"/>
              <w:shd w:val="clear" w:color="auto" w:fill="FFFFFF"/>
              <w:wordWrap w:val="0"/>
              <w:spacing w:before="0" w:after="0" w:line="480" w:lineRule="atLeast"/>
              <w:rPr>
                <w:rFonts w:cs="Arial" w:asciiTheme="minorEastAsia" w:hAnsiTheme="minorEastAsia" w:eastAsiaTheme="minorEastAsia"/>
                <w:b w:val="0"/>
                <w:bCs w:val="0"/>
                <w:color w:val="333333"/>
                <w:sz w:val="21"/>
                <w:szCs w:val="21"/>
              </w:rPr>
            </w:pP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17</w:t>
            </w:r>
          </w:p>
        </w:tc>
      </w:tr>
      <w:tr>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47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kern w:val="0"/>
                <w:szCs w:val="21"/>
              </w:rPr>
              <w:t>建设工程消防验收</w:t>
            </w:r>
          </w:p>
        </w:tc>
      </w:tr>
      <w:tr>
        <w:trPr>
          <w:trHeight w:val="428"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pStyle w:val="7"/>
              <w:shd w:val="clear" w:color="auto" w:fill="FFFFFF"/>
              <w:spacing w:line="432" w:lineRule="atLeast"/>
              <w:ind w:firstLine="480" w:firstLineChars="200"/>
              <w:rPr>
                <w:rFonts w:asciiTheme="minorEastAsia" w:hAnsiTheme="minorEastAsia" w:eastAsiaTheme="minorEastAsia"/>
                <w:sz w:val="21"/>
                <w:szCs w:val="21"/>
                <w:lang w:val="zh-CN"/>
              </w:rPr>
            </w:pPr>
            <w:r>
              <w:rPr>
                <w:rFonts w:hint="eastAsia" w:cs="宋体" w:asciiTheme="minorEastAsia" w:hAnsiTheme="minorEastAsia" w:eastAsiaTheme="minorEastAsia"/>
                <w:color w:val="000000"/>
                <w:szCs w:val="21"/>
                <w:lang w:val="zh-CN"/>
              </w:rPr>
              <w:t xml:space="preserve">    《中华人民共和国消防法》《建设工程消防监督管理规定》</w:t>
            </w:r>
            <w:r>
              <w:rPr>
                <w:rFonts w:hint="eastAsia" w:asciiTheme="minorEastAsia" w:hAnsiTheme="minorEastAsia" w:eastAsiaTheme="minorEastAsia"/>
                <w:sz w:val="21"/>
                <w:szCs w:val="21"/>
                <w:lang w:val="zh-CN"/>
              </w:rPr>
              <w:t>《</w:t>
            </w:r>
            <w:r>
              <w:rPr>
                <w:rFonts w:hint="eastAsia" w:asciiTheme="minorEastAsia" w:hAnsiTheme="minorEastAsia" w:eastAsiaTheme="minorEastAsia"/>
                <w:bCs/>
                <w:sz w:val="21"/>
                <w:szCs w:val="21"/>
              </w:rPr>
              <w:t>建设工程消防监督管理规定</w:t>
            </w:r>
            <w:r>
              <w:rPr>
                <w:rFonts w:hint="eastAsia" w:asciiTheme="minorEastAsia" w:hAnsiTheme="minorEastAsia" w:eastAsiaTheme="minorEastAsia"/>
                <w:sz w:val="21"/>
                <w:szCs w:val="21"/>
                <w:lang w:val="zh-CN"/>
              </w:rPr>
              <w:t>》</w:t>
            </w:r>
            <w:r>
              <w:rPr>
                <w:rFonts w:hint="eastAsia" w:asciiTheme="minorEastAsia" w:hAnsiTheme="minorEastAsia" w:eastAsiaTheme="minorEastAsia"/>
                <w:sz w:val="21"/>
                <w:szCs w:val="21"/>
              </w:rPr>
              <w:t>第十三条：</w:t>
            </w:r>
            <w:r>
              <w:rPr>
                <w:rFonts w:hint="eastAsia" w:asciiTheme="minorEastAsia" w:hAnsiTheme="minorEastAsia" w:eastAsiaTheme="minorEastAsia"/>
                <w:sz w:val="21"/>
                <w:szCs w:val="21"/>
                <w:lang w:val="zh-CN"/>
              </w:rPr>
              <w:t>对具有下列情形之一的人员密集场所，建设单位应当向公安机关消防机构申请消防设计审核，并在建设工程竣工后向出具消防设计审核意见的公安机关消防机构申请消防验收： （一）建筑总面积大于二万平方米的体育场馆、会堂，公共展览馆、博物馆的展示厅； （二）建筑总面积大于一万五千平方米的民用机场航站楼、客运车站候车室、客运码头候船厅； （三）建筑总面积大于一万平方米的宾馆、饭店、商场、市场； 　　（四）建筑总面积大于二千五百平方米的影剧院，公共图书馆的阅览室，营业性室内健身、休闲场馆，医院的门诊楼，大学的教学楼、图书馆、食堂，劳动密集型企业的生产加工车间，寺庙、教堂； （五）建筑总面积大于一千平方米的托儿所、幼儿园的儿童用房，儿童游乐厅等室内儿童活动场所，养老院、福利院，医院、疗养院的病房楼，中小学校的教学楼、图书馆、食堂，学校的集体宿舍，劳动密集型企业的员工集体宿舍； （六）建筑总面积大于五百平方米的歌舞厅、录像厅、放映厅、卡拉ＯＫ厅、夜总会、游艺厅、桑拿浴室、网吧、酒吧，具有娱乐功能的餐馆、茶馆、咖啡厅。</w:t>
            </w:r>
          </w:p>
          <w:p>
            <w:pPr>
              <w:pStyle w:val="7"/>
              <w:shd w:val="clear" w:color="auto" w:fill="FFFFFF"/>
              <w:spacing w:line="432" w:lineRule="atLeast"/>
              <w:ind w:firstLine="420" w:firstLineChars="200"/>
              <w:rPr>
                <w:rFonts w:asciiTheme="minorEastAsia" w:hAnsiTheme="minorEastAsia" w:eastAsiaTheme="minorEastAsia"/>
                <w:sz w:val="21"/>
                <w:szCs w:val="21"/>
                <w:lang w:val="zh-CN"/>
              </w:rPr>
            </w:pPr>
            <w:r>
              <w:rPr>
                <w:rFonts w:hint="eastAsia" w:asciiTheme="minorEastAsia" w:hAnsiTheme="minorEastAsia" w:eastAsiaTheme="minorEastAsia"/>
                <w:sz w:val="21"/>
                <w:szCs w:val="21"/>
                <w:lang w:val="zh-CN"/>
              </w:rPr>
              <w:t>《</w:t>
            </w:r>
            <w:r>
              <w:rPr>
                <w:rFonts w:hint="eastAsia" w:asciiTheme="minorEastAsia" w:hAnsiTheme="minorEastAsia" w:eastAsiaTheme="minorEastAsia"/>
                <w:bCs/>
                <w:sz w:val="21"/>
                <w:szCs w:val="21"/>
              </w:rPr>
              <w:t>建设工程消防监督管理规定</w:t>
            </w:r>
            <w:r>
              <w:rPr>
                <w:rFonts w:hint="eastAsia" w:asciiTheme="minorEastAsia" w:hAnsiTheme="minorEastAsia" w:eastAsiaTheme="minorEastAsia"/>
                <w:sz w:val="21"/>
                <w:szCs w:val="21"/>
                <w:lang w:val="zh-CN"/>
              </w:rPr>
              <w:t>》</w:t>
            </w:r>
            <w:r>
              <w:rPr>
                <w:rFonts w:hint="eastAsia" w:asciiTheme="minorEastAsia" w:hAnsiTheme="minorEastAsia" w:eastAsiaTheme="minorEastAsia"/>
                <w:sz w:val="21"/>
                <w:szCs w:val="21"/>
              </w:rPr>
              <w:t>第十四条</w:t>
            </w:r>
            <w:r>
              <w:rPr>
                <w:rFonts w:hint="eastAsia" w:asciiTheme="minorEastAsia" w:hAnsiTheme="minorEastAsia" w:eastAsiaTheme="minorEastAsia"/>
                <w:sz w:val="21"/>
                <w:szCs w:val="21"/>
                <w:lang w:val="zh-CN"/>
              </w:rPr>
              <w:t>：按照国家工程建设消防技术标准需要进行消防设计的建设工程竣工，依照下列规定进行消防验收：本法第十一条规定的建设工程，建设单位应当向公安机关消防机构申请消防验收。依法应当进行消防验收的建设工程，未经消防验收或者消防验收不合格的，禁止投入使用；其他建设工程经依法抽查不合格的，应当停止使用。2.对具有下列情形之一的特殊建设工程，建设单位应当向公安机关消防机构申请消防设计审核，并在建设工程竣工后向出具消防设计审核意见的公安机关消防机构申请消防验收： （一）设有本规定第十三条所列的人员密集场所的建设工程； （二）国家机关办公楼、电力调度楼、电信楼、邮政楼、防灾指挥调度楼、广播电视楼、档案楼； （三）本条第一项、第二项规定以外的单体建筑面积大于四万平方米或者建筑高度超过五十米的公共建筑； （四）国家标准规定的一类高层住宅建筑； （五）城市轨道交通、隧道工程，大型发电、变配电工程； （六）生产、储存、装卸易燃易爆危险物品的工厂、仓库和专用车站、码头，易燃易爆气体和液体的充装站、供应站、调压站。</w:t>
            </w:r>
          </w:p>
          <w:p>
            <w:pPr>
              <w:pStyle w:val="7"/>
              <w:shd w:val="clear" w:color="auto" w:fill="FFFFFF"/>
              <w:spacing w:line="432" w:lineRule="atLeast"/>
              <w:rPr>
                <w:rFonts w:asciiTheme="minorEastAsia" w:hAnsiTheme="minorEastAsia" w:eastAsiaTheme="minorEastAsia"/>
                <w:sz w:val="21"/>
                <w:szCs w:val="21"/>
              </w:rPr>
            </w:pPr>
          </w:p>
          <w:p>
            <w:pPr>
              <w:pStyle w:val="7"/>
              <w:shd w:val="clear" w:color="auto" w:fill="FFFFFF"/>
              <w:spacing w:line="432" w:lineRule="atLeast"/>
              <w:rPr>
                <w:rFonts w:asciiTheme="minorEastAsia" w:hAnsiTheme="minorEastAsia" w:eastAsiaTheme="minorEastAsia"/>
                <w:sz w:val="21"/>
                <w:szCs w:val="21"/>
              </w:rPr>
            </w:pP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 xml:space="preserve">  </w:t>
            </w:r>
          </w:p>
        </w:tc>
      </w:tr>
      <w:tr>
        <w:tblPrEx>
          <w:tblCellMar>
            <w:top w:w="0" w:type="dxa"/>
            <w:left w:w="10" w:type="dxa"/>
            <w:bottom w:w="0" w:type="dxa"/>
            <w:right w:w="10" w:type="dxa"/>
          </w:tblCellMar>
        </w:tblPrEx>
        <w:trPr>
          <w:trHeight w:val="549"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rPr>
          <w:trHeight w:val="282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w:t>
            </w:r>
            <w:r>
              <w:rPr>
                <w:rFonts w:hint="eastAsia" w:cs="宋体" w:asciiTheme="minorEastAsia" w:hAnsiTheme="minorEastAsia" w:eastAsiaTheme="minorEastAsia"/>
                <w:color w:val="000000"/>
                <w:kern w:val="0"/>
                <w:szCs w:val="21"/>
              </w:rPr>
              <w:t>建设工程消防验收</w:t>
            </w:r>
            <w:r>
              <w:rPr>
                <w:rFonts w:hint="eastAsia" w:cs="宋体" w:asciiTheme="minorEastAsia" w:hAnsiTheme="minorEastAsia" w:eastAsiaTheme="minorEastAsia"/>
                <w:color w:val="000000"/>
                <w:szCs w:val="21"/>
                <w:lang w:val="zh-CN"/>
              </w:rPr>
              <w:t>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158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pStyle w:val="7"/>
              <w:shd w:val="clear" w:color="auto" w:fill="FFFFFF"/>
              <w:spacing w:line="432" w:lineRule="atLeast"/>
              <w:rPr>
                <w:rFonts w:asciiTheme="minorEastAsia" w:hAnsiTheme="minorEastAsia" w:eastAsiaTheme="minorEastAsia"/>
                <w:sz w:val="21"/>
                <w:szCs w:val="21"/>
              </w:rPr>
            </w:pPr>
          </w:p>
          <w:p>
            <w:pPr>
              <w:pStyle w:val="7"/>
              <w:shd w:val="clear" w:color="auto" w:fill="FFFFFF"/>
              <w:spacing w:line="432" w:lineRule="atLeast"/>
              <w:rPr>
                <w:rFonts w:asciiTheme="minorEastAsia" w:hAnsiTheme="minorEastAsia" w:eastAsiaTheme="minorEastAsia"/>
                <w:sz w:val="21"/>
                <w:szCs w:val="21"/>
              </w:rPr>
            </w:pPr>
          </w:p>
          <w:p>
            <w:pPr>
              <w:pStyle w:val="7"/>
              <w:shd w:val="clear" w:color="auto" w:fill="FFFFFF"/>
              <w:spacing w:line="432" w:lineRule="atLeast"/>
              <w:rPr>
                <w:rFonts w:asciiTheme="minorEastAsia" w:hAnsiTheme="minorEastAsia" w:eastAsiaTheme="minorEastAsia"/>
                <w:sz w:val="21"/>
                <w:szCs w:val="21"/>
              </w:rPr>
            </w:pPr>
          </w:p>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pStyle w:val="7"/>
              <w:shd w:val="clear" w:color="auto" w:fill="FFFFFF"/>
              <w:spacing w:line="432" w:lineRule="atLeast"/>
              <w:rPr>
                <w:rFonts w:asciiTheme="minorEastAsia" w:hAnsiTheme="minorEastAsia" w:eastAsiaTheme="minorEastAsia"/>
                <w:sz w:val="21"/>
                <w:szCs w:val="21"/>
              </w:rPr>
            </w:pPr>
          </w:p>
          <w:p>
            <w:pPr>
              <w:pStyle w:val="7"/>
              <w:shd w:val="clear" w:color="auto" w:fill="FFFFFF"/>
              <w:spacing w:line="432" w:lineRule="atLeast"/>
              <w:rPr>
                <w:rFonts w:asciiTheme="minorEastAsia" w:hAnsiTheme="minorEastAsia" w:eastAsiaTheme="minorEastAsia"/>
                <w:sz w:val="21"/>
                <w:szCs w:val="21"/>
              </w:rPr>
            </w:pPr>
          </w:p>
          <w:p>
            <w:pPr>
              <w:pStyle w:val="7"/>
              <w:shd w:val="clear" w:color="auto" w:fill="FFFFFF"/>
              <w:spacing w:line="432" w:lineRule="atLeast"/>
              <w:rPr>
                <w:rFonts w:asciiTheme="minorEastAsia" w:hAnsiTheme="minorEastAsia" w:eastAsiaTheme="minorEastAsia"/>
                <w:sz w:val="21"/>
                <w:szCs w:val="21"/>
              </w:rPr>
            </w:pPr>
          </w:p>
          <w:p>
            <w:pPr>
              <w:pStyle w:val="7"/>
              <w:shd w:val="clear" w:color="auto" w:fill="FFFFFF"/>
              <w:spacing w:line="432" w:lineRule="atLeast"/>
              <w:rPr>
                <w:rFonts w:asciiTheme="minorEastAsia" w:hAnsiTheme="minorEastAsia" w:eastAsiaTheme="minorEastAsia"/>
                <w:sz w:val="21"/>
                <w:szCs w:val="21"/>
              </w:rPr>
            </w:pPr>
          </w:p>
          <w:p>
            <w:pPr>
              <w:pStyle w:val="7"/>
              <w:shd w:val="clear" w:color="auto" w:fill="FFFFFF"/>
              <w:spacing w:line="432" w:lineRule="atLeast"/>
              <w:rPr>
                <w:rFonts w:asciiTheme="minorEastAsia" w:hAnsiTheme="minorEastAsia" w:eastAsiaTheme="minorEastAsia"/>
                <w:sz w:val="21"/>
                <w:szCs w:val="21"/>
              </w:rPr>
            </w:pPr>
          </w:p>
          <w:p>
            <w:pPr>
              <w:pStyle w:val="7"/>
              <w:shd w:val="clear" w:color="auto" w:fill="FFFFFF"/>
              <w:spacing w:line="432" w:lineRule="atLeast"/>
              <w:rPr>
                <w:rFonts w:asciiTheme="minorEastAsia" w:hAnsiTheme="minorEastAsia" w:eastAsiaTheme="minorEastAsia"/>
                <w:sz w:val="21"/>
                <w:szCs w:val="21"/>
              </w:rPr>
            </w:pPr>
          </w:p>
          <w:p>
            <w:pPr>
              <w:pStyle w:val="7"/>
              <w:shd w:val="clear" w:color="auto" w:fill="FFFFFF"/>
              <w:spacing w:line="432" w:lineRule="atLeast"/>
              <w:rPr>
                <w:rFonts w:asciiTheme="minorEastAsia" w:hAnsiTheme="minorEastAsia" w:eastAsiaTheme="minorEastAsia"/>
                <w:sz w:val="21"/>
                <w:szCs w:val="21"/>
              </w:rPr>
            </w:pPr>
          </w:p>
          <w:p>
            <w:pPr>
              <w:pStyle w:val="7"/>
              <w:shd w:val="clear" w:color="auto" w:fill="FFFFFF"/>
              <w:spacing w:line="432" w:lineRule="atLeast"/>
              <w:rPr>
                <w:rFonts w:asciiTheme="minorEastAsia" w:hAnsiTheme="minorEastAsia" w:eastAsiaTheme="minorEastAsia"/>
                <w:sz w:val="21"/>
                <w:szCs w:val="21"/>
              </w:rPr>
            </w:pPr>
          </w:p>
          <w:p>
            <w:pPr>
              <w:pStyle w:val="7"/>
              <w:shd w:val="clear" w:color="auto" w:fill="FFFFFF"/>
              <w:spacing w:line="432" w:lineRule="atLeast"/>
              <w:rPr>
                <w:rFonts w:asciiTheme="minorEastAsia" w:hAnsiTheme="minorEastAsia" w:eastAsiaTheme="minorEastAsia"/>
                <w:sz w:val="21"/>
                <w:szCs w:val="21"/>
              </w:rPr>
            </w:pPr>
          </w:p>
        </w:tc>
      </w:tr>
      <w:tr>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r>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18</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kern w:val="0"/>
                <w:szCs w:val="21"/>
              </w:rPr>
              <w:t>剧毒化学品购买许可</w:t>
            </w:r>
          </w:p>
        </w:tc>
      </w:tr>
      <w:tr>
        <w:tblPrEx>
          <w:tblCellMar>
            <w:top w:w="0" w:type="dxa"/>
            <w:left w:w="10" w:type="dxa"/>
            <w:bottom w:w="0" w:type="dxa"/>
            <w:right w:w="10" w:type="dxa"/>
          </w:tblCellMar>
        </w:tblPrEx>
        <w:trPr>
          <w:trHeight w:val="428"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ind w:firstLine="630" w:firstLineChars="300"/>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 xml:space="preserve">    《危险化学品安全管理条例》</w:t>
            </w:r>
            <w:r>
              <w:rPr>
                <w:rFonts w:hint="eastAsia" w:asciiTheme="minorEastAsia" w:hAnsiTheme="minorEastAsia" w:eastAsiaTheme="minorEastAsia"/>
                <w:color w:val="333333"/>
                <w:szCs w:val="21"/>
              </w:rPr>
              <w:t>《危险化学品安全管理条例》 第三十八条：</w:t>
            </w:r>
            <w:r>
              <w:rPr>
                <w:rFonts w:hint="eastAsia" w:cs="宋体" w:asciiTheme="minorEastAsia" w:hAnsiTheme="minorEastAsia" w:eastAsiaTheme="minorEastAsia"/>
                <w:color w:val="000000"/>
                <w:szCs w:val="21"/>
                <w:lang w:val="zh-CN"/>
              </w:rPr>
              <w:t xml:space="preserve">依法取得危险化学品安全生产许可证、危险化学品安全使用许可证、危险化学品经营许可证的企业，凭相应的许可证件购买剧毒化学品、易制爆危险化学品。民用爆炸物品生产企业凭民用爆炸物品生产许可证购买易制爆危险化学品。 前款规定以外的单位购买剧毒化学品的，应当向所在地县级人民政府公安机关申请取得剧毒化学品购买许可证；购买易制爆危险化学品的，应当持本单位出具的合法用途说明。     </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个人不得购买剧毒化学品（属于剧毒化学品的农药除外）和易制爆危险化学品。</w:t>
            </w:r>
          </w:p>
        </w:tc>
      </w:tr>
      <w:tr>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w:t>
            </w:r>
            <w:r>
              <w:rPr>
                <w:rFonts w:hint="eastAsia" w:cs="宋体" w:asciiTheme="minorEastAsia" w:hAnsiTheme="minorEastAsia" w:eastAsiaTheme="minorEastAsia"/>
                <w:color w:val="000000"/>
                <w:kern w:val="0"/>
                <w:szCs w:val="21"/>
              </w:rPr>
              <w:t>剧毒化学品购买</w:t>
            </w:r>
            <w:r>
              <w:rPr>
                <w:rFonts w:hint="eastAsia" w:cs="宋体" w:asciiTheme="minorEastAsia" w:hAnsiTheme="minorEastAsia" w:eastAsiaTheme="minorEastAsia"/>
                <w:color w:val="000000"/>
                <w:szCs w:val="21"/>
                <w:lang w:val="zh-CN"/>
              </w:rPr>
              <w:t>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ind w:firstLine="630" w:firstLineChars="300"/>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19</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kern w:val="0"/>
                <w:szCs w:val="21"/>
              </w:rPr>
              <w:t>剧毒化学品道路运输通行证核发</w:t>
            </w:r>
          </w:p>
        </w:tc>
      </w:tr>
      <w:tr>
        <w:trPr>
          <w:trHeight w:val="428"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ind w:firstLine="420" w:firstLineChars="200"/>
              <w:jc w:val="left"/>
              <w:rPr>
                <w:rFonts w:asciiTheme="minorEastAsia" w:hAnsiTheme="minorEastAsia" w:eastAsiaTheme="minorEastAsia"/>
                <w:color w:val="000000"/>
                <w:szCs w:val="21"/>
                <w:shd w:val="clear" w:color="auto" w:fill="F2F2F2"/>
              </w:rPr>
            </w:pPr>
            <w:r>
              <w:rPr>
                <w:rFonts w:hint="eastAsia" w:cs="宋体" w:asciiTheme="minorEastAsia" w:hAnsiTheme="minorEastAsia" w:eastAsiaTheme="minorEastAsia"/>
                <w:color w:val="000000"/>
                <w:szCs w:val="21"/>
                <w:lang w:val="zh-CN"/>
              </w:rPr>
              <w:t>《危险化学品安全管理条例》《剧毒化学品购买和公路运输许可证件管理办法》《危险化学品安全管理条例》第五十条：通过道路运输剧毒化学品的，托运人应当向运输始发地或者目的地县级人民政府公安机关申请剧毒化学品道路运输通行证。申请剧毒化学品道路运输通行证，托运人应当向县级人民政府公安机关提交下列材料：（一）拟运输的剧毒化学品品种、数量的说明；（二）运输始发地、目的地、运输时间和运输路线的说明；（三）承运人取得危险货物道路运输许可、运输车辆取得营运证以及驾驶人员、押运人员取得上岗资格的证明文件；（四）本条例第三十八条第一款、第二款规定的购买剧毒化学品的相关许可证件，或者海关出具的进出口证明文件。 　　县级人民政府公安机关应当自收到前款规定的材料之日起7日内，作出批准或者不予批准的决定。予以批准的，颁发剧毒化学品道路运输通行证；不予批准的，书面通知申请人并说明理由。剧毒化学品道路运输通行证管理办法由国务院公安部门制定。</w:t>
            </w:r>
          </w:p>
          <w:p>
            <w:pPr>
              <w:autoSpaceDE w:val="0"/>
              <w:autoSpaceDN w:val="0"/>
              <w:adjustRightInd w:val="0"/>
              <w:spacing w:line="300" w:lineRule="exact"/>
              <w:ind w:firstLine="210" w:firstLineChars="100"/>
              <w:jc w:val="left"/>
              <w:rPr>
                <w:rFonts w:cs="宋体" w:asciiTheme="minorEastAsia" w:hAnsiTheme="minorEastAsia" w:eastAsiaTheme="minorEastAsia"/>
                <w:color w:val="000000"/>
                <w:szCs w:val="21"/>
                <w:lang w:val="zh-CN"/>
              </w:rPr>
            </w:pPr>
            <w:r>
              <w:rPr>
                <w:rFonts w:hint="eastAsia" w:asciiTheme="minorEastAsia" w:hAnsiTheme="minorEastAsia" w:eastAsiaTheme="minorEastAsia"/>
                <w:szCs w:val="21"/>
              </w:rPr>
              <w:t>《剧毒化学品购买和公路运输许可证件管理办法》 第八条： </w:t>
            </w:r>
            <w:r>
              <w:rPr>
                <w:rFonts w:hint="eastAsia" w:cs="宋体" w:asciiTheme="minorEastAsia" w:hAnsiTheme="minorEastAsia" w:eastAsiaTheme="minorEastAsia"/>
                <w:color w:val="000000"/>
                <w:szCs w:val="21"/>
                <w:lang w:val="zh-CN"/>
              </w:rPr>
              <w:t>需要通过公路运输剧毒化学品的，应当向运输目的地县级人民政府公安机关交通管理部门申领《剧毒化学品公路运输通行证》。申领时，托运人应当如实填写《剧毒化学品公路运输通行证申请表》，同时提交下列证明文件和资料，并接受公安机关交通管理部门对运输车辆和驾驶人、押运人员的查验、审核：（一）《剧毒化学品购买凭证》或者《剧毒化学品准购证》。运输进口或者出口剧毒化学品的，应当提交危险化学品进口或者出口登记证。（二）承运单位从事危险货物道路运输的经营（运输）许可证（复印件）、机动车行驶证、运输车辆从事危险货物道路运输的道路运输证。运输剧毒化学品的车辆必须设置安装剧毒化学品道路运输专用标识和安全标示牌。安全标示牌应当标明剧毒化学品品名、种类、罐体容积、载质量、施救方法、运输企业联系电话。（三）驾驶人的机动车驾驶证，驾驶人、押运人员的身份证件以及从事危险货物道路运输的上岗资格证。（四）随《剧毒化学品公路运输通行证申请表》附运输企业对每辆运输车辆制作的运输路线图和运行时间表，每辆车拟运输的载质量。 　　承运单位不在目的地的，可以向运输目的地县级人民政府公安机关交通管理部门提出申请，委托运输始发地县级人民政府公安机关交通管理部门受理核发《剧毒化学品公路运输通行证》，但不得跨省（自治区、直辖市）委托。具体委托办法由省级人民政府公安机关制定。</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w:t>
            </w:r>
            <w:r>
              <w:rPr>
                <w:rFonts w:hint="eastAsia" w:cs="宋体" w:asciiTheme="minorEastAsia" w:hAnsiTheme="minorEastAsia" w:eastAsiaTheme="minorEastAsia"/>
                <w:color w:val="000000"/>
                <w:kern w:val="0"/>
                <w:szCs w:val="21"/>
              </w:rPr>
              <w:t>剧毒化学品道路运输通行证核发</w:t>
            </w:r>
            <w:r>
              <w:rPr>
                <w:rFonts w:hint="eastAsia" w:cs="宋体" w:asciiTheme="minorEastAsia" w:hAnsiTheme="minorEastAsia" w:eastAsiaTheme="minorEastAsia"/>
                <w:color w:val="000000"/>
                <w:szCs w:val="21"/>
                <w:lang w:val="zh-CN"/>
              </w:rPr>
              <w:t>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ind w:firstLine="420" w:firstLineChars="200"/>
              <w:jc w:val="left"/>
              <w:rPr>
                <w:rFonts w:cs="宋体" w:asciiTheme="minorEastAsia" w:hAnsiTheme="minorEastAsia" w:eastAsiaTheme="minorEastAsia"/>
                <w:color w:val="000000"/>
                <w:szCs w:val="21"/>
                <w:lang w:val="zh-CN"/>
              </w:rPr>
            </w:pPr>
          </w:p>
        </w:tc>
      </w:tr>
      <w:tr>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20</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放射性物品道路运输许可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 xml:space="preserve">    《放射性物品运输安全管理条例》</w:t>
            </w:r>
            <w:r>
              <w:rPr>
                <w:rFonts w:hint="eastAsia" w:asciiTheme="minorEastAsia" w:hAnsiTheme="minorEastAsia" w:eastAsiaTheme="minorEastAsia"/>
                <w:color w:val="333333"/>
                <w:szCs w:val="21"/>
                <w:shd w:val="clear" w:color="auto" w:fill="FFFFFF"/>
              </w:rPr>
              <w:t>《放射性物品运输安全管理条例》（2009年9月14日国务院令第562号发布）第三十八条 通过道路运输放射性物品的，应当经公安机关批准，按照指定的时间、路线、速度行驶，并悬挂警示标志，配备押运人员，使放射性物品处于押运人员的监管之下。</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2.审查责任：对书面材料进行审查，提出是否同意放射性物品道路运输许可许可的审核意见，告知申请人享有申请行政复议的权利。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rPr>
          <w:trHeight w:val="115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ind w:firstLine="630" w:firstLineChars="300"/>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21</w:t>
            </w:r>
          </w:p>
        </w:tc>
      </w:tr>
      <w:tr>
        <w:tblPrEx>
          <w:tblCellMar>
            <w:top w:w="0" w:type="dxa"/>
            <w:left w:w="10" w:type="dxa"/>
            <w:bottom w:w="0" w:type="dxa"/>
            <w:right w:w="10" w:type="dxa"/>
          </w:tblCellMar>
        </w:tblPrEx>
        <w:trPr>
          <w:trHeight w:val="7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烟花爆竹道路运输许可</w:t>
            </w:r>
          </w:p>
        </w:tc>
      </w:tr>
      <w:tr>
        <w:tblPrEx>
          <w:tblCellMar>
            <w:top w:w="0" w:type="dxa"/>
            <w:left w:w="10" w:type="dxa"/>
            <w:bottom w:w="0" w:type="dxa"/>
            <w:right w:w="10" w:type="dxa"/>
          </w:tblCellMar>
        </w:tblPrEx>
        <w:trPr>
          <w:trHeight w:val="52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pStyle w:val="2"/>
              <w:shd w:val="clear" w:color="auto" w:fill="FFFFFF"/>
              <w:spacing w:before="420" w:after="0" w:line="240" w:lineRule="auto"/>
              <w:ind w:firstLine="883" w:firstLineChars="200"/>
              <w:rPr>
                <w:rFonts w:asciiTheme="minorEastAsia" w:hAnsiTheme="minorEastAsia" w:eastAsiaTheme="minorEastAsia"/>
                <w:b w:val="0"/>
                <w:bCs w:val="0"/>
                <w:sz w:val="21"/>
                <w:szCs w:val="21"/>
              </w:rPr>
            </w:pPr>
            <w:r>
              <w:rPr>
                <w:rFonts w:hint="eastAsia" w:cs="宋体" w:asciiTheme="minorEastAsia" w:hAnsiTheme="minorEastAsia" w:eastAsiaTheme="minorEastAsia"/>
                <w:color w:val="000000"/>
                <w:szCs w:val="21"/>
                <w:lang w:val="zh-CN"/>
              </w:rPr>
              <w:t xml:space="preserve">    </w:t>
            </w:r>
            <w:r>
              <w:rPr>
                <w:rFonts w:hint="eastAsia" w:cs="宋体" w:asciiTheme="minorEastAsia" w:hAnsiTheme="minorEastAsia" w:eastAsiaTheme="minorEastAsia"/>
                <w:b w:val="0"/>
                <w:sz w:val="21"/>
                <w:szCs w:val="21"/>
                <w:lang w:val="zh-CN"/>
              </w:rPr>
              <w:t>《</w:t>
            </w:r>
            <w:r>
              <w:rPr>
                <w:rFonts w:hint="eastAsia" w:asciiTheme="minorEastAsia" w:hAnsiTheme="minorEastAsia" w:eastAsiaTheme="minorEastAsia"/>
                <w:b w:val="0"/>
                <w:bCs w:val="0"/>
                <w:sz w:val="21"/>
                <w:szCs w:val="21"/>
              </w:rPr>
              <w:t>烟花爆竹安全管理条例</w:t>
            </w:r>
            <w:r>
              <w:rPr>
                <w:rFonts w:hint="eastAsia" w:cs="宋体" w:asciiTheme="minorEastAsia" w:hAnsiTheme="minorEastAsia" w:eastAsiaTheme="minorEastAsia"/>
                <w:b w:val="0"/>
                <w:sz w:val="21"/>
                <w:szCs w:val="21"/>
                <w:lang w:val="zh-CN"/>
              </w:rPr>
              <w:t>》</w:t>
            </w:r>
            <w:r>
              <w:rPr>
                <w:rFonts w:hint="eastAsia" w:asciiTheme="minorEastAsia" w:hAnsiTheme="minorEastAsia" w:eastAsiaTheme="minorEastAsia"/>
                <w:b w:val="0"/>
                <w:sz w:val="21"/>
                <w:szCs w:val="21"/>
              </w:rPr>
              <w:t>第二十三条 经由道路运输烟花爆竹的，托运人应当向运达地县级人民政府公安部门提出申请，并提交下列有关材料：</w:t>
            </w:r>
          </w:p>
          <w:p>
            <w:pPr>
              <w:pStyle w:val="7"/>
              <w:shd w:val="clear" w:color="auto" w:fill="FFFFFF"/>
              <w:spacing w:before="0" w:beforeAutospacing="0" w:after="0" w:afterAutospacing="0"/>
              <w:ind w:firstLine="480"/>
              <w:jc w:val="both"/>
              <w:rPr>
                <w:rFonts w:asciiTheme="minorEastAsia" w:hAnsiTheme="minorEastAsia" w:eastAsiaTheme="minorEastAsia"/>
                <w:sz w:val="21"/>
                <w:szCs w:val="21"/>
              </w:rPr>
            </w:pPr>
            <w:r>
              <w:rPr>
                <w:rFonts w:hint="eastAsia" w:asciiTheme="minorEastAsia" w:hAnsiTheme="minorEastAsia" w:eastAsiaTheme="minorEastAsia"/>
                <w:sz w:val="21"/>
                <w:szCs w:val="21"/>
              </w:rPr>
              <w:t>(一)承运人从事危险货物运输的资质证明;</w:t>
            </w:r>
          </w:p>
          <w:p>
            <w:pPr>
              <w:pStyle w:val="7"/>
              <w:shd w:val="clear" w:color="auto" w:fill="FFFFFF"/>
              <w:spacing w:before="0" w:beforeAutospacing="0" w:after="0" w:afterAutospacing="0"/>
              <w:ind w:firstLine="480"/>
              <w:jc w:val="both"/>
              <w:rPr>
                <w:rFonts w:asciiTheme="minorEastAsia" w:hAnsiTheme="minorEastAsia" w:eastAsiaTheme="minorEastAsia"/>
                <w:sz w:val="21"/>
                <w:szCs w:val="21"/>
              </w:rPr>
            </w:pPr>
            <w:r>
              <w:rPr>
                <w:rFonts w:hint="eastAsia" w:asciiTheme="minorEastAsia" w:hAnsiTheme="minorEastAsia" w:eastAsiaTheme="minorEastAsia"/>
                <w:sz w:val="21"/>
                <w:szCs w:val="21"/>
              </w:rPr>
              <w:t>(二)驾驶员、押运员从事危险货物运输的资格证明;</w:t>
            </w:r>
          </w:p>
          <w:p>
            <w:pPr>
              <w:pStyle w:val="7"/>
              <w:shd w:val="clear" w:color="auto" w:fill="FFFFFF"/>
              <w:spacing w:before="0" w:beforeAutospacing="0" w:after="0" w:afterAutospacing="0"/>
              <w:ind w:firstLine="480"/>
              <w:jc w:val="both"/>
              <w:rPr>
                <w:rFonts w:asciiTheme="minorEastAsia" w:hAnsiTheme="minorEastAsia" w:eastAsiaTheme="minorEastAsia"/>
                <w:sz w:val="21"/>
                <w:szCs w:val="21"/>
              </w:rPr>
            </w:pPr>
            <w:r>
              <w:rPr>
                <w:rFonts w:hint="eastAsia" w:asciiTheme="minorEastAsia" w:hAnsiTheme="minorEastAsia" w:eastAsiaTheme="minorEastAsia"/>
                <w:sz w:val="21"/>
                <w:szCs w:val="21"/>
              </w:rPr>
              <w:t>(三)危险货物运输车辆的道路运输证明;</w:t>
            </w:r>
          </w:p>
          <w:p>
            <w:pPr>
              <w:pStyle w:val="7"/>
              <w:shd w:val="clear" w:color="auto" w:fill="FFFFFF"/>
              <w:spacing w:before="0" w:beforeAutospacing="0" w:after="0" w:afterAutospacing="0"/>
              <w:ind w:firstLine="480"/>
              <w:jc w:val="both"/>
              <w:rPr>
                <w:rFonts w:asciiTheme="minorEastAsia" w:hAnsiTheme="minorEastAsia" w:eastAsiaTheme="minorEastAsia"/>
                <w:sz w:val="21"/>
                <w:szCs w:val="21"/>
              </w:rPr>
            </w:pPr>
            <w:r>
              <w:rPr>
                <w:rFonts w:hint="eastAsia" w:asciiTheme="minorEastAsia" w:hAnsiTheme="minorEastAsia" w:eastAsiaTheme="minorEastAsia"/>
                <w:sz w:val="21"/>
                <w:szCs w:val="21"/>
              </w:rPr>
              <w:t>(四)托运人从事烟花爆竹生产、经营的资质证明;</w:t>
            </w:r>
          </w:p>
          <w:p>
            <w:pPr>
              <w:pStyle w:val="7"/>
              <w:shd w:val="clear" w:color="auto" w:fill="FFFFFF"/>
              <w:spacing w:before="0" w:beforeAutospacing="0" w:after="0" w:afterAutospacing="0"/>
              <w:ind w:firstLine="480"/>
              <w:jc w:val="both"/>
              <w:rPr>
                <w:rFonts w:asciiTheme="minorEastAsia" w:hAnsiTheme="minorEastAsia" w:eastAsiaTheme="minorEastAsia"/>
                <w:sz w:val="21"/>
                <w:szCs w:val="21"/>
              </w:rPr>
            </w:pPr>
            <w:r>
              <w:rPr>
                <w:rFonts w:hint="eastAsia" w:asciiTheme="minorEastAsia" w:hAnsiTheme="minorEastAsia" w:eastAsiaTheme="minorEastAsia"/>
                <w:sz w:val="21"/>
                <w:szCs w:val="21"/>
              </w:rPr>
              <w:t>(五)烟花爆竹的购销合同及运输烟花爆竹的种类、规格、数量;</w:t>
            </w:r>
          </w:p>
          <w:p>
            <w:pPr>
              <w:pStyle w:val="7"/>
              <w:shd w:val="clear" w:color="auto" w:fill="FFFFFF"/>
              <w:spacing w:before="0" w:beforeAutospacing="0" w:after="0" w:afterAutospacing="0"/>
              <w:ind w:firstLine="480"/>
              <w:jc w:val="both"/>
              <w:rPr>
                <w:rFonts w:asciiTheme="minorEastAsia" w:hAnsiTheme="minorEastAsia" w:eastAsiaTheme="minorEastAsia"/>
                <w:sz w:val="21"/>
                <w:szCs w:val="21"/>
              </w:rPr>
            </w:pPr>
            <w:r>
              <w:rPr>
                <w:rFonts w:hint="eastAsia" w:asciiTheme="minorEastAsia" w:hAnsiTheme="minorEastAsia" w:eastAsiaTheme="minorEastAsia"/>
                <w:sz w:val="21"/>
                <w:szCs w:val="21"/>
              </w:rPr>
              <w:t>(六)烟花爆竹的产品质量和包装合格证明;</w:t>
            </w:r>
          </w:p>
          <w:p>
            <w:pPr>
              <w:pStyle w:val="7"/>
              <w:shd w:val="clear" w:color="auto" w:fill="FFFFFF"/>
              <w:spacing w:before="0" w:beforeAutospacing="0" w:after="0" w:afterAutospacing="0"/>
              <w:ind w:firstLine="480"/>
              <w:jc w:val="both"/>
              <w:rPr>
                <w:rFonts w:asciiTheme="minorEastAsia" w:hAnsiTheme="minorEastAsia" w:eastAsiaTheme="minorEastAsia"/>
                <w:sz w:val="21"/>
                <w:szCs w:val="21"/>
              </w:rPr>
            </w:pPr>
            <w:r>
              <w:rPr>
                <w:rFonts w:hint="eastAsia" w:asciiTheme="minorEastAsia" w:hAnsiTheme="minorEastAsia" w:eastAsiaTheme="minorEastAsia"/>
                <w:sz w:val="21"/>
                <w:szCs w:val="21"/>
              </w:rPr>
              <w:t>(七)运输车辆牌号、运输时间、起始地点、行驶路线、经停地点。</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2.审查责任：对书面材料进行审查，提出是否同意烟花爆竹道路许可的审核意见，告知申请人享有申请行政复议的权利。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jc w:val="left"/>
              <w:rPr>
                <w:rFonts w:cs="宋体" w:asciiTheme="minorEastAsia" w:hAnsiTheme="minorEastAsia" w:eastAsiaTheme="minorEastAsia"/>
                <w:color w:val="000000"/>
                <w:szCs w:val="21"/>
              </w:rPr>
            </w:pPr>
          </w:p>
        </w:tc>
      </w:tr>
      <w:tr>
        <w:tblPrEx>
          <w:tblCellMar>
            <w:top w:w="0" w:type="dxa"/>
            <w:left w:w="10" w:type="dxa"/>
            <w:bottom w:w="0" w:type="dxa"/>
            <w:right w:w="10" w:type="dxa"/>
          </w:tblCellMar>
        </w:tblPrEx>
        <w:trPr>
          <w:trHeight w:val="154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22</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运输危险化学品的车辆进入危险化学品运输车辆限制通行区域审批</w:t>
            </w:r>
          </w:p>
        </w:tc>
      </w:tr>
      <w:tr>
        <w:tblPrEx>
          <w:tblCellMar>
            <w:top w:w="0" w:type="dxa"/>
            <w:left w:w="10" w:type="dxa"/>
            <w:bottom w:w="0" w:type="dxa"/>
            <w:right w:w="10" w:type="dxa"/>
          </w:tblCellMar>
        </w:tblPrEx>
        <w:trPr>
          <w:trHeight w:val="712"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华人民共和国道路交通安全法》《中华人民共和国危险化学品安全管理条例》《中华人民共和国道路交通安全法》第四十八条：机动车载运爆炸物品、易燃易爆化学物品以及剧毒、放射性等危险物品，应当经公安机关批准后，按指定的时间、路线、速度行驶，悬挂警示标志并采取必要的安全措施。</w:t>
            </w:r>
          </w:p>
          <w:p>
            <w:pPr>
              <w:autoSpaceDE w:val="0"/>
              <w:autoSpaceDN w:val="0"/>
              <w:adjustRightInd w:val="0"/>
              <w:spacing w:line="300" w:lineRule="exact"/>
              <w:ind w:firstLine="315" w:firstLineChars="150"/>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华人民共和国危险化学品安全管理条例》第四十九条：未经公安机关批准，运输危险化学品的车辆不得进入危险化学品运输车辆限制通行的区域。危险化学品运输车辆限制通行的区域由县级人民政府公安机关划定，并设置明显的标志。　</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2.审查责任：对书面材料进行审查，提出是否同意运输危险化学品的车辆进入危险化学品运输车辆限制通行区域审批许可的审核意见，告知申请人享有申请行政复议的权利。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758"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23</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477"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机动车驾驶证核发、审验</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jc w:val="left"/>
              <w:rPr>
                <w:rFonts w:asciiTheme="minorEastAsia" w:hAnsiTheme="minorEastAsia" w:eastAsiaTheme="minorEastAsia"/>
                <w:color w:val="000000"/>
                <w:szCs w:val="21"/>
              </w:rPr>
            </w:pPr>
            <w:r>
              <w:rPr>
                <w:rFonts w:hint="eastAsia" w:cs="宋体" w:asciiTheme="minorEastAsia" w:hAnsiTheme="minorEastAsia" w:eastAsiaTheme="minorEastAsia"/>
                <w:color w:val="000000"/>
                <w:szCs w:val="21"/>
                <w:lang w:val="zh-CN"/>
              </w:rPr>
              <w:t>《中华人民共和国道路交通安全法》《机动车驾驶证申领和使用规定》</w:t>
            </w:r>
            <w:r>
              <w:rPr>
                <w:rFonts w:hint="eastAsia" w:asciiTheme="minorEastAsia" w:hAnsiTheme="minorEastAsia" w:eastAsiaTheme="minorEastAsia"/>
                <w:color w:val="000000"/>
                <w:szCs w:val="21"/>
              </w:rPr>
              <w:t>《中华人民共和国道路交通安全法》第十九条驾驶机动车，应当依法取得机动车驾驶证。申请机动车驾驶证，应当符合国务院公安部门规定的驾驶许可条件；经考试合格后，由公安机关交通管理部门发给相应类别的机动车驾驶证。持有境外机动车驾驶证的人，符合国务院公安部门规定的驾驶许可条件，经公安机关交通管理部门考核合格的，可以发给中国的机动车驾驶证。驾驶人应当按照驾驶证载明的准驾车型驾驶机动车；驾驶机动车时，应当随身携带机动车驾驶证。公安机关交通管理部门以外的任何单位或者个人，不得收缴、扣留机动车驾驶证。</w:t>
            </w:r>
          </w:p>
          <w:p>
            <w:pPr>
              <w:jc w:val="left"/>
              <w:rPr>
                <w:rFonts w:asciiTheme="minorEastAsia" w:hAnsiTheme="minorEastAsia" w:eastAsiaTheme="minorEastAsia"/>
                <w:color w:val="000000"/>
                <w:szCs w:val="21"/>
                <w:shd w:val="clear" w:color="auto" w:fill="FFFFFF"/>
              </w:rPr>
            </w:pPr>
            <w:r>
              <w:rPr>
                <w:rFonts w:hint="eastAsia" w:asciiTheme="minorEastAsia" w:hAnsiTheme="minorEastAsia" w:eastAsiaTheme="minorEastAsia"/>
                <w:color w:val="000000"/>
                <w:szCs w:val="21"/>
                <w:shd w:val="clear" w:color="auto" w:fill="FFFFFF"/>
              </w:rPr>
              <w:t>《机动车驾驶证申领和使用规定》第十九条：初次申请机动车驾驶证，应当填写申请表，并提交以下证明：（一）申请人的身份证明；（二）县级或者部队团级以上医疗机构出具的有关身体条件的证明。属于申请残疾人专用小型自动挡载客汽车的，应当提交经省级卫生主管部门指定的专门医疗机构出具的有关身体条件的证明。</w:t>
            </w:r>
          </w:p>
          <w:p>
            <w:pPr>
              <w:jc w:val="left"/>
              <w:rPr>
                <w:rFonts w:cs="宋体" w:asciiTheme="minorEastAsia" w:hAnsiTheme="minorEastAsia" w:eastAsiaTheme="minorEastAsia"/>
                <w:color w:val="000000"/>
                <w:szCs w:val="21"/>
              </w:rPr>
            </w:pPr>
            <w:r>
              <w:rPr>
                <w:rFonts w:hint="eastAsia" w:asciiTheme="minorEastAsia" w:hAnsiTheme="minorEastAsia" w:eastAsiaTheme="minorEastAsia"/>
                <w:color w:val="000000"/>
                <w:szCs w:val="21"/>
                <w:shd w:val="clear" w:color="auto" w:fill="FFFFFF"/>
              </w:rPr>
              <w:t>《机动车驾驶证申领和使用规定》</w:t>
            </w:r>
            <w:r>
              <w:rPr>
                <w:rFonts w:hint="eastAsia" w:cs="宋体" w:asciiTheme="minorEastAsia" w:hAnsiTheme="minorEastAsia" w:eastAsiaTheme="minorEastAsia"/>
                <w:color w:val="000000"/>
                <w:szCs w:val="21"/>
              </w:rPr>
              <w:t>第二十一条：持军队、武装警察部队机动车驾驶证的人申请机动车驾驶证，应当填写申请表，并提交以下证明、凭证：（一）申请人的身份证明。属于复员、转业、退伍的人员，还应当提交军队、武装警察部队核发的复员、转业、退伍证明； 　　（二）县级或者部队团级以上医疗机构出具的有关身体条件的证明；（三）军队、武装警察部队机动车驾驶证。</w:t>
            </w:r>
          </w:p>
          <w:p>
            <w:pPr>
              <w:jc w:val="left"/>
              <w:rPr>
                <w:rFonts w:cs="宋体" w:asciiTheme="minorEastAsia" w:hAnsiTheme="minorEastAsia" w:eastAsiaTheme="minorEastAsia"/>
                <w:color w:val="000000"/>
                <w:szCs w:val="21"/>
              </w:rPr>
            </w:pPr>
            <w:r>
              <w:rPr>
                <w:rFonts w:hint="eastAsia" w:asciiTheme="minorEastAsia" w:hAnsiTheme="minorEastAsia" w:eastAsiaTheme="minorEastAsia"/>
                <w:color w:val="000000"/>
                <w:szCs w:val="21"/>
                <w:shd w:val="clear" w:color="auto" w:fill="FFFFFF"/>
              </w:rPr>
              <w:t>《机动车驾驶证申领和使用规定》</w:t>
            </w:r>
            <w:r>
              <w:rPr>
                <w:rFonts w:hint="eastAsia" w:cs="宋体" w:asciiTheme="minorEastAsia" w:hAnsiTheme="minorEastAsia" w:eastAsiaTheme="minorEastAsia"/>
                <w:color w:val="000000"/>
                <w:szCs w:val="21"/>
              </w:rPr>
              <w:t>第二十二条：持境外机动车驾驶证的人申请机动车驾驶证，应当填写申请表，并提交以下证明、凭证：（一）申请人的身份证明；（二）县级以上医疗机构出具的有关身体条件的证明。属于外国驻华使馆、领馆人员及国际组织驻华代表机构人员申请的，按照外交对等原则执行；（三）所持机动车驾驶证。属于非中文表述的，还应当出具中文翻译文本。 　　申请人属于内地居民的，还应当提交申请人的护照或者《内地居民往来港澳通行证》、《大陆居民往来台湾通行证》。</w:t>
            </w:r>
          </w:p>
          <w:p>
            <w:pPr>
              <w:jc w:val="left"/>
              <w:rPr>
                <w:rFonts w:cs="宋体" w:asciiTheme="minorEastAsia" w:hAnsiTheme="minorEastAsia" w:eastAsiaTheme="minorEastAsia"/>
                <w:color w:val="000000"/>
                <w:szCs w:val="21"/>
              </w:rPr>
            </w:pPr>
            <w:r>
              <w:rPr>
                <w:rFonts w:hint="eastAsia" w:asciiTheme="minorEastAsia" w:hAnsiTheme="minorEastAsia" w:eastAsiaTheme="minorEastAsia"/>
                <w:color w:val="000000"/>
                <w:szCs w:val="21"/>
                <w:shd w:val="clear" w:color="auto" w:fill="FFFFFF"/>
              </w:rPr>
              <w:t>《机动车驾驶证申领和使用规定》</w:t>
            </w:r>
            <w:r>
              <w:rPr>
                <w:rFonts w:hint="eastAsia" w:cs="宋体" w:asciiTheme="minorEastAsia" w:hAnsiTheme="minorEastAsia" w:eastAsiaTheme="minorEastAsia"/>
                <w:color w:val="000000"/>
                <w:szCs w:val="21"/>
              </w:rPr>
              <w:t>第四十条：初次申请机动车驾驶证或者申请增加准驾车型的，申请人预约考试科目二，应当符合下列规定：（一）报考小型汽车、小型自动挡汽车、低速载货汽车、三轮汽车、残疾人专用小型自动挡载客汽车、轮式自行机械车、无轨电车、有轨电车准驾车型的，在取得学习驾驶证明满十日后预约考试；（二）报考大型客车、牵引车、城市公交车、中型客车、大型货车准驾车型的，在取得学习驾驶证明满二十日后预约考试。</w:t>
            </w:r>
          </w:p>
          <w:p>
            <w:pPr>
              <w:jc w:val="left"/>
              <w:rPr>
                <w:rFonts w:cs="宋体" w:asciiTheme="minorEastAsia" w:hAnsiTheme="minorEastAsia" w:eastAsiaTheme="minorEastAsia"/>
                <w:color w:val="000000"/>
                <w:szCs w:val="21"/>
              </w:rPr>
            </w:pPr>
            <w:r>
              <w:rPr>
                <w:rFonts w:hint="eastAsia" w:asciiTheme="minorEastAsia" w:hAnsiTheme="minorEastAsia" w:eastAsiaTheme="minorEastAsia"/>
                <w:color w:val="000000"/>
                <w:szCs w:val="21"/>
                <w:shd w:val="clear" w:color="auto" w:fill="FFFFFF"/>
              </w:rPr>
              <w:t>《机动车驾驶证申领和使用规定》</w:t>
            </w:r>
            <w:r>
              <w:rPr>
                <w:rFonts w:hint="eastAsia" w:cs="宋体" w:asciiTheme="minorEastAsia" w:hAnsiTheme="minorEastAsia" w:eastAsiaTheme="minorEastAsia"/>
                <w:color w:val="000000"/>
                <w:szCs w:val="21"/>
              </w:rPr>
              <w:t>第四十一条：初次申请机动车驾驶证或者申请增加准驾车型的，申请人预约考试科目三，应当符合下列规定：（一）报考低速载货汽车、三轮汽车、轮式自行机械车、无轨电车、有轨电车准驾车型的，在取得学习驾驶证明满二十日后预约考试；（二）报考小型汽车、小型自动挡汽车、残疾人专用小型自动挡载客汽车准驾车型的，在取得学习驾驶证明满三十日后预约考试；（三）报考大型客车、牵引车、城市公交车、中型客车、大型货车准驾车型的，在取得学习驾驶证明满四十日后预约考试。</w:t>
            </w:r>
          </w:p>
          <w:p>
            <w:pPr>
              <w:autoSpaceDE w:val="0"/>
              <w:autoSpaceDN w:val="0"/>
              <w:adjustRightInd w:val="0"/>
              <w:spacing w:line="300" w:lineRule="exact"/>
              <w:ind w:firstLine="315" w:firstLineChars="150"/>
              <w:jc w:val="left"/>
              <w:rPr>
                <w:rFonts w:cs="宋体" w:asciiTheme="minorEastAsia" w:hAnsiTheme="minorEastAsia" w:eastAsiaTheme="minorEastAsia"/>
                <w:color w:val="000000"/>
                <w:szCs w:val="21"/>
                <w:lang w:val="zh-CN"/>
              </w:rPr>
            </w:pPr>
            <w:r>
              <w:rPr>
                <w:rFonts w:hint="eastAsia" w:asciiTheme="minorEastAsia" w:hAnsiTheme="minorEastAsia" w:eastAsiaTheme="minorEastAsia"/>
                <w:color w:val="000000"/>
                <w:szCs w:val="21"/>
                <w:shd w:val="clear" w:color="auto" w:fill="FFFFFF"/>
              </w:rPr>
              <w:t>《机动车驾驶证申领和使用规定》</w:t>
            </w:r>
            <w:r>
              <w:rPr>
                <w:rFonts w:hint="eastAsia" w:cs="宋体" w:asciiTheme="minorEastAsia" w:hAnsiTheme="minorEastAsia" w:eastAsiaTheme="minorEastAsia"/>
                <w:color w:val="000000"/>
                <w:szCs w:val="21"/>
              </w:rPr>
              <w:t>第七十条：机动车驾驶人应当按照法律、行政法规的规定，定期到公安机关交通管理部门接受审验。机动车驾驶人按照本规定第五十七条、第五十八条换领机动车驾驶证时，应当接受公安机关交通管理部门的审验。 　　持有大型客车、牵引车、城市公交车、中型客车、大型货车驾驶证的驾驶人，应当在每个记分周期结束后三十日内到公安机关交通管理部门接受审验。但在一个记分周期内没有记分记录的，免予本记分周期审验。持有本条第三款规定以外准驾车型驾驶证的驾驶人，发生交通事故造成人员死亡承担同等以上责任未被吊销机动车驾驶证的，应当在本记分周期结束后三十日内到公安机关交通管理部门接受审验。机动车驾驶人可以在机动车驾驶证核发地或者核发地以外的地方参加审验、提交身体条件证明。</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2.审查责任：对书面材料进行审查，提出是否同意机动车驾驶证核发、审验许可的审核意见，告知申请人享有申请行政复议的权利。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15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left"/>
              <w:rPr>
                <w:rFonts w:cs="宋体" w:asciiTheme="minorEastAsia" w:hAnsiTheme="minorEastAsia" w:eastAsiaTheme="minorEastAsia"/>
                <w:color w:val="000000"/>
                <w:szCs w:val="21"/>
              </w:rPr>
            </w:pP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24</w:t>
            </w:r>
          </w:p>
        </w:tc>
      </w:tr>
      <w:tr>
        <w:tblPrEx>
          <w:tblCellMar>
            <w:top w:w="0" w:type="dxa"/>
            <w:left w:w="10" w:type="dxa"/>
            <w:bottom w:w="0" w:type="dxa"/>
            <w:right w:w="10" w:type="dxa"/>
          </w:tblCellMar>
        </w:tblPrEx>
        <w:trPr>
          <w:trHeight w:val="7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机动车登记</w:t>
            </w:r>
          </w:p>
        </w:tc>
      </w:tr>
      <w:tr>
        <w:tblPrEx>
          <w:tblCellMar>
            <w:top w:w="0" w:type="dxa"/>
            <w:left w:w="10" w:type="dxa"/>
            <w:bottom w:w="0" w:type="dxa"/>
            <w:right w:w="10" w:type="dxa"/>
          </w:tblCellMar>
        </w:tblPrEx>
        <w:trPr>
          <w:trHeight w:val="52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r>
              <w:rPr>
                <w:rFonts w:hint="eastAsia" w:cs="宋体" w:asciiTheme="minorEastAsia" w:hAnsiTheme="minorEastAsia" w:eastAsiaTheme="minorEastAsia"/>
                <w:szCs w:val="21"/>
                <w:lang w:val="zh-CN"/>
              </w:rPr>
              <w:t xml:space="preserve">    《中华人民共和国道路交通安全法》</w:t>
            </w:r>
            <w:r>
              <w:rPr>
                <w:rFonts w:cs="Arial" w:asciiTheme="minorEastAsia" w:hAnsiTheme="minorEastAsia" w:eastAsiaTheme="minorEastAsia"/>
                <w:sz w:val="21"/>
                <w:szCs w:val="21"/>
                <w:shd w:val="clear" w:color="auto" w:fill="FFFFFF"/>
              </w:rPr>
              <w:t>《机动车登记规定》</w:t>
            </w:r>
            <w:r>
              <w:rPr>
                <w:rFonts w:cs="Arial" w:asciiTheme="minorEastAsia" w:hAnsiTheme="minorEastAsia" w:eastAsiaTheme="minorEastAsia"/>
                <w:sz w:val="21"/>
                <w:szCs w:val="21"/>
              </w:rPr>
              <w:t>第五条</w:t>
            </w:r>
            <w:r>
              <w:rPr>
                <w:rFonts w:hint="eastAsia" w:cs="Arial" w:asciiTheme="minorEastAsia" w:hAnsiTheme="minorEastAsia" w:eastAsiaTheme="minorEastAsia"/>
                <w:sz w:val="21"/>
                <w:szCs w:val="21"/>
              </w:rPr>
              <w:t>：</w:t>
            </w:r>
            <w:r>
              <w:rPr>
                <w:rFonts w:cs="Arial" w:asciiTheme="minorEastAsia" w:hAnsiTheme="minorEastAsia" w:eastAsiaTheme="minorEastAsia"/>
                <w:sz w:val="21"/>
                <w:szCs w:val="21"/>
              </w:rPr>
              <w:t>初次申领机动车号牌、行驶证的，机动车所有人应当向住所地的车辆管理所申请注册登记。</w:t>
            </w:r>
          </w:p>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shd w:val="clear" w:color="auto" w:fill="FFFFFF"/>
              </w:rPr>
              <w:t>《机动车登记规定》</w:t>
            </w:r>
            <w:r>
              <w:rPr>
                <w:rFonts w:cs="Arial" w:asciiTheme="minorEastAsia" w:hAnsiTheme="minorEastAsia" w:eastAsiaTheme="minorEastAsia"/>
                <w:sz w:val="21"/>
                <w:szCs w:val="21"/>
              </w:rPr>
              <w:t>第六条</w:t>
            </w:r>
            <w:r>
              <w:rPr>
                <w:rFonts w:hint="eastAsia" w:cs="Arial" w:asciiTheme="minorEastAsia" w:hAnsiTheme="minorEastAsia" w:eastAsiaTheme="minorEastAsia"/>
                <w:sz w:val="21"/>
                <w:szCs w:val="21"/>
              </w:rPr>
              <w:t>：</w:t>
            </w:r>
            <w:r>
              <w:rPr>
                <w:rFonts w:cs="Arial" w:asciiTheme="minorEastAsia" w:hAnsiTheme="minorEastAsia" w:eastAsiaTheme="minorEastAsia"/>
                <w:sz w:val="21"/>
                <w:szCs w:val="21"/>
              </w:rPr>
              <w:t>机动车所有人应当到机动车安全技术检验机构对机动车进行安全技术检验，取得机动车安全技术检验合格证明后申请注册登记。</w:t>
            </w:r>
          </w:p>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免予安全技术检验的机动车有下列情形之一的，应当进行安全技术检验:</w:t>
            </w:r>
          </w:p>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(一)国产机动车出厂后两年内未申请注册登记的;</w:t>
            </w:r>
          </w:p>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(二)经海关进口的机动车进口后两年内未申请注册登记的;</w:t>
            </w:r>
          </w:p>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(三)申请注册登记前发生交通事故的。</w:t>
            </w:r>
          </w:p>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专用校车办理注册登记前，应当按照专用校车国家安全技术标准进行安全技术检验。</w:t>
            </w:r>
          </w:p>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shd w:val="clear" w:color="auto" w:fill="FFFFFF"/>
              </w:rPr>
              <w:t>《机动车登记规定》</w:t>
            </w:r>
            <w:r>
              <w:rPr>
                <w:rFonts w:cs="Arial" w:asciiTheme="minorEastAsia" w:hAnsiTheme="minorEastAsia" w:eastAsiaTheme="minorEastAsia"/>
                <w:sz w:val="21"/>
                <w:szCs w:val="21"/>
              </w:rPr>
              <w:t>第七条</w:t>
            </w:r>
            <w:r>
              <w:rPr>
                <w:rFonts w:hint="eastAsia" w:cs="Arial" w:asciiTheme="minorEastAsia" w:hAnsiTheme="minorEastAsia" w:eastAsiaTheme="minorEastAsia"/>
                <w:sz w:val="21"/>
                <w:szCs w:val="21"/>
              </w:rPr>
              <w:t>：</w:t>
            </w:r>
            <w:r>
              <w:rPr>
                <w:rFonts w:cs="Arial" w:asciiTheme="minorEastAsia" w:hAnsiTheme="minorEastAsia" w:eastAsiaTheme="minorEastAsia"/>
                <w:sz w:val="21"/>
                <w:szCs w:val="21"/>
              </w:rPr>
              <w:t>申请注册登记的:</w:t>
            </w:r>
          </w:p>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(一)机动车所有人的身份证明;</w:t>
            </w:r>
          </w:p>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(二)购车发票等机动车来历证明;</w:t>
            </w:r>
          </w:p>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(三)机动车整车出厂合格证明或者进口机动车进口凭证;</w:t>
            </w:r>
          </w:p>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(四)车辆购置税完税证明或者免税凭证;</w:t>
            </w:r>
          </w:p>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(五)机动车交通事故责任强制保险凭证;</w:t>
            </w:r>
          </w:p>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(六)车船税纳税或者免税证明;</w:t>
            </w:r>
          </w:p>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(七)法律、行政法规规定应当在机动车注册登记时提交的其他证明、凭证。</w:t>
            </w:r>
          </w:p>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r>
              <w:rPr>
                <w:rFonts w:cs="Arial" w:asciiTheme="minorEastAsia" w:hAnsiTheme="minorEastAsia" w:eastAsiaTheme="minorEastAsia"/>
                <w:sz w:val="21"/>
                <w:szCs w:val="21"/>
              </w:rPr>
              <w:t>不属于经海关进口的机动车和国务院机动车产品主管部门规定免予安全技术检验的机动车，还应当提交机动车安全技术检验合格证明。</w:t>
            </w:r>
          </w:p>
          <w:p>
            <w:pPr>
              <w:autoSpaceDE w:val="0"/>
              <w:autoSpaceDN w:val="0"/>
              <w:adjustRightInd w:val="0"/>
              <w:spacing w:line="300" w:lineRule="exact"/>
              <w:jc w:val="left"/>
              <w:rPr>
                <w:rFonts w:cs="宋体" w:asciiTheme="minorEastAsia" w:hAnsiTheme="minorEastAsia" w:eastAsiaTheme="minorEastAsia"/>
                <w:szCs w:val="21"/>
                <w:lang w:val="zh-CN"/>
              </w:rPr>
            </w:pPr>
            <w:r>
              <w:rPr>
                <w:rFonts w:cs="Arial" w:asciiTheme="minorEastAsia" w:hAnsiTheme="minorEastAsia" w:eastAsiaTheme="minorEastAsia"/>
                <w:sz w:val="21"/>
                <w:szCs w:val="21"/>
              </w:rPr>
              <w:t>车辆管理所应当自受理申请之日起二日内，确认机动车，核对车辆识别代号拓印膜，审查提交的证明、凭证，核发机动车登记证书、号牌、行驶证和检验合格标志。</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2.审查责任：对书面材料进行审查，提出是否同意机动车登记许可的审核意见，告知申请人享有申请行政复议的权利。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pStyle w:val="7"/>
              <w:shd w:val="clear" w:color="auto" w:fill="FFFFFF"/>
              <w:spacing w:before="0" w:beforeAutospacing="0" w:after="225" w:afterAutospacing="0" w:line="360" w:lineRule="atLeast"/>
              <w:ind w:firstLine="480"/>
              <w:rPr>
                <w:rFonts w:cs="Arial" w:asciiTheme="minorEastAsia" w:hAnsiTheme="minorEastAsia" w:eastAsiaTheme="minorEastAsia"/>
                <w:sz w:val="21"/>
                <w:szCs w:val="21"/>
              </w:rPr>
            </w:pPr>
          </w:p>
        </w:tc>
      </w:tr>
      <w:tr>
        <w:tblPrEx>
          <w:tblCellMar>
            <w:top w:w="0" w:type="dxa"/>
            <w:left w:w="10" w:type="dxa"/>
            <w:bottom w:w="0" w:type="dxa"/>
            <w:right w:w="10" w:type="dxa"/>
          </w:tblCellMar>
        </w:tblPrEx>
        <w:trPr>
          <w:trHeight w:val="154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25</w:t>
            </w:r>
          </w:p>
        </w:tc>
      </w:tr>
      <w:tr>
        <w:tblPrEx>
          <w:tblCellMar>
            <w:top w:w="0" w:type="dxa"/>
            <w:left w:w="10" w:type="dxa"/>
            <w:bottom w:w="0" w:type="dxa"/>
            <w:right w:w="10" w:type="dxa"/>
          </w:tblCellMar>
        </w:tblPrEx>
        <w:trPr>
          <w:trHeight w:val="7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机动车检验合格标志核发</w:t>
            </w:r>
          </w:p>
        </w:tc>
      </w:tr>
      <w:tr>
        <w:tblPrEx>
          <w:tblCellMar>
            <w:top w:w="0" w:type="dxa"/>
            <w:left w:w="10" w:type="dxa"/>
            <w:bottom w:w="0" w:type="dxa"/>
            <w:right w:w="10" w:type="dxa"/>
          </w:tblCellMar>
        </w:tblPrEx>
        <w:trPr>
          <w:trHeight w:val="52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《中华人民共和国道路交通安全法》《机动车登记规定》</w:t>
            </w:r>
            <w:r>
              <w:rPr>
                <w:rFonts w:hint="eastAsia" w:asciiTheme="minorEastAsia" w:hAnsiTheme="minorEastAsia" w:eastAsiaTheme="minorEastAsia"/>
                <w:color w:val="000000"/>
                <w:szCs w:val="21"/>
                <w:shd w:val="clear" w:color="auto" w:fill="F9F9F9"/>
              </w:rPr>
              <w:t>《中华人民共和国道路交通安全法》第十条：</w:t>
            </w:r>
            <w:r>
              <w:rPr>
                <w:rFonts w:hint="eastAsia" w:cs="宋体" w:asciiTheme="minorEastAsia" w:hAnsiTheme="minorEastAsia" w:eastAsiaTheme="minorEastAsia"/>
                <w:color w:val="000000"/>
                <w:szCs w:val="21"/>
                <w:lang w:val="zh-CN"/>
              </w:rPr>
              <w:t>准予登记的机动车应当符合机动车国家安全技术标准。申请机动车登记时，应当接受对该机动车的安全技术检验。但是，经国家机动车产品主管部门依据机动车国家安全技术标准认定的企业生产的机动车型，该车型的新车在出厂时经检验符合机动车国家安全技术标准，获得检验合格证的，免予安全技术检验。</w:t>
            </w:r>
          </w:p>
          <w:p>
            <w:pPr>
              <w:autoSpaceDE w:val="0"/>
              <w:autoSpaceDN w:val="0"/>
              <w:adjustRightInd w:val="0"/>
              <w:spacing w:line="300" w:lineRule="exact"/>
              <w:ind w:firstLine="315" w:firstLineChars="150"/>
              <w:jc w:val="left"/>
              <w:rPr>
                <w:rFonts w:cs="宋体" w:asciiTheme="minorEastAsia" w:hAnsiTheme="minorEastAsia" w:eastAsiaTheme="minorEastAsia"/>
                <w:color w:val="000000"/>
                <w:szCs w:val="21"/>
                <w:lang w:val="zh-CN"/>
              </w:rPr>
            </w:pPr>
            <w:r>
              <w:rPr>
                <w:rFonts w:hint="eastAsia" w:asciiTheme="minorEastAsia" w:hAnsiTheme="minorEastAsia" w:eastAsiaTheme="minorEastAsia"/>
                <w:color w:val="000000"/>
                <w:szCs w:val="21"/>
                <w:shd w:val="clear" w:color="auto" w:fill="FFFFFF"/>
              </w:rPr>
              <w:t>《机动车登记规定》第四十九条</w:t>
            </w:r>
            <w:r>
              <w:rPr>
                <w:rFonts w:hint="eastAsia" w:cs="宋体" w:asciiTheme="minorEastAsia" w:hAnsiTheme="minorEastAsia" w:eastAsiaTheme="minorEastAsia"/>
                <w:color w:val="000000"/>
                <w:szCs w:val="21"/>
                <w:lang w:val="zh-CN"/>
              </w:rPr>
              <w:t>：机动车所有人可以在机动车检验有效期满前三个月内向登记地车辆管理所申请检验合格标志。申请前，机动车所有人应当将涉及该车的道路交通安全违法行为和交通事故处理完毕。申请时，机动车所有人应当填写申请表并提交行驶证、机动车交通事故责任强制保险凭证、车船税纳税或者免税证明、机动车安全技术检验合格证明。</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2.审查责任：对书面材料进行审查，提出是否同意机动车检验合格标志核发许可的审核意见，告知申请人享有申请行政复议的权利。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hint="eastAsia" w:cs="宋体" w:asciiTheme="minorEastAsia" w:hAnsiTheme="minorEastAsia" w:eastAsiaTheme="minorEastAsia"/>
                <w:color w:val="000000"/>
                <w:szCs w:val="21"/>
                <w:lang w:val="zh-CN"/>
              </w:rPr>
              <w:t>　</w:t>
            </w: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154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26</w:t>
            </w:r>
          </w:p>
        </w:tc>
      </w:tr>
      <w:tr>
        <w:tblPrEx>
          <w:tblCellMar>
            <w:top w:w="0" w:type="dxa"/>
            <w:left w:w="10" w:type="dxa"/>
            <w:bottom w:w="0" w:type="dxa"/>
            <w:right w:w="10" w:type="dxa"/>
          </w:tblCellMar>
        </w:tblPrEx>
        <w:trPr>
          <w:trHeight w:val="7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kern w:val="0"/>
                <w:szCs w:val="21"/>
              </w:rPr>
              <w:t>非机动车登记</w:t>
            </w:r>
          </w:p>
        </w:tc>
      </w:tr>
      <w:tr>
        <w:tblPrEx>
          <w:tblCellMar>
            <w:top w:w="0" w:type="dxa"/>
            <w:left w:w="10" w:type="dxa"/>
            <w:bottom w:w="0" w:type="dxa"/>
            <w:right w:w="10" w:type="dxa"/>
          </w:tblCellMar>
        </w:tblPrEx>
        <w:trPr>
          <w:trHeight w:val="52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ind w:firstLine="1050" w:firstLineChars="500"/>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《中华人民共和国道路交通安全法》</w:t>
            </w:r>
            <w:r>
              <w:rPr>
                <w:rFonts w:hint="eastAsia" w:asciiTheme="minorEastAsia" w:hAnsiTheme="minorEastAsia" w:eastAsiaTheme="minorEastAsia"/>
                <w:color w:val="000000"/>
                <w:szCs w:val="21"/>
                <w:shd w:val="clear" w:color="auto" w:fill="F9F9F9"/>
              </w:rPr>
              <w:t>《中华人民共和国道路交通安全法》第十八条：</w:t>
            </w:r>
            <w:r>
              <w:rPr>
                <w:rFonts w:hint="eastAsia" w:cs="宋体" w:asciiTheme="minorEastAsia" w:hAnsiTheme="minorEastAsia" w:eastAsiaTheme="minorEastAsia"/>
                <w:color w:val="000000"/>
                <w:szCs w:val="21"/>
                <w:lang w:val="zh-CN"/>
              </w:rPr>
              <w:t>依法应当登记的非机动车，经公安机关交通管理部门登记后，方可上道路行驶。</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w:t>
            </w:r>
            <w:r>
              <w:rPr>
                <w:rFonts w:hint="eastAsia" w:cs="宋体" w:asciiTheme="minorEastAsia" w:hAnsiTheme="minorEastAsia" w:eastAsiaTheme="minorEastAsia"/>
                <w:color w:val="000000"/>
                <w:kern w:val="0"/>
                <w:szCs w:val="21"/>
              </w:rPr>
              <w:t>非机动车登记</w:t>
            </w:r>
            <w:r>
              <w:rPr>
                <w:rFonts w:hint="eastAsia" w:cs="宋体" w:asciiTheme="minorEastAsia" w:hAnsiTheme="minorEastAsia" w:eastAsiaTheme="minorEastAsia"/>
                <w:color w:val="000000"/>
                <w:szCs w:val="21"/>
                <w:lang w:val="zh-CN"/>
              </w:rPr>
              <w:t>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　</w:t>
            </w:r>
          </w:p>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154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27</w:t>
            </w:r>
          </w:p>
        </w:tc>
      </w:tr>
      <w:tr>
        <w:tblPrEx>
          <w:tblCellMar>
            <w:top w:w="0" w:type="dxa"/>
            <w:left w:w="10" w:type="dxa"/>
            <w:bottom w:w="0" w:type="dxa"/>
            <w:right w:w="10" w:type="dxa"/>
          </w:tblCellMar>
        </w:tblPrEx>
        <w:trPr>
          <w:trHeight w:val="7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kern w:val="0"/>
                <w:szCs w:val="21"/>
              </w:rPr>
              <w:t>校车驾驶资格核发</w:t>
            </w:r>
          </w:p>
        </w:tc>
      </w:tr>
      <w:tr>
        <w:tblPrEx>
          <w:tblCellMar>
            <w:top w:w="0" w:type="dxa"/>
            <w:left w:w="10" w:type="dxa"/>
            <w:bottom w:w="0" w:type="dxa"/>
            <w:right w:w="10" w:type="dxa"/>
          </w:tblCellMar>
        </w:tblPrEx>
        <w:trPr>
          <w:trHeight w:val="52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ind w:firstLine="420" w:firstLineChars="200"/>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《机动车驾驶证申领和使用规定》</w:t>
            </w:r>
            <w:r>
              <w:rPr>
                <w:rFonts w:hint="eastAsia" w:asciiTheme="minorEastAsia" w:hAnsiTheme="minorEastAsia" w:eastAsiaTheme="minorEastAsia"/>
                <w:color w:val="000000"/>
                <w:szCs w:val="21"/>
                <w:shd w:val="clear" w:color="auto" w:fill="F9F9F9"/>
              </w:rPr>
              <w:t>《机动车驾驶证申领和使用规定》第八十二条：</w:t>
            </w:r>
            <w:r>
              <w:rPr>
                <w:rFonts w:hint="eastAsia" w:cs="宋体" w:asciiTheme="minorEastAsia" w:hAnsiTheme="minorEastAsia" w:eastAsiaTheme="minorEastAsia"/>
                <w:color w:val="000000"/>
                <w:szCs w:val="21"/>
                <w:lang w:val="zh-CN"/>
              </w:rPr>
              <w:t>校车驾驶人应当依法取得校车驾驶资格。取得校车驾驶资格应当符合下列条件： （一）取得相应准驾车型驾驶证并具有三年以上驾驶经历，年龄在25周岁以上、不超过60周岁；（二）最近连续三个记分周期内没有被记满12分记录；（三）无致人死亡或者重伤的交通事故责任记录；（四）无酒后驾驶或者醉酒驾驶机动车记录，最近一年内无驾驶客运车辆超员、超速等严重交通违法行为记录； 　　（五）无犯罪记录；（六）身心健康，无传染性疾病，无癫痫病、精神病等可能危及行车安全的疾病病史，无酗酒、吸毒行为记录。</w:t>
            </w:r>
          </w:p>
          <w:p>
            <w:pPr>
              <w:autoSpaceDE w:val="0"/>
              <w:autoSpaceDN w:val="0"/>
              <w:adjustRightInd w:val="0"/>
              <w:spacing w:line="300" w:lineRule="exact"/>
              <w:ind w:firstLine="1050" w:firstLineChars="500"/>
              <w:jc w:val="left"/>
              <w:rPr>
                <w:rFonts w:cs="宋体" w:asciiTheme="minorEastAsia" w:hAnsiTheme="minorEastAsia" w:eastAsiaTheme="minorEastAsia"/>
                <w:color w:val="000000"/>
                <w:szCs w:val="21"/>
                <w:lang w:val="zh-CN"/>
              </w:rPr>
            </w:pPr>
            <w:r>
              <w:rPr>
                <w:rFonts w:hint="eastAsia" w:asciiTheme="minorEastAsia" w:hAnsiTheme="minorEastAsia" w:eastAsiaTheme="minorEastAsia"/>
                <w:color w:val="000000"/>
                <w:szCs w:val="21"/>
                <w:shd w:val="clear" w:color="auto" w:fill="F9F9F9"/>
              </w:rPr>
              <w:t>《机动车驾驶证申领和使用规定》</w:t>
            </w:r>
            <w:r>
              <w:rPr>
                <w:rFonts w:hint="eastAsia" w:cs="宋体" w:asciiTheme="minorEastAsia" w:hAnsiTheme="minorEastAsia" w:eastAsiaTheme="minorEastAsia"/>
                <w:color w:val="000000"/>
                <w:szCs w:val="21"/>
                <w:lang w:val="zh-CN"/>
              </w:rPr>
              <w:t>第八十三条：机动车驾驶人申请取得校车驾驶资格，应当向县级或者设区的市级公安机关交通管理部门提出申请，填写申请表，并提交以下证明、凭证：（一）申请人的身份证明；（二）机动车驾驶证；（三）县级或者部队团级以上医疗机构出具的有关身体条件的证明。</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w:t>
            </w:r>
            <w:r>
              <w:rPr>
                <w:rFonts w:hint="eastAsia" w:cs="宋体" w:asciiTheme="minorEastAsia" w:hAnsiTheme="minorEastAsia" w:eastAsiaTheme="minorEastAsia"/>
                <w:color w:val="000000"/>
                <w:kern w:val="0"/>
                <w:szCs w:val="21"/>
              </w:rPr>
              <w:t>校车驾驶资格核发</w:t>
            </w:r>
            <w:r>
              <w:rPr>
                <w:rFonts w:hint="eastAsia" w:cs="宋体" w:asciiTheme="minorEastAsia" w:hAnsiTheme="minorEastAsia" w:eastAsiaTheme="minorEastAsia"/>
                <w:color w:val="000000"/>
                <w:szCs w:val="21"/>
                <w:lang w:val="zh-CN"/>
              </w:rPr>
              <w:t>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ind w:firstLine="420" w:firstLineChars="200"/>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154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28</w:t>
            </w:r>
          </w:p>
        </w:tc>
      </w:tr>
      <w:tr>
        <w:tblPrEx>
          <w:tblCellMar>
            <w:top w:w="0" w:type="dxa"/>
            <w:left w:w="10" w:type="dxa"/>
            <w:bottom w:w="0" w:type="dxa"/>
            <w:right w:w="10" w:type="dxa"/>
          </w:tblCellMar>
        </w:tblPrEx>
        <w:trPr>
          <w:trHeight w:val="7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kern w:val="0"/>
                <w:szCs w:val="21"/>
              </w:rPr>
              <w:t>户口迁移审批</w:t>
            </w:r>
          </w:p>
        </w:tc>
      </w:tr>
      <w:tr>
        <w:tblPrEx>
          <w:tblCellMar>
            <w:top w:w="0" w:type="dxa"/>
            <w:left w:w="10" w:type="dxa"/>
            <w:bottom w:w="0" w:type="dxa"/>
            <w:right w:w="10" w:type="dxa"/>
          </w:tblCellMar>
        </w:tblPrEx>
        <w:trPr>
          <w:trHeight w:val="52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ind w:firstLine="1260" w:firstLineChars="600"/>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《中华人民共和国户口登记条例》</w:t>
            </w:r>
            <w:r>
              <w:rPr>
                <w:rFonts w:hint="eastAsia" w:cs="宋体" w:asciiTheme="minorEastAsia" w:hAnsiTheme="minorEastAsia" w:eastAsiaTheme="minorEastAsia"/>
                <w:color w:val="000000" w:themeColor="text1"/>
                <w:szCs w:val="21"/>
                <w:lang w:val="zh-CN"/>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中华人民共和国户口登记条例</w:t>
            </w:r>
            <w:r>
              <w:rPr>
                <w:rFonts w:hint="eastAsia" w:cs="宋体" w:asciiTheme="minorEastAsia" w:hAnsiTheme="minorEastAsia" w:eastAsiaTheme="minorEastAsia"/>
                <w:color w:val="000000" w:themeColor="text1"/>
                <w:szCs w:val="21"/>
                <w:lang w:val="zh-CN"/>
                <w14:textFill>
                  <w14:solidFill>
                    <w14:schemeClr w14:val="tx1"/>
                  </w14:solidFill>
                </w14:textFill>
              </w:rPr>
              <w:t>》</w:t>
            </w:r>
            <w:r>
              <w:rPr>
                <w:rFonts w:hint="eastAsia" w:cs="宋体" w:asciiTheme="minorEastAsia" w:hAnsiTheme="minorEastAsia" w:eastAsiaTheme="minorEastAsia"/>
                <w:color w:val="000000" w:themeColor="text1"/>
                <w:szCs w:val="21"/>
                <w14:textFill>
                  <w14:solidFill>
                    <w14:schemeClr w14:val="tx1"/>
                  </w14:solidFill>
                </w14:textFill>
              </w:rPr>
              <w:t>第十条：</w:t>
            </w:r>
            <w:r>
              <w:rPr>
                <w:rFonts w:hint="eastAsia" w:cs="宋体" w:asciiTheme="minorEastAsia" w:hAnsiTheme="minorEastAsia" w:eastAsiaTheme="minorEastAsia"/>
                <w:color w:val="000000" w:themeColor="text1"/>
                <w:szCs w:val="21"/>
                <w:lang w:val="zh-CN"/>
                <w14:textFill>
                  <w14:solidFill>
                    <w14:schemeClr w14:val="tx1"/>
                  </w14:solidFill>
                </w14:textFill>
              </w:rPr>
              <w:t>公民迁出本户口管辖区，由本人或者户主在迁出前向户口登记机关申报迁出登记，领取迁移证件，注销户口。公民由农村迁往城市，必须持有城市劳动部门的录用证明，学校的录取证明，或者城市户口登记机关的准予迁入证明，向常住地户口登记机关申请办理迁出手续。公民迁往边防地区，必须经过常住地县、市、市辖区公安机关批准。</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w:t>
            </w:r>
            <w:r>
              <w:rPr>
                <w:rFonts w:hint="eastAsia" w:cs="宋体" w:asciiTheme="minorEastAsia" w:hAnsiTheme="minorEastAsia" w:eastAsiaTheme="minorEastAsia"/>
                <w:color w:val="000000"/>
                <w:kern w:val="0"/>
                <w:szCs w:val="21"/>
              </w:rPr>
              <w:t>户口迁移审批</w:t>
            </w:r>
            <w:r>
              <w:rPr>
                <w:rFonts w:hint="eastAsia" w:cs="宋体" w:asciiTheme="minorEastAsia" w:hAnsiTheme="minorEastAsia" w:eastAsiaTheme="minorEastAsia"/>
                <w:color w:val="000000"/>
                <w:szCs w:val="21"/>
                <w:lang w:val="zh-CN"/>
              </w:rPr>
              <w:t>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ind w:firstLine="630" w:firstLineChars="300"/>
              <w:jc w:val="left"/>
              <w:rPr>
                <w:rFonts w:cs="宋体" w:asciiTheme="minorEastAsia" w:hAnsiTheme="minorEastAsia" w:eastAsiaTheme="minorEastAsia"/>
                <w:color w:val="000000" w:themeColor="text1"/>
                <w:szCs w:val="21"/>
                <w:lang w:val="zh-CN"/>
                <w14:textFill>
                  <w14:solidFill>
                    <w14:schemeClr w14:val="tx1"/>
                  </w14:solidFill>
                </w14:textFill>
              </w:rPr>
            </w:pPr>
          </w:p>
        </w:tc>
      </w:tr>
      <w:tr>
        <w:tblPrEx>
          <w:tblCellMar>
            <w:top w:w="0" w:type="dxa"/>
            <w:left w:w="10" w:type="dxa"/>
            <w:bottom w:w="0" w:type="dxa"/>
            <w:right w:w="10" w:type="dxa"/>
          </w:tblCellMar>
        </w:tblPrEx>
        <w:trPr>
          <w:trHeight w:val="154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29</w:t>
            </w:r>
          </w:p>
        </w:tc>
      </w:tr>
      <w:tr>
        <w:tblPrEx>
          <w:tblCellMar>
            <w:top w:w="0" w:type="dxa"/>
            <w:left w:w="10" w:type="dxa"/>
            <w:bottom w:w="0" w:type="dxa"/>
            <w:right w:w="10" w:type="dxa"/>
          </w:tblCellMar>
        </w:tblPrEx>
        <w:trPr>
          <w:trHeight w:val="7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普通护照签发</w:t>
            </w:r>
          </w:p>
        </w:tc>
      </w:tr>
      <w:tr>
        <w:tblPrEx>
          <w:tblCellMar>
            <w:top w:w="0" w:type="dxa"/>
            <w:left w:w="10" w:type="dxa"/>
            <w:bottom w:w="0" w:type="dxa"/>
            <w:right w:w="10" w:type="dxa"/>
          </w:tblCellMar>
        </w:tblPrEx>
        <w:trPr>
          <w:trHeight w:val="52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ind w:firstLine="1470" w:firstLineChars="700"/>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《中华人民共和国护照法》</w:t>
            </w:r>
            <w:r>
              <w:rPr>
                <w:rFonts w:hint="eastAsia" w:cs="宋体" w:asciiTheme="minorEastAsia" w:hAnsiTheme="minorEastAsia" w:eastAsiaTheme="minorEastAsia"/>
                <w:color w:val="000000" w:themeColor="text1"/>
                <w:szCs w:val="21"/>
                <w:lang w:val="zh-CN"/>
                <w14:textFill>
                  <w14:solidFill>
                    <w14:schemeClr w14:val="tx1"/>
                  </w14:solidFill>
                </w14:textFill>
              </w:rPr>
              <w:t>《</w:t>
            </w:r>
            <w:r>
              <w:rPr>
                <w:rFonts w:hint="eastAsia" w:asciiTheme="minorEastAsia" w:hAnsiTheme="minorEastAsia" w:eastAsiaTheme="minorEastAsia"/>
                <w:color w:val="000000" w:themeColor="text1"/>
                <w:szCs w:val="21"/>
                <w:shd w:val="clear" w:color="auto" w:fill="F9F9F9"/>
                <w14:textFill>
                  <w14:solidFill>
                    <w14:schemeClr w14:val="tx1"/>
                  </w14:solidFill>
                </w14:textFill>
              </w:rPr>
              <w:t>中华人民共和国护照法》第四条</w:t>
            </w:r>
            <w:r>
              <w:rPr>
                <w:rFonts w:hint="eastAsia" w:cs="宋体" w:asciiTheme="minorEastAsia" w:hAnsiTheme="minorEastAsia" w:eastAsiaTheme="minorEastAsia"/>
                <w:color w:val="000000" w:themeColor="text1"/>
                <w:szCs w:val="21"/>
                <w14:textFill>
                  <w14:solidFill>
                    <w14:schemeClr w14:val="tx1"/>
                  </w14:solidFill>
                </w14:textFill>
              </w:rPr>
              <w:t>：</w:t>
            </w:r>
            <w:r>
              <w:rPr>
                <w:rFonts w:hint="eastAsia" w:cs="宋体" w:asciiTheme="minorEastAsia" w:hAnsiTheme="minorEastAsia" w:eastAsiaTheme="minorEastAsia"/>
                <w:color w:val="000000" w:themeColor="text1"/>
                <w:szCs w:val="21"/>
                <w:lang w:val="zh-CN"/>
                <w14:textFill>
                  <w14:solidFill>
                    <w14:schemeClr w14:val="tx1"/>
                  </w14:solidFill>
                </w14:textFill>
              </w:rPr>
              <w:t>普通护照由公安部出入境管理机构或者公安部委托的县级以上地方人民政府公安机关出入境管理机构以及中华人民共和国驻外使馆、领馆和外交部委托的其他的驻外机构签发。</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2.审查责任：对书面材料进行审查，提出是否同意普通护照签发许可的审核意见，告知申请人享有申请行政复议的权利。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ind w:firstLine="630" w:firstLineChars="300"/>
              <w:jc w:val="left"/>
              <w:rPr>
                <w:rFonts w:cs="宋体" w:asciiTheme="minorEastAsia" w:hAnsiTheme="minorEastAsia" w:eastAsiaTheme="minorEastAsia"/>
                <w:color w:val="000000" w:themeColor="text1"/>
                <w:szCs w:val="21"/>
                <w:lang w:val="zh-CN"/>
                <w14:textFill>
                  <w14:solidFill>
                    <w14:schemeClr w14:val="tx1"/>
                  </w14:solidFill>
                </w14:textFill>
              </w:rPr>
            </w:pPr>
          </w:p>
        </w:tc>
      </w:tr>
      <w:tr>
        <w:tblPrEx>
          <w:tblCellMar>
            <w:top w:w="0" w:type="dxa"/>
            <w:left w:w="10" w:type="dxa"/>
            <w:bottom w:w="0" w:type="dxa"/>
            <w:right w:w="10" w:type="dxa"/>
          </w:tblCellMar>
        </w:tblPrEx>
        <w:trPr>
          <w:trHeight w:val="154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30</w:t>
            </w:r>
          </w:p>
        </w:tc>
      </w:tr>
      <w:tr>
        <w:tblPrEx>
          <w:tblCellMar>
            <w:top w:w="0" w:type="dxa"/>
            <w:left w:w="10" w:type="dxa"/>
            <w:bottom w:w="0" w:type="dxa"/>
            <w:right w:w="10" w:type="dxa"/>
          </w:tblCellMar>
        </w:tblPrEx>
        <w:trPr>
          <w:trHeight w:val="7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kern w:val="0"/>
                <w:szCs w:val="21"/>
              </w:rPr>
              <w:t>内地居民前往港澳通行证、往来港澳通行证和签注签</w:t>
            </w:r>
          </w:p>
        </w:tc>
      </w:tr>
      <w:tr>
        <w:tblPrEx>
          <w:tblCellMar>
            <w:top w:w="0" w:type="dxa"/>
            <w:left w:w="10" w:type="dxa"/>
            <w:bottom w:w="0" w:type="dxa"/>
            <w:right w:w="10" w:type="dxa"/>
          </w:tblCellMar>
        </w:tblPrEx>
        <w:trPr>
          <w:trHeight w:val="52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国公民因私事往来香港地区或者澳门地区的暂行管理办法》《中国公民因私事往来香港地区或者澳门地区的暂行管理办法》《中国公民因私事往来香港地区或者澳门地区的暂行管理办法》第二章第五条：内地公民因私事前往香港、澳门定居，实行定额审批的办法，以利于维护和保持香港和澳门的经济繁荣和社会稳定。</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《中国公民因私事往来香港地区或者澳门地区的暂行管理办法》第二章第六条：内地公民因私事前往香港、澳门，须向户口所在地的市、县公安局出入境管理部门提出申请。</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国公民因私事往来香港地区或者澳门地区的暂行管理办法》第二章第七条：有下列情形之一的，可以申请前往香港、澳门定居：（一）夫妻一方定居香港、澳门，分居多年的；（二）定居香港、澳门的父母年老体弱，必须由内地子女前往照料的；（三）内地无依无靠的老人和儿童须投靠在香港、澳门的直系亲属和近亲属的；（四）定居香港、澳门直系亲属的产业无人继承，必须由内地子女去定居才能继承的；（五）有其他特殊情况必须去定居的。</w:t>
            </w:r>
          </w:p>
          <w:p>
            <w:pPr>
              <w:autoSpaceDE w:val="0"/>
              <w:autoSpaceDN w:val="0"/>
              <w:adjustRightInd w:val="0"/>
              <w:spacing w:line="300" w:lineRule="exact"/>
              <w:jc w:val="left"/>
              <w:rPr>
                <w:rFonts w:cs="宋体" w:asciiTheme="minorEastAsia" w:hAnsiTheme="minorEastAsia" w:eastAsiaTheme="minorEastAsia"/>
                <w:b/>
                <w:color w:val="000000"/>
                <w:szCs w:val="21"/>
                <w:lang w:val="zh-CN"/>
              </w:rPr>
            </w:pP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w:t>
            </w:r>
            <w:r>
              <w:rPr>
                <w:rFonts w:hint="eastAsia" w:cs="宋体" w:asciiTheme="minorEastAsia" w:hAnsiTheme="minorEastAsia" w:eastAsiaTheme="minorEastAsia"/>
                <w:color w:val="000000"/>
                <w:kern w:val="0"/>
                <w:szCs w:val="21"/>
              </w:rPr>
              <w:t>内地居民前往港澳通行证、往来港澳通行证和签注签发</w:t>
            </w:r>
            <w:r>
              <w:rPr>
                <w:rFonts w:hint="eastAsia" w:cs="宋体" w:asciiTheme="minorEastAsia" w:hAnsiTheme="minorEastAsia" w:eastAsiaTheme="minorEastAsia"/>
                <w:color w:val="000000"/>
                <w:szCs w:val="21"/>
                <w:lang w:val="zh-CN"/>
              </w:rPr>
              <w:t>运输许可的审核意见，告知申请人享有申请行政复议的权利。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154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31</w:t>
            </w:r>
          </w:p>
        </w:tc>
      </w:tr>
      <w:tr>
        <w:tblPrEx>
          <w:tblCellMar>
            <w:top w:w="0" w:type="dxa"/>
            <w:left w:w="10" w:type="dxa"/>
            <w:bottom w:w="0" w:type="dxa"/>
            <w:right w:w="10" w:type="dxa"/>
          </w:tblCellMar>
        </w:tblPrEx>
        <w:trPr>
          <w:trHeight w:val="7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kern w:val="0"/>
                <w:szCs w:val="21"/>
              </w:rPr>
              <w:t>大陆居民往来台湾通行证和签注签发</w:t>
            </w:r>
          </w:p>
        </w:tc>
      </w:tr>
      <w:tr>
        <w:tblPrEx>
          <w:tblCellMar>
            <w:top w:w="0" w:type="dxa"/>
            <w:left w:w="10" w:type="dxa"/>
            <w:bottom w:w="0" w:type="dxa"/>
            <w:right w:w="10" w:type="dxa"/>
          </w:tblCellMar>
        </w:tblPrEx>
        <w:trPr>
          <w:trHeight w:val="52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themeColor="text1"/>
                <w:szCs w:val="21"/>
                <w:lang w:val="zh-CN"/>
                <w14:textFill>
                  <w14:solidFill>
                    <w14:schemeClr w14:val="tx1"/>
                  </w14:solidFill>
                </w14:textFill>
              </w:rPr>
            </w:pPr>
            <w:r>
              <w:rPr>
                <w:rFonts w:hint="eastAsia" w:cs="宋体" w:asciiTheme="minorEastAsia" w:hAnsiTheme="minorEastAsia" w:eastAsiaTheme="minorEastAsia"/>
                <w:color w:val="000000"/>
                <w:szCs w:val="21"/>
                <w:lang w:val="zh-CN"/>
              </w:rPr>
              <w:t>《中国公民因私事往来香港地区或者澳门地区的暂行管理办法》</w:t>
            </w:r>
            <w:r>
              <w:rPr>
                <w:rFonts w:hint="eastAsia" w:cs="宋体" w:asciiTheme="minorEastAsia" w:hAnsiTheme="minorEastAsia" w:eastAsiaTheme="minorEastAsia"/>
                <w:color w:val="000000" w:themeColor="text1"/>
                <w:szCs w:val="21"/>
                <w:lang w:val="zh-CN"/>
                <w14:textFill>
                  <w14:solidFill>
                    <w14:schemeClr w14:val="tx1"/>
                  </w14:solidFill>
                </w14:textFill>
              </w:rPr>
              <w:t>《中国公民往来台湾地区管理办法》</w:t>
            </w:r>
            <w:r>
              <w:rPr>
                <w:rFonts w:hint="eastAsia" w:cs="宋体" w:asciiTheme="minorEastAsia" w:hAnsiTheme="minorEastAsia" w:eastAsiaTheme="minorEastAsia"/>
                <w:color w:val="000000" w:themeColor="text1"/>
                <w:szCs w:val="21"/>
                <w14:textFill>
                  <w14:solidFill>
                    <w14:schemeClr w14:val="tx1"/>
                  </w14:solidFill>
                </w14:textFill>
              </w:rPr>
              <w:t>第三条：</w:t>
            </w:r>
            <w:r>
              <w:rPr>
                <w:rFonts w:hint="eastAsia" w:cs="宋体" w:asciiTheme="minorEastAsia" w:hAnsiTheme="minorEastAsia" w:eastAsiaTheme="minorEastAsia"/>
                <w:color w:val="000000" w:themeColor="text1"/>
                <w:szCs w:val="21"/>
                <w:lang w:val="zh-CN"/>
                <w14:textFill>
                  <w14:solidFill>
                    <w14:schemeClr w14:val="tx1"/>
                  </w14:solidFill>
                </w14:textFill>
              </w:rPr>
              <w:t>大陆居民前往台湾，凭公安机关出入境管理部门签发的旅行证件，从开放的或者指定的出入境口岸通行。</w:t>
            </w:r>
          </w:p>
          <w:p>
            <w:pPr>
              <w:autoSpaceDE w:val="0"/>
              <w:autoSpaceDN w:val="0"/>
              <w:adjustRightInd w:val="0"/>
              <w:spacing w:line="3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lang w:val="zh-CN"/>
                <w14:textFill>
                  <w14:solidFill>
                    <w14:schemeClr w14:val="tx1"/>
                  </w14:solidFill>
                </w14:textFill>
              </w:rPr>
              <w:t>《中国公民往来台湾地区管理办法》</w:t>
            </w:r>
            <w:r>
              <w:rPr>
                <w:rFonts w:hint="eastAsia" w:cs="宋体" w:asciiTheme="minorEastAsia" w:hAnsiTheme="minorEastAsia" w:eastAsiaTheme="minorEastAsia"/>
                <w:color w:val="000000" w:themeColor="text1"/>
                <w:szCs w:val="21"/>
                <w14:textFill>
                  <w14:solidFill>
                    <w14:schemeClr w14:val="tx1"/>
                  </w14:solidFill>
                </w14:textFill>
              </w:rPr>
              <w:t>第六条：大陆居民前往台湾定居、探亲、访友、旅游、接受和处理财产、处理婚丧事宜或者参加经济、科技、文化、教育、体育、学术等活动，须向户口所在地的市、县公安局提出申请。</w:t>
            </w:r>
          </w:p>
          <w:p>
            <w:pPr>
              <w:autoSpaceDE w:val="0"/>
              <w:autoSpaceDN w:val="0"/>
              <w:adjustRightInd w:val="0"/>
              <w:spacing w:line="3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lang w:val="zh-CN"/>
                <w14:textFill>
                  <w14:solidFill>
                    <w14:schemeClr w14:val="tx1"/>
                  </w14:solidFill>
                </w14:textFill>
              </w:rPr>
              <w:t>《中国公民往来台湾地区管理办法》</w:t>
            </w:r>
            <w:r>
              <w:rPr>
                <w:rFonts w:hint="eastAsia" w:cs="宋体" w:asciiTheme="minorEastAsia" w:hAnsiTheme="minorEastAsia" w:eastAsiaTheme="minorEastAsia"/>
                <w:color w:val="000000" w:themeColor="text1"/>
                <w:szCs w:val="21"/>
                <w14:textFill>
                  <w14:solidFill>
                    <w14:schemeClr w14:val="tx1"/>
                  </w14:solidFill>
                </w14:textFill>
              </w:rPr>
              <w:t>第二十二条：大陆居民往来台湾的旅行证件系指大陆居民往来台湾通行证和其他有效旅行证件。</w:t>
            </w:r>
          </w:p>
          <w:p>
            <w:pPr>
              <w:autoSpaceDE w:val="0"/>
              <w:autoSpaceDN w:val="0"/>
              <w:adjustRightInd w:val="0"/>
              <w:spacing w:line="300" w:lineRule="exact"/>
              <w:ind w:firstLine="315" w:firstLineChars="150"/>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color w:val="000000" w:themeColor="text1"/>
                <w:szCs w:val="21"/>
                <w:lang w:val="zh-CN"/>
                <w14:textFill>
                  <w14:solidFill>
                    <w14:schemeClr w14:val="tx1"/>
                  </w14:solidFill>
                </w14:textFill>
              </w:rPr>
              <w:t>《中国公民往来台湾地区管理办法》</w:t>
            </w:r>
            <w:r>
              <w:rPr>
                <w:rFonts w:hint="eastAsia" w:cs="宋体" w:asciiTheme="minorEastAsia" w:hAnsiTheme="minorEastAsia" w:eastAsiaTheme="minorEastAsia"/>
                <w:color w:val="000000" w:themeColor="text1"/>
                <w:szCs w:val="21"/>
                <w14:textFill>
                  <w14:solidFill>
                    <w14:schemeClr w14:val="tx1"/>
                  </w14:solidFill>
                </w14:textFill>
              </w:rPr>
              <w:t>第二十五条：</w:t>
            </w:r>
            <w:r>
              <w:rPr>
                <w:rFonts w:hint="eastAsia" w:cs="宋体" w:asciiTheme="minorEastAsia" w:hAnsiTheme="minorEastAsia" w:eastAsiaTheme="minorEastAsia"/>
                <w:color w:val="000000" w:themeColor="text1"/>
                <w:szCs w:val="21"/>
                <w:lang w:val="zh-CN"/>
                <w14:textFill>
                  <w14:solidFill>
                    <w14:schemeClr w14:val="tx1"/>
                  </w14:solidFill>
                </w14:textFill>
              </w:rPr>
              <w:t>大陆居民往来台湾通行证实行逐次签注。签注分一次往返有效和多次往返有效。</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w:t>
            </w:r>
            <w:r>
              <w:rPr>
                <w:rFonts w:hint="eastAsia" w:cs="宋体" w:asciiTheme="minorEastAsia" w:hAnsiTheme="minorEastAsia" w:eastAsiaTheme="minorEastAsia"/>
                <w:color w:val="000000"/>
                <w:kern w:val="0"/>
                <w:szCs w:val="21"/>
              </w:rPr>
              <w:t>大陆居民往来台湾通行证和签注签发</w:t>
            </w:r>
            <w:r>
              <w:rPr>
                <w:rFonts w:hint="eastAsia" w:cs="宋体" w:asciiTheme="minorEastAsia" w:hAnsiTheme="minorEastAsia" w:eastAsiaTheme="minorEastAsia"/>
                <w:color w:val="000000"/>
                <w:szCs w:val="21"/>
                <w:lang w:val="zh-CN"/>
              </w:rPr>
              <w:t>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154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32</w:t>
            </w:r>
          </w:p>
        </w:tc>
      </w:tr>
      <w:tr>
        <w:tblPrEx>
          <w:tblCellMar>
            <w:top w:w="0" w:type="dxa"/>
            <w:left w:w="10" w:type="dxa"/>
            <w:bottom w:w="0" w:type="dxa"/>
            <w:right w:w="10" w:type="dxa"/>
          </w:tblCellMar>
        </w:tblPrEx>
        <w:trPr>
          <w:trHeight w:val="7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kern w:val="0"/>
                <w:szCs w:val="21"/>
              </w:rPr>
              <w:t>台湾居民来往大陆通行证签发</w:t>
            </w:r>
          </w:p>
        </w:tc>
      </w:tr>
      <w:tr>
        <w:tblPrEx>
          <w:tblCellMar>
            <w:top w:w="0" w:type="dxa"/>
            <w:left w:w="10" w:type="dxa"/>
            <w:bottom w:w="0" w:type="dxa"/>
            <w:right w:w="10" w:type="dxa"/>
          </w:tblCellMar>
        </w:tblPrEx>
        <w:trPr>
          <w:trHeight w:val="52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asciiTheme="minorEastAsia" w:hAnsiTheme="minorEastAsia" w:eastAsiaTheme="minorEastAsia"/>
                <w:color w:val="363636"/>
                <w:szCs w:val="21"/>
                <w:shd w:val="clear" w:color="auto" w:fill="FFFFFF"/>
              </w:rPr>
              <w:t xml:space="preserve">《中国公民往来台湾地区管理办法》《中国公民往来台湾地区管理办法》（1991年12月国务院令第93号）第三条：“大陆居民前往台湾，凭公安机关出入境管理部门签发的旅行证件，从开放的或者指定的出入境口岸通行。”第六条：“大陆居民前往台湾定居、探亲、访友、旅游、接受和处理财产、处理婚丧事宜或者参加经济、科技、文化、教育、体育、学术等活动，须向户口所在地的市县公安局提出申请。”第十条：“经批准前往台湾的大陆居民，由公安机关签发或者签注旅行证件。” </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2.审查责任：对书面材料进行审查，提出是否同意台湾居民来往大陆通行证签发许可的审核意见，告知申请人享有申请行政复议的权利。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154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33</w:t>
            </w:r>
          </w:p>
        </w:tc>
      </w:tr>
      <w:tr>
        <w:tblPrEx>
          <w:tblCellMar>
            <w:top w:w="0" w:type="dxa"/>
            <w:left w:w="10" w:type="dxa"/>
            <w:bottom w:w="0" w:type="dxa"/>
            <w:right w:w="10" w:type="dxa"/>
          </w:tblCellMar>
        </w:tblPrEx>
        <w:trPr>
          <w:trHeight w:val="7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kern w:val="0"/>
                <w:szCs w:val="21"/>
              </w:rPr>
              <w:t>外国人签证延期、换发、补发审批</w:t>
            </w:r>
          </w:p>
        </w:tc>
      </w:tr>
      <w:tr>
        <w:trPr>
          <w:trHeight w:val="52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ind w:firstLine="315" w:firstLineChars="150"/>
              <w:jc w:val="left"/>
              <w:rPr>
                <w:rFonts w:cs="宋体" w:asciiTheme="minorEastAsia" w:hAnsiTheme="minorEastAsia" w:eastAsiaTheme="minorEastAsia"/>
                <w:b/>
                <w:color w:val="000000"/>
                <w:szCs w:val="21"/>
                <w:lang w:val="zh-CN"/>
              </w:rPr>
            </w:pPr>
            <w:r>
              <w:rPr>
                <w:rFonts w:asciiTheme="minorEastAsia" w:hAnsiTheme="minorEastAsia" w:eastAsiaTheme="minorEastAsia"/>
                <w:color w:val="000000"/>
                <w:szCs w:val="21"/>
              </w:rPr>
              <w:t>《中华人民共和国出境入境管理法》《中华人民共和国出境入境管理法》（2012年6月30日主席令第57号）第四条：公安部、外交部可以在各自职责范围内委托县级以上地方人民政府公安机关出入境管理机构、县级以上地方人民政府外事部门受理外国人入境、停留居留申请。</w:t>
            </w:r>
            <w:r>
              <w:rPr>
                <w:rFonts w:asciiTheme="minorEastAsia" w:hAnsiTheme="minorEastAsia" w:eastAsiaTheme="minorEastAsia"/>
                <w:color w:val="000000"/>
                <w:szCs w:val="21"/>
              </w:rPr>
              <w:br w:type="textWrapping"/>
            </w:r>
            <w:r>
              <w:rPr>
                <w:rFonts w:asciiTheme="minorEastAsia" w:hAnsiTheme="minorEastAsia" w:eastAsiaTheme="minorEastAsia"/>
                <w:color w:val="000000"/>
                <w:szCs w:val="21"/>
              </w:rPr>
              <w:t>第二十九条：需要延长签证停留期限的，应当在签证注明的停留期限届满七日前向停留地县级以上地方人民政府公安机关出入境管理机构申请，按照要求提交申请事由的相关材料。经审查，延期理由合理、充分的，准予延长停留期限；不予延长停留期限的，应当按期离境。</w:t>
            </w:r>
            <w:r>
              <w:rPr>
                <w:rFonts w:asciiTheme="minorEastAsia" w:hAnsiTheme="minorEastAsia" w:eastAsiaTheme="minorEastAsia"/>
                <w:color w:val="000000"/>
                <w:szCs w:val="21"/>
              </w:rPr>
              <w:br w:type="textWrapping"/>
            </w:r>
            <w:r>
              <w:rPr>
                <w:rFonts w:asciiTheme="minorEastAsia" w:hAnsiTheme="minorEastAsia" w:eastAsiaTheme="minorEastAsia"/>
                <w:color w:val="000000"/>
                <w:szCs w:val="21"/>
              </w:rPr>
              <w:t>第三十五条：外国人入境后，所持的普通签证、停留居留证件损毁、遗失、被盗抢或者有符合国家规定的事由需要换发、补发的，应当按照规定向停留居留地县级以上地方人民政府公安机关出入境管理机构提出申请。</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2.审查责任：对书面材料进行审查，提出是否同意外国人签证延期、换发、补发审批许可的审核意见，告知申请人享有申请行政复议的权利。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rPr>
          <w:trHeight w:val="154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34</w:t>
            </w:r>
          </w:p>
        </w:tc>
      </w:tr>
      <w:tr>
        <w:tblPrEx>
          <w:tblCellMar>
            <w:top w:w="0" w:type="dxa"/>
            <w:left w:w="10" w:type="dxa"/>
            <w:bottom w:w="0" w:type="dxa"/>
            <w:right w:w="10" w:type="dxa"/>
          </w:tblCellMar>
        </w:tblPrEx>
        <w:trPr>
          <w:trHeight w:val="7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外国人停留证件签发</w:t>
            </w:r>
          </w:p>
        </w:tc>
      </w:tr>
      <w:tr>
        <w:tblPrEx>
          <w:tblCellMar>
            <w:top w:w="0" w:type="dxa"/>
            <w:left w:w="10" w:type="dxa"/>
            <w:bottom w:w="0" w:type="dxa"/>
            <w:right w:w="10" w:type="dxa"/>
          </w:tblCellMar>
        </w:tblPrEx>
        <w:trPr>
          <w:trHeight w:val="52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华人民共和国出境入境管理法》《中华人民共和国出境入境管理法》第三十四条：免办签证入境的外国人需要超过免签期限在中国境内停留的，外国船员及其随行家属在中国境内停留需要离开港口所在城市，或者具有需要办理外国人停留证件其他情形的，应当按照规定办理外国人停留证件。</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《中华人民共和国出境入境管理法》第四条：公安部、外交部可以在各自职责范围内委托县级以上地方人民政府公安机关出入境管理机构、县级以上地方人民政府外事部门受理外国人入境、停留居留申请。</w:t>
            </w:r>
          </w:p>
          <w:p>
            <w:pPr>
              <w:autoSpaceDE w:val="0"/>
              <w:autoSpaceDN w:val="0"/>
              <w:adjustRightInd w:val="0"/>
              <w:spacing w:line="300" w:lineRule="exact"/>
              <w:ind w:firstLine="315" w:firstLineChars="150"/>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华人民共和国出境入境管理法》第三十五条：外国人入境后，所持的普通签证、停留居留证件损毁、遗失、被盗抢或者有符合国家规定的事由需要换发、补发的，应当按照规定向停留居留地县级以上地方人民政府公安机关出入境管理机构提出申请。</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2.审查责任：对书面材料进行审查，提出是否同意外国人停留证件签发输许可的审核意见，告知申请人享有申请行政复议的权利。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154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35</w:t>
            </w:r>
          </w:p>
        </w:tc>
      </w:tr>
      <w:tr>
        <w:tblPrEx>
          <w:tblCellMar>
            <w:top w:w="0" w:type="dxa"/>
            <w:left w:w="10" w:type="dxa"/>
            <w:bottom w:w="0" w:type="dxa"/>
            <w:right w:w="10" w:type="dxa"/>
          </w:tblCellMar>
        </w:tblPrEx>
        <w:trPr>
          <w:trHeight w:val="7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外国人居留证件签发</w:t>
            </w:r>
          </w:p>
        </w:tc>
      </w:tr>
      <w:tr>
        <w:tblPrEx>
          <w:tblCellMar>
            <w:top w:w="0" w:type="dxa"/>
            <w:left w:w="10" w:type="dxa"/>
            <w:bottom w:w="0" w:type="dxa"/>
            <w:right w:w="10" w:type="dxa"/>
          </w:tblCellMar>
        </w:tblPrEx>
        <w:trPr>
          <w:trHeight w:val="52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华人民共和国出境入境管理法》《中华人民共和国出境入境管理法》第四条：公安部、外交部可以在各自职责范围内委托县级以上地方人民政府公安机关出入境管理机构、县级以上地方人民政府外事部门受理外国人入境、停留居留申请。</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华人民共和国出境入境管理法》第三十条：外国人所持签证注明入境后需要办理居留证件的，应当自入境之日起三十日内，向拟居留地县级以上地方人民政府公安机关出入境管理机构申请办理外国人居留证件。</w:t>
            </w:r>
          </w:p>
          <w:p>
            <w:pPr>
              <w:autoSpaceDE w:val="0"/>
              <w:autoSpaceDN w:val="0"/>
              <w:adjustRightInd w:val="0"/>
              <w:spacing w:line="300" w:lineRule="exact"/>
              <w:ind w:firstLine="520" w:firstLineChars="248"/>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《中华人民共和国出境入境管理法》第十七条　外国人申请办理居留证件的延期、换发、补发，应当填写申请表，提交本人的护照或者其他国际旅行证件以及符合规定的照片和申请事由的相关材料。</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2.审查责任：对书面材料进行审查，提出是否同意外国人居留证件签发许可的审核意见，告知申请人享有申请行政复议的权利。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154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36</w:t>
            </w:r>
          </w:p>
        </w:tc>
      </w:tr>
      <w:tr>
        <w:tblPrEx>
          <w:tblCellMar>
            <w:top w:w="0" w:type="dxa"/>
            <w:left w:w="10" w:type="dxa"/>
            <w:bottom w:w="0" w:type="dxa"/>
            <w:right w:w="10" w:type="dxa"/>
          </w:tblCellMar>
        </w:tblPrEx>
        <w:trPr>
          <w:trHeight w:val="7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港澳台居民定居证明签发</w:t>
            </w:r>
          </w:p>
        </w:tc>
      </w:tr>
      <w:tr>
        <w:tblPrEx>
          <w:tblCellMar>
            <w:top w:w="0" w:type="dxa"/>
            <w:left w:w="10" w:type="dxa"/>
            <w:bottom w:w="0" w:type="dxa"/>
            <w:right w:w="10" w:type="dxa"/>
          </w:tblCellMar>
        </w:tblPrEx>
        <w:trPr>
          <w:trHeight w:val="52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国公民因私事往来香港地区或者澳门地区的暂行管理办法》《中国公民往来台湾地区管理办法》《中国公民因私事往来香港地区或者澳门地区的暂行管理办法》第十八条：港澳同胞要求回内地定居的，应当事先向拟定居地的市、县公安局提出申请，获准后，持注有回乡定居签注的港澳同胞回乡证，至定居地办理常住户口手续。</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国公民往来台湾地区管理办法》第十七条：台湾居民要求来大陆定居的，应当在入境前向公安部出入境管理局派出的或者委托的有关机构提出申请，或者经由大陆亲属向拟定居地的市、县公安局提出申请。批准定居的，公安机关发给定居证明。</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2.审查责任：对书面材料进行审查，提出是否同意港澳台居民定居证明签发许可的审核意见，告知申请人享有申请行政复议的权利。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154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117"/>
        <w:gridCol w:w="8288"/>
      </w:tblGrid>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37</w:t>
            </w:r>
          </w:p>
        </w:tc>
      </w:tr>
      <w:tr>
        <w:tblPrEx>
          <w:tblCellMar>
            <w:top w:w="0" w:type="dxa"/>
            <w:left w:w="10" w:type="dxa"/>
            <w:bottom w:w="0" w:type="dxa"/>
            <w:right w:w="10" w:type="dxa"/>
          </w:tblCellMar>
        </w:tblPrEx>
        <w:trPr>
          <w:trHeight w:val="785"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7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边境管理区通行证（深圳、珠海经济特区除外）核发</w:t>
            </w:r>
          </w:p>
        </w:tc>
      </w:tr>
      <w:tr>
        <w:trPr>
          <w:trHeight w:val="52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b/>
                <w:color w:val="000000"/>
                <w:szCs w:val="21"/>
                <w:lang w:val="zh-CN"/>
              </w:rPr>
              <w:t>《国务院对确需保留的行政审批项目设定行政许可的决定》</w:t>
            </w:r>
            <w:r>
              <w:rPr>
                <w:rFonts w:hint="eastAsia" w:cs="宋体" w:asciiTheme="minorEastAsia" w:hAnsiTheme="minorEastAsia" w:eastAsiaTheme="minorEastAsia"/>
                <w:color w:val="000000"/>
                <w:szCs w:val="21"/>
                <w:lang w:val="zh-CN"/>
              </w:rPr>
              <w:t>《中华人民共和国边境管理区通行证管理办法》第五条：凡常住边境管理区年满16周岁的中国公民，凭《中华人民共和国居民身份证》在本省、自治区的边境管理区通行；其前往其他省、自治区的边境管理区，须持《边境通行证》。</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《中华人民共和国边境管理区通行证管理办法》第六条：凡居住在非边境管理区年满16周岁的中国公民，前往边境管理区，须持《边境通行证》。</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中华人民共和国边境管理区通行证管理办法》第十五条：《边境通行证》由县级以上公安机关签发。边远地区和人员进出边境管理区较多的地区，经省、自治区、直辖市公安厅、局批准，由指定的公安派出所签发。</w:t>
            </w:r>
          </w:p>
          <w:p>
            <w:pPr>
              <w:autoSpaceDE w:val="0"/>
              <w:autoSpaceDN w:val="0"/>
              <w:adjustRightInd w:val="0"/>
              <w:spacing w:line="300" w:lineRule="exact"/>
              <w:jc w:val="left"/>
              <w:rPr>
                <w:rFonts w:cs="宋体" w:asciiTheme="minorEastAsia" w:hAnsiTheme="minorEastAsia" w:eastAsiaTheme="minorEastAsia"/>
                <w:b/>
                <w:color w:val="000000"/>
                <w:szCs w:val="21"/>
                <w:lang w:val="zh-CN"/>
              </w:rPr>
            </w:pPr>
            <w:r>
              <w:rPr>
                <w:rFonts w:hint="eastAsia" w:cs="宋体" w:asciiTheme="minorEastAsia" w:hAnsiTheme="minorEastAsia" w:eastAsiaTheme="minorEastAsia"/>
                <w:color w:val="000000"/>
                <w:szCs w:val="21"/>
                <w:lang w:val="zh-CN"/>
              </w:rPr>
              <w:t>《国务院对确需保留的行政审批项目设定行政许可的决定》第42项：边境管理区通行证核发实施机关“地（市）、县级人民政府公安机关。”</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2.审查责任：对书面材料进行审查，提出是否同意边境管理区通行证（深圳、珠海经济特区除外）核发许可的审核意见，告知申请人享有申请行政复议的权利。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288"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rPr>
          <w:trHeight w:val="1540"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1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288"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252"/>
        <w:gridCol w:w="8153"/>
      </w:tblGrid>
      <w:tr>
        <w:tblPrEx>
          <w:tblCellMar>
            <w:top w:w="0" w:type="dxa"/>
            <w:left w:w="10" w:type="dxa"/>
            <w:bottom w:w="0" w:type="dxa"/>
            <w:right w:w="10" w:type="dxa"/>
          </w:tblCellMar>
        </w:tblPrEx>
        <w:trPr>
          <w:trHeight w:val="310"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序号</w:t>
            </w:r>
          </w:p>
        </w:tc>
        <w:tc>
          <w:tcPr>
            <w:tcW w:w="815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38</w:t>
            </w:r>
          </w:p>
        </w:tc>
      </w:tr>
      <w:tr>
        <w:tblPrEx>
          <w:tblCellMar>
            <w:top w:w="0" w:type="dxa"/>
            <w:left w:w="10" w:type="dxa"/>
            <w:bottom w:w="0" w:type="dxa"/>
            <w:right w:w="10" w:type="dxa"/>
          </w:tblCellMar>
        </w:tblPrEx>
        <w:trPr>
          <w:trHeight w:val="785"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权力类型</w:t>
            </w:r>
          </w:p>
        </w:tc>
        <w:tc>
          <w:tcPr>
            <w:tcW w:w="815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行政许可</w:t>
            </w:r>
          </w:p>
        </w:tc>
      </w:tr>
      <w:tr>
        <w:tblPrEx>
          <w:tblCellMar>
            <w:top w:w="0" w:type="dxa"/>
            <w:left w:w="10" w:type="dxa"/>
            <w:bottom w:w="0" w:type="dxa"/>
            <w:right w:w="10" w:type="dxa"/>
          </w:tblCellMar>
        </w:tblPrEx>
        <w:trPr>
          <w:trHeight w:val="710"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权力项目名称</w:t>
            </w:r>
          </w:p>
        </w:tc>
        <w:tc>
          <w:tcPr>
            <w:tcW w:w="815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出入境通行证签发</w:t>
            </w:r>
          </w:p>
        </w:tc>
      </w:tr>
      <w:tr>
        <w:tblPrEx>
          <w:tblCellMar>
            <w:top w:w="0" w:type="dxa"/>
            <w:left w:w="10" w:type="dxa"/>
            <w:bottom w:w="0" w:type="dxa"/>
            <w:right w:w="10" w:type="dxa"/>
          </w:tblCellMar>
        </w:tblPrEx>
        <w:trPr>
          <w:trHeight w:val="520"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实施依据</w:t>
            </w:r>
          </w:p>
        </w:tc>
        <w:tc>
          <w:tcPr>
            <w:tcW w:w="815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asciiTheme="minorEastAsia" w:hAnsiTheme="minorEastAsia" w:eastAsiaTheme="minorEastAsia"/>
                <w:szCs w:val="21"/>
                <w:shd w:val="clear" w:color="auto" w:fill="FFFFFF"/>
              </w:rPr>
            </w:pPr>
            <w:r>
              <w:rPr>
                <w:rFonts w:hint="eastAsia" w:cs="宋体" w:asciiTheme="minorEastAsia" w:hAnsiTheme="minorEastAsia" w:eastAsiaTheme="minorEastAsia"/>
                <w:b/>
                <w:szCs w:val="21"/>
                <w:lang w:val="zh-CN"/>
              </w:rPr>
              <w:t>《中华人民共和国护照法》   《中国公民因私事往来香港地区或者澳门地区的暂行管理办法》</w:t>
            </w:r>
            <w:r>
              <w:rPr>
                <w:rFonts w:hint="eastAsia" w:asciiTheme="minorEastAsia" w:hAnsiTheme="minorEastAsia" w:eastAsiaTheme="minorEastAsia"/>
                <w:szCs w:val="21"/>
                <w:shd w:val="clear" w:color="auto" w:fill="FFFFFF"/>
              </w:rPr>
              <w:t>《中华人民共和国护照法》</w:t>
            </w:r>
            <w:r>
              <w:rPr>
                <w:rFonts w:hint="eastAsia" w:cs="宋体" w:asciiTheme="minorEastAsia" w:hAnsiTheme="minorEastAsia" w:eastAsiaTheme="minorEastAsia"/>
                <w:szCs w:val="21"/>
                <w:lang w:val="zh-CN"/>
              </w:rPr>
              <w:t>第二十三条：港澳同胞来内地，遗失港澳同胞回乡证，应向遗失地的市、县或者交通运输部门的公安机关报失，经公安机关调查属实出具证明，由公安机关出入境管理部门签发一次性有效的入出境通行证，凭证返回香港、澳门。</w:t>
            </w:r>
            <w:r>
              <w:rPr>
                <w:rFonts w:hint="eastAsia" w:asciiTheme="minorEastAsia" w:hAnsiTheme="minorEastAsia" w:eastAsiaTheme="minorEastAsia"/>
                <w:szCs w:val="21"/>
                <w:shd w:val="clear" w:color="auto" w:fill="FFFFFF"/>
              </w:rPr>
              <w:t>《中华人民共和国护照法》第二十四条：公民从事边境贸易、边境旅游服务或者参加边境旅游等情形，由公安部委托的县级以上地方人民政府公安机关出入境管理机构为其签发中华人民共和国出入境通行证。</w:t>
            </w:r>
          </w:p>
          <w:p>
            <w:pPr>
              <w:autoSpaceDE w:val="0"/>
              <w:autoSpaceDN w:val="0"/>
              <w:adjustRightInd w:val="0"/>
              <w:spacing w:line="300" w:lineRule="exact"/>
              <w:jc w:val="left"/>
              <w:rPr>
                <w:rFonts w:cs="宋体" w:asciiTheme="minorEastAsia" w:hAnsiTheme="minorEastAsia" w:eastAsiaTheme="minorEastAsia"/>
                <w:b/>
                <w:szCs w:val="21"/>
                <w:lang w:val="zh-CN"/>
              </w:rPr>
            </w:pPr>
          </w:p>
        </w:tc>
      </w:tr>
      <w:tr>
        <w:tblPrEx>
          <w:tblCellMar>
            <w:top w:w="0" w:type="dxa"/>
            <w:left w:w="10" w:type="dxa"/>
            <w:bottom w:w="0" w:type="dxa"/>
            <w:right w:w="10" w:type="dxa"/>
          </w:tblCellMar>
        </w:tblPrEx>
        <w:trPr>
          <w:trHeight w:val="310"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责任主体</w:t>
            </w:r>
          </w:p>
        </w:tc>
        <w:tc>
          <w:tcPr>
            <w:tcW w:w="815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阿坝县公安局</w:t>
            </w:r>
          </w:p>
        </w:tc>
      </w:tr>
      <w:tr>
        <w:tblPrEx>
          <w:tblCellMar>
            <w:top w:w="0" w:type="dxa"/>
            <w:left w:w="10" w:type="dxa"/>
            <w:bottom w:w="0" w:type="dxa"/>
            <w:right w:w="10" w:type="dxa"/>
          </w:tblCellMar>
        </w:tblPrEx>
        <w:trPr>
          <w:trHeight w:val="310"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责任事项</w:t>
            </w:r>
          </w:p>
        </w:tc>
        <w:tc>
          <w:tcPr>
            <w:tcW w:w="815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2.审查责任：对书面材料进行审查，提出是否同意出入境通行证签发许可的审核意见，告知申请人享有申请行政复议的权利。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责任事项依据</w:t>
            </w:r>
          </w:p>
        </w:tc>
        <w:tc>
          <w:tcPr>
            <w:tcW w:w="8153"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jc w:val="left"/>
              <w:rPr>
                <w:rFonts w:cs="宋体" w:asciiTheme="minorEastAsia" w:hAnsiTheme="minorEastAsia" w:eastAsiaTheme="minorEastAsia"/>
                <w:szCs w:val="21"/>
                <w:lang w:val="zh-CN"/>
              </w:rPr>
            </w:pPr>
          </w:p>
        </w:tc>
      </w:tr>
      <w:tr>
        <w:tblPrEx>
          <w:tblCellMar>
            <w:top w:w="0" w:type="dxa"/>
            <w:left w:w="10" w:type="dxa"/>
            <w:bottom w:w="0" w:type="dxa"/>
            <w:right w:w="10" w:type="dxa"/>
          </w:tblCellMar>
        </w:tblPrEx>
        <w:trPr>
          <w:trHeight w:val="1540"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问责依据</w:t>
            </w:r>
          </w:p>
        </w:tc>
        <w:tc>
          <w:tcPr>
            <w:tcW w:w="815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监督电话</w:t>
            </w:r>
          </w:p>
        </w:tc>
        <w:tc>
          <w:tcPr>
            <w:tcW w:w="815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szCs w:val="21"/>
                <w:lang w:val="zh-CN"/>
              </w:rPr>
            </w:pPr>
            <w:r>
              <w:rPr>
                <w:rFonts w:hint="eastAsia" w:cs="宋体" w:asciiTheme="minorEastAsia" w:hAnsiTheme="minorEastAsia" w:eastAsiaTheme="minorEastAsia"/>
                <w:szCs w:val="21"/>
                <w:lang w:val="zh-CN"/>
              </w:rPr>
              <w:t>0837-2483922</w:t>
            </w:r>
          </w:p>
        </w:tc>
      </w:tr>
    </w:tbl>
    <w:p>
      <w:pPr>
        <w:jc w:val="left"/>
        <w:rPr>
          <w:rFonts w:asciiTheme="minorEastAsia" w:hAnsiTheme="minorEastAsia" w:eastAsiaTheme="minorEastAsia"/>
          <w:szCs w:val="21"/>
        </w:rPr>
      </w:pPr>
    </w:p>
    <w:p>
      <w:pPr>
        <w:jc w:val="left"/>
        <w:rPr>
          <w:rFonts w:asciiTheme="minorEastAsia" w:hAnsiTheme="minorEastAsia" w:eastAsiaTheme="minorEastAsia"/>
          <w:color w:val="FF0000"/>
          <w:szCs w:val="21"/>
        </w:rPr>
      </w:pPr>
    </w:p>
    <w:p>
      <w:pPr>
        <w:jc w:val="left"/>
        <w:rPr>
          <w:rFonts w:asciiTheme="minorEastAsia" w:hAnsiTheme="minorEastAsia" w:eastAsiaTheme="minorEastAsia"/>
          <w:color w:val="FF0000"/>
          <w:szCs w:val="21"/>
        </w:rPr>
      </w:pPr>
    </w:p>
    <w:p>
      <w:pPr>
        <w:jc w:val="left"/>
        <w:rPr>
          <w:rFonts w:asciiTheme="minorEastAsia" w:hAnsiTheme="minorEastAsia" w:eastAsiaTheme="minorEastAsia"/>
          <w:color w:val="FF0000"/>
          <w:szCs w:val="21"/>
        </w:rPr>
      </w:pPr>
    </w:p>
    <w:p>
      <w:pPr>
        <w:jc w:val="left"/>
        <w:rPr>
          <w:rFonts w:asciiTheme="minorEastAsia" w:hAnsiTheme="minorEastAsia" w:eastAsiaTheme="minorEastAsia"/>
          <w:color w:val="FF0000"/>
          <w:szCs w:val="21"/>
        </w:rPr>
      </w:pPr>
    </w:p>
    <w:p>
      <w:pPr>
        <w:jc w:val="left"/>
        <w:rPr>
          <w:rFonts w:asciiTheme="minorEastAsia" w:hAnsiTheme="minorEastAsia" w:eastAsiaTheme="minorEastAsia"/>
          <w:color w:val="FF0000"/>
          <w:szCs w:val="21"/>
        </w:rPr>
      </w:pPr>
    </w:p>
    <w:p>
      <w:pPr>
        <w:jc w:val="left"/>
        <w:rPr>
          <w:rFonts w:asciiTheme="minorEastAsia" w:hAnsiTheme="minorEastAsia" w:eastAsiaTheme="minorEastAsia"/>
          <w:szCs w:val="21"/>
        </w:rPr>
      </w:pPr>
    </w:p>
    <w:p>
      <w:pPr>
        <w:jc w:val="left"/>
        <w:rPr>
          <w:rFonts w:asciiTheme="minorEastAsia" w:hAnsiTheme="minorEastAsia" w:eastAsiaTheme="minorEastAsia"/>
          <w:szCs w:val="21"/>
        </w:rPr>
      </w:pPr>
    </w:p>
    <w:tbl>
      <w:tblPr>
        <w:tblStyle w:val="8"/>
        <w:tblW w:w="9405" w:type="dxa"/>
        <w:tblInd w:w="-108" w:type="dxa"/>
        <w:tblLayout w:type="fixed"/>
        <w:tblCellMar>
          <w:top w:w="0" w:type="dxa"/>
          <w:left w:w="10" w:type="dxa"/>
          <w:bottom w:w="0" w:type="dxa"/>
          <w:right w:w="10" w:type="dxa"/>
        </w:tblCellMar>
      </w:tblPr>
      <w:tblGrid>
        <w:gridCol w:w="1252"/>
        <w:gridCol w:w="8153"/>
      </w:tblGrid>
      <w:tr>
        <w:tblPrEx>
          <w:tblCellMar>
            <w:top w:w="0" w:type="dxa"/>
            <w:left w:w="10" w:type="dxa"/>
            <w:bottom w:w="0" w:type="dxa"/>
            <w:right w:w="10" w:type="dxa"/>
          </w:tblCellMar>
        </w:tblPrEx>
        <w:trPr>
          <w:trHeight w:val="310"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序号</w:t>
            </w:r>
          </w:p>
        </w:tc>
        <w:tc>
          <w:tcPr>
            <w:tcW w:w="815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39</w:t>
            </w:r>
          </w:p>
        </w:tc>
      </w:tr>
      <w:tr>
        <w:tblPrEx>
          <w:tblCellMar>
            <w:top w:w="0" w:type="dxa"/>
            <w:left w:w="10" w:type="dxa"/>
            <w:bottom w:w="0" w:type="dxa"/>
            <w:right w:w="10" w:type="dxa"/>
          </w:tblCellMar>
        </w:tblPrEx>
        <w:trPr>
          <w:trHeight w:val="785"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权力类型</w:t>
            </w:r>
          </w:p>
        </w:tc>
        <w:tc>
          <w:tcPr>
            <w:tcW w:w="815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行政许可</w:t>
            </w:r>
          </w:p>
        </w:tc>
      </w:tr>
      <w:tr>
        <w:tblPrEx>
          <w:tblCellMar>
            <w:top w:w="0" w:type="dxa"/>
            <w:left w:w="10" w:type="dxa"/>
            <w:bottom w:w="0" w:type="dxa"/>
            <w:right w:w="10" w:type="dxa"/>
          </w:tblCellMar>
        </w:tblPrEx>
        <w:trPr>
          <w:trHeight w:val="710"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权力项目名称</w:t>
            </w:r>
          </w:p>
        </w:tc>
        <w:tc>
          <w:tcPr>
            <w:tcW w:w="815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外国人旅行证签发</w:t>
            </w:r>
          </w:p>
        </w:tc>
      </w:tr>
      <w:tr>
        <w:tblPrEx>
          <w:tblCellMar>
            <w:top w:w="0" w:type="dxa"/>
            <w:left w:w="10" w:type="dxa"/>
            <w:bottom w:w="0" w:type="dxa"/>
            <w:right w:w="10" w:type="dxa"/>
          </w:tblCellMar>
        </w:tblPrEx>
        <w:trPr>
          <w:trHeight w:val="520"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实施依据</w:t>
            </w:r>
          </w:p>
        </w:tc>
        <w:tc>
          <w:tcPr>
            <w:tcW w:w="815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b/>
                <w:color w:val="000000"/>
                <w:szCs w:val="21"/>
                <w:lang w:val="zh-CN"/>
              </w:rPr>
              <w:t>《出入境管理法》</w:t>
            </w:r>
            <w:r>
              <w:rPr>
                <w:rFonts w:hint="eastAsia" w:cs="宋体" w:asciiTheme="minorEastAsia" w:hAnsiTheme="minorEastAsia" w:eastAsiaTheme="minorEastAsia"/>
                <w:color w:val="000000"/>
                <w:szCs w:val="21"/>
                <w:lang w:val="zh-CN"/>
              </w:rPr>
              <w:t>《出入境管理法》第四条：公安部、外交部可以在各自职责范围内委托县级以上地方人民政府公安机关出入境管理机构、县级以上地方人民政府外事部门受理外国人入境、停留居留申请。</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《出入境管理法》第四十四条：未经批准，外国人不得进入限制外国人进入的区域。</w:t>
            </w:r>
          </w:p>
          <w:p>
            <w:pPr>
              <w:autoSpaceDE w:val="0"/>
              <w:autoSpaceDN w:val="0"/>
              <w:adjustRightInd w:val="0"/>
              <w:spacing w:line="300" w:lineRule="exact"/>
              <w:ind w:firstLine="2774" w:firstLineChars="1316"/>
              <w:jc w:val="left"/>
              <w:rPr>
                <w:rFonts w:cs="宋体" w:asciiTheme="minorEastAsia" w:hAnsiTheme="minorEastAsia" w:eastAsiaTheme="minorEastAsia"/>
                <w:b/>
                <w:color w:val="000000"/>
                <w:szCs w:val="21"/>
                <w:lang w:val="zh-CN"/>
              </w:rPr>
            </w:pPr>
          </w:p>
        </w:tc>
      </w:tr>
      <w:tr>
        <w:tblPrEx>
          <w:tblCellMar>
            <w:top w:w="0" w:type="dxa"/>
            <w:left w:w="10" w:type="dxa"/>
            <w:bottom w:w="0" w:type="dxa"/>
            <w:right w:w="10" w:type="dxa"/>
          </w:tblCellMar>
        </w:tblPrEx>
        <w:trPr>
          <w:trHeight w:val="310"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责任主体</w:t>
            </w:r>
          </w:p>
        </w:tc>
        <w:tc>
          <w:tcPr>
            <w:tcW w:w="815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阿坝县公安局</w:t>
            </w:r>
          </w:p>
        </w:tc>
      </w:tr>
      <w:tr>
        <w:tblPrEx>
          <w:tblCellMar>
            <w:top w:w="0" w:type="dxa"/>
            <w:left w:w="10" w:type="dxa"/>
            <w:bottom w:w="0" w:type="dxa"/>
            <w:right w:w="10" w:type="dxa"/>
          </w:tblCellMar>
        </w:tblPrEx>
        <w:trPr>
          <w:trHeight w:val="310"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w:t>
            </w:r>
          </w:p>
        </w:tc>
        <w:tc>
          <w:tcPr>
            <w:tcW w:w="815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1.受理责任：公示应当提交的材料，一次性告知补正材料，依法受理或不予受理（不予受理应当告知理由）。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2.审查责任：对书面材料进行审查，提出是否同意外国人旅行证签发许可的审核意见，告知申请人享有申请行政复议的权利。</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3.决定责任：在规定的时限内，作出行政许可或不予行政许可决定，法定告知（不予许可的应当书面告知理由）。</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4.事后监管责任：建立实施监督检查的运行机制和管理制度，开展定期和不定期检查，依法采取相关处置措施。</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5.其他责任：法律法规规章文件规定应履行的其他责任。</w:t>
            </w:r>
          </w:p>
        </w:tc>
      </w:tr>
      <w:tr>
        <w:tblPrEx>
          <w:tblCellMar>
            <w:top w:w="0" w:type="dxa"/>
            <w:left w:w="10" w:type="dxa"/>
            <w:bottom w:w="0" w:type="dxa"/>
            <w:right w:w="10" w:type="dxa"/>
          </w:tblCellMar>
        </w:tblPrEx>
        <w:trPr>
          <w:trHeight w:val="1336"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责任事项依据</w:t>
            </w:r>
          </w:p>
        </w:tc>
        <w:tc>
          <w:tcPr>
            <w:tcW w:w="8153"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autoSpaceDE w:val="0"/>
              <w:autoSpaceDN w:val="0"/>
              <w:adjustRightInd w:val="0"/>
              <w:spacing w:line="300" w:lineRule="exact"/>
              <w:jc w:val="left"/>
              <w:rPr>
                <w:rFonts w:cs="宋体" w:asciiTheme="minorEastAsia" w:hAnsiTheme="minorEastAsia" w:eastAsiaTheme="minorEastAsia"/>
                <w:color w:val="000000"/>
                <w:szCs w:val="21"/>
                <w:lang w:val="zh-CN"/>
              </w:rPr>
            </w:pPr>
          </w:p>
        </w:tc>
      </w:tr>
      <w:tr>
        <w:tblPrEx>
          <w:tblCellMar>
            <w:top w:w="0" w:type="dxa"/>
            <w:left w:w="10" w:type="dxa"/>
            <w:bottom w:w="0" w:type="dxa"/>
            <w:right w:w="10" w:type="dxa"/>
          </w:tblCellMar>
        </w:tblPrEx>
        <w:trPr>
          <w:trHeight w:val="1540"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问责依据</w:t>
            </w:r>
          </w:p>
        </w:tc>
        <w:tc>
          <w:tcPr>
            <w:tcW w:w="815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对不履行或不正确履行行政职责的行政机关及其工作人员,《中华人民共和国行政许可法》、《中华人民共和国行政机关公务员处分条例》、《公安机关人民警察纪律条令》、《四川省行政审批违法违纪行为责任追究办法》等法律法规规章的相关规定追究相应的责任。</w:t>
            </w:r>
          </w:p>
        </w:tc>
      </w:tr>
      <w:tr>
        <w:tblPrEx>
          <w:tblCellMar>
            <w:top w:w="0" w:type="dxa"/>
            <w:left w:w="10" w:type="dxa"/>
            <w:bottom w:w="0" w:type="dxa"/>
            <w:right w:w="10" w:type="dxa"/>
          </w:tblCellMar>
        </w:tblPrEx>
        <w:trPr>
          <w:trHeight w:val="601" w:hRule="atLeast"/>
        </w:trPr>
        <w:tc>
          <w:tcPr>
            <w:tcW w:w="125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监督电话</w:t>
            </w:r>
          </w:p>
        </w:tc>
        <w:tc>
          <w:tcPr>
            <w:tcW w:w="815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00" w:lineRule="exact"/>
              <w:jc w:val="left"/>
              <w:rPr>
                <w:rFonts w:cs="宋体" w:asciiTheme="minorEastAsia" w:hAnsiTheme="minorEastAsia" w:eastAsiaTheme="minorEastAsia"/>
                <w:color w:val="000000"/>
                <w:szCs w:val="21"/>
                <w:lang w:val="zh-CN"/>
              </w:rPr>
            </w:pPr>
            <w:r>
              <w:rPr>
                <w:rFonts w:hint="eastAsia" w:cs="宋体" w:asciiTheme="minorEastAsia" w:hAnsiTheme="minorEastAsia" w:eastAsiaTheme="minorEastAsia"/>
                <w:color w:val="000000"/>
                <w:szCs w:val="21"/>
                <w:lang w:val="zh-CN"/>
              </w:rPr>
              <w:t>0837-2483922</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6925D9"/>
    <w:multiLevelType w:val="multilevel"/>
    <w:tmpl w:val="576925D9"/>
    <w:lvl w:ilvl="0" w:tentative="0">
      <w:start w:val="1"/>
      <w:numFmt w:val="japaneseCounting"/>
      <w:lvlText w:val="%1、"/>
      <w:lvlJc w:val="left"/>
      <w:pPr>
        <w:ind w:left="1080" w:hanging="48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62A"/>
    <w:rsid w:val="00030974"/>
    <w:rsid w:val="000318EA"/>
    <w:rsid w:val="000400CA"/>
    <w:rsid w:val="00041BC3"/>
    <w:rsid w:val="00053071"/>
    <w:rsid w:val="0005722F"/>
    <w:rsid w:val="000653A6"/>
    <w:rsid w:val="000918A7"/>
    <w:rsid w:val="000A30A3"/>
    <w:rsid w:val="000A7F0A"/>
    <w:rsid w:val="000B57C5"/>
    <w:rsid w:val="000C7B0B"/>
    <w:rsid w:val="000E22FD"/>
    <w:rsid w:val="000F3B05"/>
    <w:rsid w:val="000F6D19"/>
    <w:rsid w:val="00104F71"/>
    <w:rsid w:val="00114816"/>
    <w:rsid w:val="00131F33"/>
    <w:rsid w:val="00142AD2"/>
    <w:rsid w:val="00143523"/>
    <w:rsid w:val="001477E4"/>
    <w:rsid w:val="0018556F"/>
    <w:rsid w:val="00195C87"/>
    <w:rsid w:val="001E2FAF"/>
    <w:rsid w:val="001F5200"/>
    <w:rsid w:val="00222D7D"/>
    <w:rsid w:val="002251C0"/>
    <w:rsid w:val="002462AF"/>
    <w:rsid w:val="002479A9"/>
    <w:rsid w:val="00253123"/>
    <w:rsid w:val="0026546E"/>
    <w:rsid w:val="002701CF"/>
    <w:rsid w:val="00273B6D"/>
    <w:rsid w:val="002939F4"/>
    <w:rsid w:val="00293B77"/>
    <w:rsid w:val="002D079E"/>
    <w:rsid w:val="002D0F41"/>
    <w:rsid w:val="002E061F"/>
    <w:rsid w:val="002E483F"/>
    <w:rsid w:val="002E63A9"/>
    <w:rsid w:val="002E6D76"/>
    <w:rsid w:val="002F38FA"/>
    <w:rsid w:val="002F6234"/>
    <w:rsid w:val="00303696"/>
    <w:rsid w:val="00320AED"/>
    <w:rsid w:val="003379C0"/>
    <w:rsid w:val="00351073"/>
    <w:rsid w:val="00381CCA"/>
    <w:rsid w:val="00392201"/>
    <w:rsid w:val="003C4221"/>
    <w:rsid w:val="004107B3"/>
    <w:rsid w:val="00425C82"/>
    <w:rsid w:val="00427A11"/>
    <w:rsid w:val="00441EEF"/>
    <w:rsid w:val="00442462"/>
    <w:rsid w:val="004777F6"/>
    <w:rsid w:val="00482049"/>
    <w:rsid w:val="004948B7"/>
    <w:rsid w:val="004B419E"/>
    <w:rsid w:val="004C1AD6"/>
    <w:rsid w:val="004E4ED5"/>
    <w:rsid w:val="004F62BF"/>
    <w:rsid w:val="00502194"/>
    <w:rsid w:val="00510F13"/>
    <w:rsid w:val="0052187D"/>
    <w:rsid w:val="00556D86"/>
    <w:rsid w:val="00581A7F"/>
    <w:rsid w:val="00592661"/>
    <w:rsid w:val="0059367A"/>
    <w:rsid w:val="005B0EF1"/>
    <w:rsid w:val="005B52AF"/>
    <w:rsid w:val="005B6EE5"/>
    <w:rsid w:val="005D6EAA"/>
    <w:rsid w:val="00626FF5"/>
    <w:rsid w:val="00632E24"/>
    <w:rsid w:val="00635B11"/>
    <w:rsid w:val="0064567A"/>
    <w:rsid w:val="0068475D"/>
    <w:rsid w:val="006A085A"/>
    <w:rsid w:val="006A14B6"/>
    <w:rsid w:val="006A6E9E"/>
    <w:rsid w:val="006F1A50"/>
    <w:rsid w:val="0070463A"/>
    <w:rsid w:val="00706226"/>
    <w:rsid w:val="00707C80"/>
    <w:rsid w:val="00707DE9"/>
    <w:rsid w:val="00710B48"/>
    <w:rsid w:val="007264AE"/>
    <w:rsid w:val="0074287A"/>
    <w:rsid w:val="00771CE5"/>
    <w:rsid w:val="00793FC7"/>
    <w:rsid w:val="007A292E"/>
    <w:rsid w:val="007D047C"/>
    <w:rsid w:val="007D4AE8"/>
    <w:rsid w:val="007D4FB3"/>
    <w:rsid w:val="00803322"/>
    <w:rsid w:val="008069D9"/>
    <w:rsid w:val="00816832"/>
    <w:rsid w:val="00816F07"/>
    <w:rsid w:val="00821AF3"/>
    <w:rsid w:val="008270E5"/>
    <w:rsid w:val="00833F28"/>
    <w:rsid w:val="00840EE9"/>
    <w:rsid w:val="00860A09"/>
    <w:rsid w:val="00875D64"/>
    <w:rsid w:val="008A28D9"/>
    <w:rsid w:val="008A5977"/>
    <w:rsid w:val="008B2214"/>
    <w:rsid w:val="008B63D7"/>
    <w:rsid w:val="00925583"/>
    <w:rsid w:val="009307A5"/>
    <w:rsid w:val="00945A0E"/>
    <w:rsid w:val="0096005C"/>
    <w:rsid w:val="009614C9"/>
    <w:rsid w:val="00976D48"/>
    <w:rsid w:val="009817D6"/>
    <w:rsid w:val="009B0415"/>
    <w:rsid w:val="009B5A2D"/>
    <w:rsid w:val="009C2689"/>
    <w:rsid w:val="009C753F"/>
    <w:rsid w:val="009D3281"/>
    <w:rsid w:val="009D6493"/>
    <w:rsid w:val="009D6A6C"/>
    <w:rsid w:val="009E0D10"/>
    <w:rsid w:val="009E27BA"/>
    <w:rsid w:val="009F0AEC"/>
    <w:rsid w:val="00A15FC4"/>
    <w:rsid w:val="00A16DBE"/>
    <w:rsid w:val="00A36242"/>
    <w:rsid w:val="00A416F9"/>
    <w:rsid w:val="00A42A84"/>
    <w:rsid w:val="00A44649"/>
    <w:rsid w:val="00A56440"/>
    <w:rsid w:val="00A64676"/>
    <w:rsid w:val="00A73E97"/>
    <w:rsid w:val="00A9009F"/>
    <w:rsid w:val="00AB572E"/>
    <w:rsid w:val="00AB618D"/>
    <w:rsid w:val="00AD791A"/>
    <w:rsid w:val="00AE7D15"/>
    <w:rsid w:val="00AF5AB2"/>
    <w:rsid w:val="00AF5C84"/>
    <w:rsid w:val="00AF78AD"/>
    <w:rsid w:val="00B07F3A"/>
    <w:rsid w:val="00B54DFE"/>
    <w:rsid w:val="00B556DD"/>
    <w:rsid w:val="00B926FA"/>
    <w:rsid w:val="00BB3A1D"/>
    <w:rsid w:val="00BF08D6"/>
    <w:rsid w:val="00C21DEE"/>
    <w:rsid w:val="00C24A46"/>
    <w:rsid w:val="00C35CCB"/>
    <w:rsid w:val="00C401F9"/>
    <w:rsid w:val="00C50B86"/>
    <w:rsid w:val="00C569E8"/>
    <w:rsid w:val="00C9262A"/>
    <w:rsid w:val="00CD4E5F"/>
    <w:rsid w:val="00CE66E8"/>
    <w:rsid w:val="00CF13D2"/>
    <w:rsid w:val="00D06ADF"/>
    <w:rsid w:val="00D158EF"/>
    <w:rsid w:val="00D25C32"/>
    <w:rsid w:val="00D626F4"/>
    <w:rsid w:val="00D71D6D"/>
    <w:rsid w:val="00D81E23"/>
    <w:rsid w:val="00D86038"/>
    <w:rsid w:val="00D95E66"/>
    <w:rsid w:val="00DA2962"/>
    <w:rsid w:val="00DD534E"/>
    <w:rsid w:val="00DE6E84"/>
    <w:rsid w:val="00DF6779"/>
    <w:rsid w:val="00DF783E"/>
    <w:rsid w:val="00E3247C"/>
    <w:rsid w:val="00E544AE"/>
    <w:rsid w:val="00E86B78"/>
    <w:rsid w:val="00E9795A"/>
    <w:rsid w:val="00EB4F54"/>
    <w:rsid w:val="00EC1F48"/>
    <w:rsid w:val="00ED06A5"/>
    <w:rsid w:val="00EE22A1"/>
    <w:rsid w:val="00F01C5A"/>
    <w:rsid w:val="00F32E28"/>
    <w:rsid w:val="00F36746"/>
    <w:rsid w:val="00F40A8B"/>
    <w:rsid w:val="00F51804"/>
    <w:rsid w:val="00FB0273"/>
    <w:rsid w:val="00FD458F"/>
    <w:rsid w:val="159C4E47"/>
    <w:rsid w:val="17FFCEFD"/>
    <w:rsid w:val="3BAE7490"/>
    <w:rsid w:val="3E334710"/>
    <w:rsid w:val="4690603F"/>
    <w:rsid w:val="76BBA226"/>
    <w:rsid w:val="77E5078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4"/>
    <w:basedOn w:val="1"/>
    <w:next w:val="1"/>
    <w:semiHidden/>
    <w:unhideWhenUsed/>
    <w:qFormat/>
    <w:uiPriority w:val="9"/>
    <w:pPr>
      <w:spacing w:beforeAutospacing="1" w:afterAutospacing="1"/>
      <w:jc w:val="left"/>
      <w:outlineLvl w:val="3"/>
    </w:pPr>
    <w:rPr>
      <w:rFonts w:hint="eastAsia" w:ascii="宋体" w:hAnsi="宋体"/>
      <w:b/>
      <w:kern w:val="0"/>
      <w:sz w:val="24"/>
      <w:szCs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2"/>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1"/>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0">
    <w:name w:val="Strong"/>
    <w:basedOn w:val="9"/>
    <w:qFormat/>
    <w:uiPriority w:val="22"/>
    <w:rPr>
      <w:b/>
    </w:rPr>
  </w:style>
  <w:style w:type="character" w:customStyle="1" w:styleId="11">
    <w:name w:val="页眉 Char"/>
    <w:basedOn w:val="9"/>
    <w:link w:val="6"/>
    <w:semiHidden/>
    <w:qFormat/>
    <w:uiPriority w:val="99"/>
    <w:rPr>
      <w:sz w:val="18"/>
      <w:szCs w:val="18"/>
    </w:rPr>
  </w:style>
  <w:style w:type="character" w:customStyle="1" w:styleId="12">
    <w:name w:val="页脚 Char"/>
    <w:basedOn w:val="9"/>
    <w:link w:val="5"/>
    <w:semiHidden/>
    <w:qFormat/>
    <w:uiPriority w:val="99"/>
    <w:rPr>
      <w:sz w:val="18"/>
      <w:szCs w:val="18"/>
    </w:rPr>
  </w:style>
  <w:style w:type="character" w:customStyle="1" w:styleId="13">
    <w:name w:val="apple-converted-space"/>
    <w:basedOn w:val="9"/>
    <w:qFormat/>
    <w:uiPriority w:val="0"/>
  </w:style>
  <w:style w:type="paragraph" w:styleId="14">
    <w:name w:val="List Paragraph"/>
    <w:basedOn w:val="1"/>
    <w:qFormat/>
    <w:uiPriority w:val="0"/>
    <w:pPr>
      <w:ind w:firstLine="420" w:firstLineChars="200"/>
    </w:pPr>
  </w:style>
  <w:style w:type="character" w:customStyle="1" w:styleId="15">
    <w:name w:val="标题 1 Char"/>
    <w:basedOn w:val="9"/>
    <w:link w:val="2"/>
    <w:qFormat/>
    <w:uiPriority w:val="9"/>
    <w:rPr>
      <w:rFonts w:ascii="Calibri" w:hAnsi="Calibri"/>
      <w:b/>
      <w:bCs/>
      <w:kern w:val="44"/>
      <w:sz w:val="44"/>
      <w:szCs w:val="44"/>
    </w:rPr>
  </w:style>
  <w:style w:type="character" w:customStyle="1" w:styleId="16">
    <w:name w:val="title"/>
    <w:basedOn w:val="9"/>
    <w:qFormat/>
    <w:uiPriority w:val="0"/>
  </w:style>
  <w:style w:type="character" w:customStyle="1" w:styleId="17">
    <w:name w:val="标题 2 Char"/>
    <w:basedOn w:val="9"/>
    <w:link w:val="3"/>
    <w:qFormat/>
    <w:uiPriority w:val="9"/>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44</Pages>
  <Words>5290</Words>
  <Characters>30154</Characters>
  <Lines>251</Lines>
  <Paragraphs>70</Paragraphs>
  <TotalTime>0</TotalTime>
  <ScaleCrop>false</ScaleCrop>
  <LinksUpToDate>false</LinksUpToDate>
  <CharactersWithSpaces>35374</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2018-03-26T19:23:00Z</dcterms:created>
  <dc:creator>dell</dc:creator>
  <cp:lastModifiedBy>阿咪.布姆</cp:lastModifiedBy>
  <dcterms:modified xsi:type="dcterms:W3CDTF">2026-04-19T19:19:04Z</dcterms:modified>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