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center"/>
        <w:textAlignment w:val="auto"/>
        <w:outlineLvl w:val="9"/>
        <w:rPr>
          <w:rFonts w:hint="eastAsia" w:hAnsi="宋体" w:eastAsia="方正小标宋简体" w:cs="宋体" w:asciiTheme="majorAscii"/>
          <w:color w:val="auto"/>
          <w:sz w:val="44"/>
          <w:szCs w:val="44"/>
          <w:lang w:eastAsia="zh-CN"/>
        </w:rPr>
      </w:pPr>
      <w:bookmarkStart w:id="0" w:name="_GoBack"/>
      <w:bookmarkEnd w:id="0"/>
      <w:r>
        <w:rPr>
          <w:rFonts w:hint="eastAsia" w:hAnsi="宋体" w:eastAsia="方正小标宋简体" w:cs="宋体" w:asciiTheme="majorAscii"/>
          <w:color w:val="auto"/>
          <w:sz w:val="44"/>
          <w:szCs w:val="44"/>
          <w:lang w:eastAsia="zh-CN"/>
        </w:rPr>
        <w:t>阿坝县文化体育广电新闻出版局</w:t>
      </w:r>
    </w:p>
    <w:p>
      <w:pPr>
        <w:jc w:val="center"/>
        <w:rPr>
          <w:rFonts w:hint="eastAsia" w:eastAsia="方正小标宋简体"/>
          <w:sz w:val="44"/>
          <w:szCs w:val="44"/>
        </w:rPr>
      </w:pPr>
      <w:r>
        <w:rPr>
          <w:rFonts w:hint="eastAsia" w:hAnsi="宋体" w:eastAsia="方正小标宋简体" w:cs="宋体" w:asciiTheme="majorAscii"/>
          <w:color w:val="auto"/>
          <w:sz w:val="44"/>
          <w:szCs w:val="44"/>
        </w:rPr>
        <w:t>责任清单的责</w:t>
      </w:r>
    </w:p>
    <w:tbl>
      <w:tblPr>
        <w:tblStyle w:val="6"/>
        <w:tblW w:w="9878" w:type="dxa"/>
        <w:tblInd w:w="-6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8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6" w:hRule="atLeast"/>
        </w:trPr>
        <w:tc>
          <w:tcPr>
            <w:tcW w:w="1596" w:type="dxa"/>
            <w:vAlign w:val="center"/>
          </w:tcPr>
          <w:p>
            <w:pPr>
              <w:spacing w:line="379" w:lineRule="atLeast"/>
              <w:ind w:firstLine="301" w:firstLineChars="100"/>
              <w:rPr>
                <w:rFonts w:hint="eastAsia" w:ascii="仿宋" w:hAnsi="仿宋" w:eastAsia="仿宋" w:cs="仿宋"/>
                <w:b/>
                <w:bCs/>
                <w:sz w:val="30"/>
                <w:szCs w:val="30"/>
              </w:rPr>
            </w:pPr>
            <w:r>
              <w:rPr>
                <w:rFonts w:hint="eastAsia" w:ascii="仿宋" w:hAnsi="仿宋" w:eastAsia="仿宋" w:cs="仿宋"/>
                <w:b/>
                <w:bCs/>
                <w:sz w:val="30"/>
                <w:szCs w:val="30"/>
              </w:rPr>
              <w:t>主</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体</w:t>
            </w:r>
          </w:p>
          <w:p>
            <w:pPr>
              <w:spacing w:line="379" w:lineRule="atLeast"/>
              <w:ind w:firstLine="301" w:firstLineChars="100"/>
              <w:rPr>
                <w:rFonts w:hint="eastAsia" w:ascii="仿宋" w:hAnsi="仿宋" w:eastAsia="仿宋" w:cs="仿宋"/>
                <w:sz w:val="30"/>
                <w:szCs w:val="30"/>
              </w:rPr>
            </w:pPr>
            <w:r>
              <w:rPr>
                <w:rFonts w:hint="eastAsia" w:ascii="仿宋" w:hAnsi="仿宋" w:eastAsia="仿宋" w:cs="仿宋"/>
                <w:b/>
                <w:bCs/>
                <w:sz w:val="30"/>
                <w:szCs w:val="30"/>
              </w:rPr>
              <w:t>责</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任</w:t>
            </w:r>
          </w:p>
        </w:tc>
        <w:tc>
          <w:tcPr>
            <w:tcW w:w="8282" w:type="dxa"/>
            <w:vAlign w:val="top"/>
          </w:tcPr>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一）贯彻执行国家、省、州关于文化、体育、广电、新闻出版、著作权管理的法律、法规、规章和方针政策；研究提出全县文化体育广电新闻出版、著作权管理规范性文件，拟定全县文化体育广电新闻出版工作规划，并组织实施并监督检查。</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二）根据国家、省、州文化体育广电新闻出版事业发展战略和发展规划，研究提出重大的文化体育广播电视新闻出版经济政策，统筹安排州、县拨给的财政经费，规划指导全县文化体育广电新闻出版事业、产业发展规划和年度工作计划；指导下属事业单位体制改革。</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（三）制订文化体育广电新闻出版事业人才教育培训工作的发展规划，调查分析文化体育广电新闻出版科技研究和发展的重大问题，推动全县文化体育广电新闻出版科学技术进步。</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四）负责综合管理全县群众文化艺术事业，指导协调文化艺术创作与生产；组织、管理、指导全县性重大文化活动开展；指导、协调全县民间艺术的挖掘整理工作；指导图书文献资源和共享工程建设、开发和利用；组织推动图书馆、新华书店事业网络化、现代化建设。负责管理全县文物事业和博物馆事业，指导协调全县文物管理、保护、抢救、利用等工作；负责组织实施非物质文化遗产保护和优秀民族文化传承普及工作；负责基层文化建设和对外交流工作。</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五）负责组织实施全民健身计划，培训社会体育指导员，推进全民健身活动开展；统筹规划全县竞技体育发展和运动项目布局，组织指导全县性重大体育活动；指导学校体育和青少年竞技体育协调发展；指导业余体育训练，输送优秀竞技体育后备人才；按规定使用体育彩票公益金。</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六）负责监督管理文艺演出、文化展览、文化娱乐、文化艺术品和艺术培训市场；负责监督管理网络音乐、美术娱乐、动漫、网络演出剧（节）目、网络表演业务、网吧等上网服务营业场所的经营活动；负责监督管理网络游戏服务。</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七）负责全县广播电视、新闻出版行业监管。负责全县广播电视公共服务；负责广播电视安全播出监管；指导全县电影发行、放映工作。负责组织对出版物进行审读、审听、审看；负责全县内部资料出版物管理；负责全县著作权（版权）工作，组织查处重大著作侵权盗版案件，调解著作纠纷；牵头组织出版物市场“扫黄打非”工作。</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（八）负责全县文化（文物）、体育、广电、新闻出版市场行政审批、综合执法工作，受理全县文化市场行政复议案件。</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（九）负责全县文化、体育、广电、新闻出版社团（协会）资格审查和业务指导。</w:t>
            </w:r>
          </w:p>
          <w:p>
            <w:pPr>
              <w:spacing w:line="379" w:lineRule="atLeast"/>
              <w:ind w:firstLine="600" w:firstLineChars="200"/>
              <w:rPr>
                <w:rFonts w:hint="eastAsia" w:ascii="仿宋" w:hAnsi="仿宋" w:eastAsia="仿宋" w:cs="仿宋"/>
                <w:sz w:val="30"/>
                <w:szCs w:val="30"/>
              </w:rPr>
            </w:pPr>
            <w:r>
              <w:rPr>
                <w:rFonts w:hint="eastAsia" w:ascii="仿宋" w:hAnsi="仿宋" w:eastAsia="仿宋" w:cs="仿宋"/>
                <w:sz w:val="30"/>
                <w:szCs w:val="30"/>
              </w:rPr>
              <w:t>（十）承办县委、县政府交办的其他事项。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6" w:type="dxa"/>
            <w:vAlign w:val="center"/>
          </w:tcPr>
          <w:p>
            <w:pPr>
              <w:spacing w:line="579" w:lineRule="exact"/>
              <w:jc w:val="center"/>
              <w:rPr>
                <w:rFonts w:hint="eastAsia" w:ascii="仿宋" w:hAnsi="仿宋" w:eastAsia="仿宋" w:cs="仿宋"/>
                <w:sz w:val="21"/>
                <w:szCs w:val="21"/>
              </w:rPr>
            </w:pPr>
            <w:r>
              <w:rPr>
                <w:rFonts w:hint="eastAsia" w:ascii="仿宋" w:hAnsi="仿宋" w:eastAsia="仿宋" w:cs="仿宋"/>
                <w:b/>
                <w:bCs/>
                <w:sz w:val="30"/>
                <w:szCs w:val="30"/>
              </w:rPr>
              <w:t>职责边界</w:t>
            </w:r>
          </w:p>
        </w:tc>
        <w:tc>
          <w:tcPr>
            <w:tcW w:w="8282" w:type="dxa"/>
            <w:vAlign w:val="top"/>
          </w:tcPr>
          <w:p>
            <w:pPr>
              <w:spacing w:line="379" w:lineRule="atLeast"/>
              <w:rPr>
                <w:rFonts w:hint="eastAsia" w:ascii="仿宋" w:hAnsi="仿宋" w:eastAsia="仿宋" w:cs="仿宋"/>
                <w:sz w:val="21"/>
                <w:szCs w:val="21"/>
              </w:rPr>
            </w:pPr>
          </w:p>
        </w:tc>
      </w:tr>
    </w:tbl>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hAnsi="宋体" w:eastAsia="方正小标宋简体" w:cs="宋体" w:asciiTheme="majorAscii"/>
          <w:color w:val="auto"/>
          <w:sz w:val="44"/>
          <w:szCs w:val="44"/>
          <w:lang w:eastAsia="zh-CN"/>
        </w:rPr>
      </w:pPr>
    </w:p>
    <w:tbl>
      <w:tblPr>
        <w:tblStyle w:val="6"/>
        <w:tblW w:w="8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right="0" w:right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right="0" w:right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right="0" w:right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sz w:val="28"/>
                <w:szCs w:val="28"/>
                <w:lang w:eastAsia="zh-CN"/>
              </w:rPr>
              <w:t>互联网上网服务营业场所审批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1.《文化部关于落实“先照后证”改进文化市场行政审批工作的通知》（文市函〔2015〕627号）（二）:简化申报材料 在受理《营业性演出许可证》、《娱乐经营许可证》、《网络文化经营许可证》申请业务时，工商行政部门已登记核准的经营主体名称、住所、注册资本、经济类型、法定代表人或者主要负责人等事项，以营业执照载明内容为准，文化行政部门不再要求提供办理营业执照时已经提供的材料。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 xml:space="preserve">《互联网上网服务营业场所管理条例》 部门规章 2002年9月国务院令第363号，2016年2月予以修改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第四条：“县级以上人民政府文化行政部门负责互联网上网服务营业场所经营单位的设立审批，并负责对依法设立的互联网上网服务营业场所经营单位经营活动的监督管理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十一条：“文化行政部门应当自收到申请之日起20个工作日内作出决定；经审查，符合条件的，发给同意筹建的批准文件。申请人完成筹建后，持同意筹建的批准文件到同级公安机关申请信息网络安全和消防安全审核。公安机关应当自收到申请之日起20个工作日内作出决定；经实地检查并审核合格的，发给批准文件。申请人持公安机关批准文件向文化行政部门申请最终审核。文化行政部门应当自收到申请之日起15个工作日内依据本条例第八条的规定作出决定；经实地检查并审核合格的，发给《网络文化经营许可证》。对申请人的申请，文化行政部门经审查不符合条件的，或者公安机关经审核不合格的，应当分别向申请人书面说明理由。”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第九条：“中学、小学校园周围200米范围内和居民住宅楼(院)内不得设立互联网上网服务营业场所。”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3.文化部关于印发《公众聚集文化经营场所审核公示暂行办法》的通知 </w:t>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 xml:space="preserve">文市发〔2003〕31号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第四条：“ 受理开办经营场所申请的文化行政部门，应当自收到申请之日起5个工作日内，按照国家有关规定对申请进行初审。初审合格的，应当立即将申请开办的经营场所的有关情况公示。初审不合格的，退回申请人并说明理由。”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第七条：“ 文化行政部门自公示之日起10个工作日内受理社会反馈意见。”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4.《中华人民共和国行政许可法》 2003年８月第十届全国人民代表大会常务委员会第四次会议通过</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第四十六条：“法律、法规、规章规定实施行政许可应当听证的事项，或者行政机关认为需要听证的其他涉及公共利益的重大行政许可事项，行政机关应当向社会公告，并举行听证。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843" w:firstLineChars="3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Times New Roman" w:hAnsi="Times New Roman" w:eastAsia="方正仿宋简体" w:cs="Times New Roman"/>
                <w:color w:val="000000"/>
                <w:shd w:val="clear" w:color="auto" w:fill="FFFFFF"/>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852"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中华人民共和国行政许可法》（主席令第7号）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互联网上网服务营业场所管理条例》（国务院令第363号）第二十五条：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职或者开除的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86"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852"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对不履行或不正确履行行政职责的行政机关及其工作人员，依据《中华人民共和国监察法》、《中华人民共和国行政许可法》、《行政机关公务员处分条例》、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85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40" w:lineRule="exact"/>
        <w:ind w:left="0" w:leftChars="0" w:right="0" w:rightChars="0" w:firstLine="0" w:firstLineChars="0"/>
        <w:jc w:val="both"/>
        <w:textAlignment w:val="auto"/>
        <w:outlineLvl w:val="9"/>
        <w:rPr>
          <w:rFonts w:hint="eastAsia" w:ascii="方正小标宋简体" w:hAnsi="宋体" w:eastAsia="方正小标宋简体" w:cs="宋体"/>
          <w:color w:val="auto"/>
          <w:sz w:val="28"/>
          <w:szCs w:val="28"/>
          <w:lang w:eastAsia="zh-CN"/>
        </w:rPr>
      </w:pPr>
    </w:p>
    <w:tbl>
      <w:tblPr>
        <w:tblStyle w:val="6"/>
        <w:tblW w:w="89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8"/>
        <w:gridCol w:w="6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sz w:val="28"/>
                <w:szCs w:val="28"/>
                <w:lang w:eastAsia="zh-CN"/>
              </w:rPr>
              <w:t>营业性演出审批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9"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1.《营业性演出管理条例》 2008年7月国务院令第528号，2016年1月修订国务院令第666号</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第六条第二款：“ 演出经纪机构申请从事营业性演出经营活动，应当有3名以上专职演出经纪人员和与其业务相适应的资金，并向省、自治区、直辖市人民政府文化主管部门提出申请。文化主管部门应当自受理申请之日起20日内作出决定。批准的，颁发营业性演出许可证；不批准的，应当书面通知申请人并说明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2.《营业性演出管理条例实施细则》 （2009年10月文化部令月国务院令47号）</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五条：“演出经纪机构是指具备《条例》第六条第二款规定条件，从事下列活动的经营单位：（一）演出组织、制作、营销等经营活动；（二）演出居间、代理、行纪等经纪活动；（三）演员签约、推广、代理等经纪活动。”</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color w:val="auto"/>
                <w:position w:val="6"/>
                <w:sz w:val="28"/>
                <w:szCs w:val="28"/>
                <w:lang w:val="en-US" w:eastAsia="zh-CN"/>
              </w:rPr>
              <w:t>3.《文化部关于落实“先照后证”改进文化市场行政审批工作的通知》（文市函〔2015〕627号）一、贯彻落实文化市场主体准入“先照后证”制度：“（一）根据国务院部署，文化部将涉及演出、娱乐、网络文化等主体准入审批项目实施‘先照后证’制度。文化行政部门要按照便捷、高效、规范原则，完善工作流程，落实监管责任，依法规范行政审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center"/>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jc w:val="center"/>
        </w:trPr>
        <w:tc>
          <w:tcPr>
            <w:tcW w:w="2118" w:type="dxa"/>
            <w:vAlign w:val="center"/>
          </w:tcPr>
          <w:p>
            <w:pPr>
              <w:keepNext w:val="0"/>
              <w:keepLines w:val="0"/>
              <w:pageBreakBefore w:val="0"/>
              <w:widowControl w:val="0"/>
              <w:tabs>
                <w:tab w:val="left" w:pos="479"/>
              </w:tabs>
              <w:kinsoku/>
              <w:wordWrap/>
              <w:overflowPunct/>
              <w:topLinePunct w:val="0"/>
              <w:autoSpaceDE/>
              <w:autoSpaceDN/>
              <w:bidi w:val="0"/>
              <w:adjustRightInd/>
              <w:snapToGrid/>
              <w:spacing w:line="320" w:lineRule="atLeast"/>
              <w:ind w:left="0" w:leftChars="0" w:right="0" w:rightChars="0" w:firstLine="0" w:firstLineChars="0"/>
              <w:jc w:val="left"/>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第七十三条：行政机关工作人员办理行政许可、实施监督检查，索取或者收受他人财物或者谋取其他利益，构成犯罪的，依法追究刑事责任；尚不构成犯罪的，依法给予行政处分。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第七十六条：行政机关违法实施行政许可，给当事人的合法权益造成损害的，应当依照国家赔偿法的规定给予赔偿。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营业性演出管理条例》（国务院令第528号）第五十五条：文化主管部门、公安部门、工商行政管理部门的工作人员滥用职权、玩忽职守、徇私舞弊或者未依照本条例规定履行职责的，依法给予行政处分；构成犯罪的，依法追究刑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5"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849"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对不履行或不正确履行行政职责的行政机关及其工作人员，依据《中华人民共和国监察法》、《中华人民共和国行政许可法》、《行政机关公务员处分条例》、《互联网上网服务营业场所管理条例》、《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8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8"/>
        <w:gridCol w:w="6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娱乐场所</w:t>
            </w:r>
            <w:r>
              <w:rPr>
                <w:rFonts w:hint="eastAsia" w:ascii="仿宋" w:hAnsi="仿宋" w:eastAsia="仿宋" w:cs="仿宋"/>
                <w:b/>
                <w:bCs/>
                <w:color w:val="auto"/>
                <w:position w:val="6"/>
                <w:sz w:val="28"/>
                <w:szCs w:val="28"/>
                <w:lang w:eastAsia="zh-CN"/>
              </w:rPr>
              <w:t>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8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《娱乐场所管理条例》（2006年1月国务院令第458号，2016年2月修改）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第二条：“本条例所称娱乐场所，是指以营利为目的，并向公众开放、消费者自娱自乐的歌舞、游艺等场所。”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《娱乐场所管理条例》（2006年1月国务院令第458号，2016年2月予以修改）</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第九条:“娱乐场所申请从事娱乐场所经营活动，应当向所在地县级人民政府文化主管部门提出申请；中外合资经营、中外合作经营的娱乐场所申请从事娱乐场所经营活动，应当向所在地省、自治区、直辖市人民政府文化主管部门提出申请。”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《娱乐场所管理办法》(2013年2月文化部令第55号)</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第六条:“娱乐场所不得设立在下列地点：（一）房屋用途中含有住宅的建筑内；（二）博物馆、图书馆和被核定为文物保护单位的建筑物内；（三）居民住宅区；（四）教育法规定的中小学校周围；（五）依照《医疗机构管理条例》及实施细则规定取得《医疗机构执业许可证》的医院周围；（六）各级中国共产党委员会及其所属各工作部门、各级人民代表大会机关、各级人民政府及其所属各工作部门、各级政治协商会议机关、各级人民法院、检察院机关、各级民主党派机关周围；（七）车站、机场等人群密集的场所；（八）建筑物地下一层以下（不含地下一层）；（九）与危险化学品仓库毗连的区域，与危险化学品仓库的距离必须符合《危险化学品安全管理条例》的有关规定。”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《娱乐场所管理办法》(2013年2月文化部令第55号)</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第十二条:“文化主管部门受理申请后，应当对设立场所的位置、周边环境、面积等进行实地检查。符合条件的，应当在设立场所、文化主管部门办公场所显著位置向社会公示10日，并依法组织听证。”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rPr>
              <w:t>5</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文化部关于落实“先照后证”改进文化市场行政审批工作的通知》（文市函〔2015〕627号）一、贯彻落实文化市场主体准入“先照后证”制度：“（一）根据国务院部署，文化部将涉及演出、娱乐、网络文化等主体准入审批项目实施‘先照后证’制度。文化行政部门要按照便捷、高效、规范原则，完善工作流程，落实监管责任，依法规范行政审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4"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4"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七十三条：行政机关工作人员办理行政许可、实施监督检查，索取或者收受他人财物或者谋取其他利益，构成犯罪的，依法追究刑事责任；尚不构成犯罪的，依法给予行政处分。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或者不根据招标、拍卖结果或者考试成绩择优作出准予行政许可决定的。</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七十五条：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第七十六条：行政机关违法实施行政许可，给当事人的合法权益造成损害的，应当依照国家赔偿法的规定给予赔偿。</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 </w:t>
            </w:r>
            <w:r>
              <w:rPr>
                <w:rFonts w:hint="eastAsia" w:ascii="仿宋" w:hAnsi="仿宋" w:eastAsia="仿宋" w:cs="仿宋"/>
                <w:b w:val="0"/>
                <w:bCs/>
                <w:color w:val="auto"/>
                <w:position w:val="6"/>
                <w:sz w:val="28"/>
                <w:szCs w:val="28"/>
                <w:lang w:val="en-US" w:eastAsia="zh-CN"/>
              </w:rPr>
              <w:t>2.</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娱乐场所管理条例</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（国务院令第458号）第五十五条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国家机关及其工作人员开办娱乐场所，参与或者变相参与娱乐场所经营活动的，对直接负责的主管人员和其他直接责任人员依法给予撤职或者开除的行政处分。</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文化主管部门、公安部门的工作人员明知其亲属开办娱乐场所或者发现其亲属参与、变相参与娱乐场所的经营活动，不予制止或者制止不力的，依法给予行政处分；情节严重的，依法给予撤职或者开除的行政处分。</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第五十六条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 文化主管部门、公安部门、工商行政管理部门和其他有关部门的工作人员有下列行为之一的，对直接负责的主管人员和其他直接责任人员依法给予行政处分；构成犯罪的，依法追究刑事责任：</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right="0" w:rightChars="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一）向不符合法定设立条件的单位颁发许可证、批准文件、营业执照的；（二）不履行监督管理职责，或者发现擅自从事娱乐场所经营活动不依法取缔，或者发现违法行为不依法查处的；（三）接到对违法行为的举报、通报后不依法查处的；（四）利用职务之便，索取、收受他人财物或者谋取其他利益的；（五）利用职务之便，参与、包庇违法行为，或者向有关单位、个人通风报信的；（六）有其他滥用职权、玩忽职守、徇私舞弊行为的。</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892"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对不履行或不正确履行行政职责的行政机关及其工作人员，依据</w:t>
            </w:r>
            <w:r>
              <w:rPr>
                <w:rFonts w:hint="eastAsia" w:ascii="仿宋" w:hAnsi="仿宋" w:eastAsia="仿宋" w:cs="仿宋"/>
                <w:b w:val="0"/>
                <w:bCs/>
                <w:color w:val="auto"/>
                <w:position w:val="6"/>
                <w:sz w:val="28"/>
                <w:szCs w:val="28"/>
                <w:lang w:eastAsia="zh-CN"/>
              </w:rPr>
              <w:t>《中华人民共和国监察法》</w:t>
            </w:r>
            <w:r>
              <w:rPr>
                <w:rFonts w:hint="eastAsia" w:ascii="仿宋" w:hAnsi="仿宋" w:eastAsia="仿宋" w:cs="仿宋"/>
                <w:b w:val="0"/>
                <w:bCs/>
                <w:color w:val="auto"/>
                <w:position w:val="6"/>
                <w:sz w:val="28"/>
                <w:szCs w:val="28"/>
              </w:rPr>
              <w:t>、《中华人民共和国行政许可法》、《行政机关公务员处分条例》、</w:t>
            </w:r>
            <w:r>
              <w:rPr>
                <w:rFonts w:hint="eastAsia" w:ascii="仿宋" w:hAnsi="仿宋" w:eastAsia="仿宋" w:cs="仿宋"/>
                <w:b w:val="0"/>
                <w:bCs/>
                <w:color w:val="auto"/>
                <w:position w:val="6"/>
                <w:sz w:val="28"/>
                <w:szCs w:val="28"/>
                <w:lang w:eastAsia="zh-CN"/>
              </w:rPr>
              <w:t>《互联网上网服务营业场所管理条例》、</w:t>
            </w:r>
            <w:r>
              <w:rPr>
                <w:rFonts w:hint="eastAsia" w:ascii="仿宋" w:hAnsi="仿宋" w:eastAsia="仿宋" w:cs="仿宋"/>
                <w:b w:val="0"/>
                <w:bCs/>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4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8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tbl>
      <w:tblPr>
        <w:tblStyle w:val="6"/>
        <w:tblW w:w="8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6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val="0"/>
                <w:color w:val="auto"/>
                <w:position w:val="6"/>
                <w:sz w:val="28"/>
                <w:szCs w:val="28"/>
              </w:rPr>
              <w:t>文艺表演团体</w:t>
            </w:r>
            <w:r>
              <w:rPr>
                <w:rFonts w:hint="eastAsia" w:ascii="仿宋" w:hAnsi="仿宋" w:eastAsia="仿宋" w:cs="仿宋"/>
                <w:b/>
                <w:bCs w:val="0"/>
                <w:color w:val="auto"/>
                <w:position w:val="6"/>
                <w:sz w:val="28"/>
                <w:szCs w:val="28"/>
                <w:lang w:eastAsia="zh-CN"/>
              </w:rPr>
              <w:t>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881" w:type="dxa"/>
            <w:vAlign w:val="center"/>
          </w:tcPr>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right="0" w:rightChars="0" w:firstLine="560" w:firstLineChars="200"/>
              <w:jc w:val="both"/>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1.《营业性演出管理条例》(2008年7月国务院令第528号，2016年1月修订国务院令第666号)</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right="0" w:rightChars="0" w:firstLine="560" w:firstLineChars="200"/>
              <w:jc w:val="both"/>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 xml:space="preserve">第十三条：“举办营业性演出，应当向演出所在地县级人民政府文化主管部门提出申请。县级人民政府文化主管部门应当自受理申请之日起3日内作出决定。对符合本条例第二十五条规定的，发给批准文件；对不符合本条例第二十五条规定的，不予批准，书面通知申请人并说明理由。”        </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right="0" w:rightChars="0" w:firstLine="560" w:firstLineChars="200"/>
              <w:jc w:val="both"/>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2.《营业性演出管理条例实施细则》 （2009年10月文化部令月国务院令47号）</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right="0" w:rightChars="0" w:firstLine="560" w:firstLineChars="200"/>
              <w:jc w:val="both"/>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第四条：“文艺表演团体是指具备《条例》第六条规定条件，从事文艺表演活动的经营单位。”</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kern w:val="2"/>
                <w:position w:val="6"/>
                <w:sz w:val="28"/>
                <w:szCs w:val="28"/>
                <w:lang w:val="en-US" w:eastAsia="zh-CN" w:bidi="ar-SA"/>
              </w:rPr>
            </w:pPr>
            <w:r>
              <w:rPr>
                <w:rFonts w:hint="eastAsia" w:ascii="仿宋" w:hAnsi="仿宋" w:eastAsia="仿宋" w:cs="仿宋"/>
                <w:b w:val="0"/>
                <w:bCs/>
                <w:color w:val="auto"/>
                <w:kern w:val="2"/>
                <w:position w:val="6"/>
                <w:sz w:val="28"/>
                <w:szCs w:val="28"/>
                <w:lang w:val="en-US" w:eastAsia="zh-CN" w:bidi="ar-SA"/>
              </w:rPr>
              <w:t>3.《文化部关于落实“先照后证”改进文化市场行政审批工作的通知》（文市函〔2015〕627号）一、贯彻落实文化市场主体准入“先照后证”制度：“（一）根据国务院部署，文化部将涉及演出、娱乐、网络文化等主体准入审批项目实施‘先照后证’制度。文化行政部门要按照便捷、高效、规范原则，完善工作流程，落实监管责任，依法规范行政审批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right="0" w:rightChars="0"/>
              <w:jc w:val="both"/>
              <w:textAlignment w:val="auto"/>
              <w:outlineLvl w:val="9"/>
              <w:rPr>
                <w:rFonts w:hint="eastAsia" w:ascii="仿宋" w:hAnsi="仿宋" w:eastAsia="仿宋" w:cs="仿宋"/>
                <w:b w:val="0"/>
                <w:bCs/>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881"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中华人民共和国行政许可法》（主席令第7号）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互联网上网服务营业场所管理条例》（国务院令第363号）第二十五条：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职或者开除的行政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881"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1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881"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3092" w:firstLineChars="1100"/>
              <w:jc w:val="both"/>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val="0"/>
                <w:color w:val="auto"/>
                <w:position w:val="6"/>
                <w:sz w:val="28"/>
                <w:szCs w:val="28"/>
              </w:rPr>
              <w:t>中外合资经营、中外合作经营的娱乐场所设立审批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娱乐场所管理条例》第九条：设立娱乐场所，应当向所在地县级人民政府文化主管部门提出申请；设立中外合资经营、中外合作经营的娱乐场所，应当向所在地省、自治区、直辖市人民政府文化主管部门提出申请。第九条　设立娱乐场所，应当向所在地县级人民政府文化主管部门提出申请；设立中外合资经营、中外合作经营的娱乐场所，应当向所在地省、自治区、直辖市人民政府文化主管部门提出申请。申请设立娱乐场所，应当提交投资人员、拟任的法定代表人和其他负责人没有本条例第五条规定情形的书面声明。申请人应当对书面声明内容的真实性负责。受理申请的文化主管部门应当就书面声明向公安部门或者其他有关单位核查，公安部门或者其他有关单位应当予以配合；经核查属实的，文化主管部门应当依据本条例第七条、第八条的规定进行实地检查，作出决定。予以批准的，颁发娱乐经营许可证，并根据国务院文化主管部门的规定核定娱乐场所容纳的消费者数量；不予批准的，应当书面通知申请人并说明理由。有关法律、行政法规规定需要办理消防、卫生、环境保护等审批手续的，从其规定。</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 xml:space="preserve">《娱乐场所管理办法》(2013年2月文化部令第55号)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第十二条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“文化主管部门受理申请后，应当对设立场所的位置、周边环境、面积等进行实地检查。符合条件的，应当在设立场所、文化主管部门办公场所显著位置向社会公示10日，并依法组织听证。”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 xml:space="preserve"> 第六条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娱乐场所不得设立在下列地点：（一）房屋用途中含有住宅的建筑内；（二）博物馆、图书馆和被核定为文物保护单位的建筑物内；（三）居民住宅区；（四）教育法规定的中小学校周围；（五）依照《医疗机构管理条例》及实施细则规定取得《医疗机构执业许可证》的医院周围；（六）各级中国共产党委员会及其所属各工作部门、各级人民代表大会机关、各级人民政府及其所属各工作部门、各级政治协商会议机关、各级人民法院、检察院机关、各级民主党派机关周围；（七）车站、机场等人群密集的场所；（八）建筑物地下一层以下（不含地下一层）；（九）与危险化学品仓库毗连的区域，与危险化学品仓库的距离必须符合《危险化学品安全管理条例》的有关规定。”</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2.《娱乐场所管理条例》（2006年1月国务院令第458号，2016年2月修改）</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 xml:space="preserve">第二条：“本条例所称娱乐场所，是指以营利为目的，并向公众开放、消费者自娱自乐的歌舞、游艺等场所。”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 xml:space="preserve">第九条:“娱乐场所申请从事娱乐场所经营活动，应当向所在地县级人民政府文化主管部门提出申请；中外合资经营、中外合作经营的娱乐场所申请从事娱乐场所经营活动，应当向所在地省、自治区、直辖市人民政府文化主管部门提出申请。”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b w:val="0"/>
                <w:bCs/>
                <w:color w:val="auto"/>
                <w:position w:val="6"/>
                <w:sz w:val="28"/>
                <w:szCs w:val="28"/>
              </w:rPr>
              <w:t>3</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文化部关于落实“先照后证”改进文化市场行政审批工作的通知》（文市函〔2015〕627号）一、贯彻落实文化市场主体准入“先照后证”制度：“（一）根据国务院部署，文化部将涉及演出、娱乐、网络文化等主体准入审批项目实施‘先照后证’制度。文化行政部门要按照便捷、高效、规范原则，完善工作流程，落实监管责任，依法规范行政审批工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3080" w:firstLineChars="110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53"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0"/>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both"/>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kern w:val="0"/>
                <w:sz w:val="28"/>
                <w:szCs w:val="28"/>
              </w:rPr>
              <w:t>非国有文物收藏单位和其他单位借用国有文物收藏单位馆藏文物审批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5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280" w:firstLineChars="1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中华人民共和国文物保护法</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lang w:val="en-US" w:eastAsia="zh-CN"/>
              </w:rPr>
              <w:t xml:space="preserve">  </w:t>
            </w:r>
            <w:r>
              <w:rPr>
                <w:rFonts w:hint="eastAsia" w:ascii="仿宋" w:hAnsi="仿宋" w:eastAsia="仿宋" w:cs="仿宋"/>
                <w:b w:val="0"/>
                <w:bCs/>
                <w:color w:val="auto"/>
                <w:position w:val="6"/>
                <w:sz w:val="28"/>
                <w:szCs w:val="28"/>
              </w:rPr>
              <w:t>2002年主席令第76号，2015年4月修订</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280" w:firstLineChars="1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b w:val="0"/>
                <w:bCs/>
                <w:color w:val="auto"/>
                <w:position w:val="6"/>
                <w:sz w:val="28"/>
                <w:szCs w:val="28"/>
              </w:rPr>
              <w:t xml:space="preserve"> 四十条第二款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三款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国有文物收藏单位之间因举办展览、科学研究等需借用馆藏文物的，应当报主管的文物行政部门备案；借用馆藏一级文物的，应当经省、自治区、直辖市人民政府文物行政部门批准，并报国务院文物行政部门备案。非国有文物收藏单位和其他单位举办展览需借用国有馆藏文物的，应当报主管的文物行政部门批准；借用国有馆藏一级文物，应当经国务院文物行政部门批准。 </w:t>
            </w:r>
            <w:r>
              <w:rPr>
                <w:rFonts w:hint="eastAsia" w:ascii="仿宋" w:hAnsi="仿宋" w:eastAsia="仿宋" w:cs="仿宋"/>
                <w:b w:val="0"/>
                <w:bCs/>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5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《中华人民共和国文物保护法》第四十条</w:t>
            </w:r>
            <w:r>
              <w:rPr>
                <w:rFonts w:hint="eastAsia" w:ascii="仿宋" w:hAnsi="仿宋" w:eastAsia="仿宋" w:cs="仿宋"/>
                <w:b w:val="0"/>
                <w:bCs/>
                <w:color w:val="auto"/>
                <w:position w:val="6"/>
                <w:sz w:val="28"/>
                <w:szCs w:val="28"/>
              </w:rPr>
              <w:t>二款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三款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国有文物收藏单位之间因举办展览、科学研究等需借用馆藏文物的，应当报主管的文物行政部门备案；借用馆藏一级文物的，应当经省、自治区、直辖市人民政府文物行政部门批准，并报国务院文物行政部门备案。非国有文物收藏单位和其他单位举办展览需借用国有馆藏文物的，应当报主管的文物行政部门批准；借用国有馆藏一级文物，应当经国务院文物行政部门批准。 </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第三十七条 行政机关对行政许可申请进行审查后，除当场作出行政许可决定的外，应当在法定期限内按照规定程序作出行政许可决定。</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 xml:space="preserve">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 xml:space="preserve">第四十条 行政机关作出的准予行政许可决定，应当予以公开，公众有权查阅。第四十四条 行政机关作出准予行政许可的决定，应当自作出决定之日起十日内向申请人颁发、送达行政许可证件，或者加贴标签、加盖检验、检测、检疫印章。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 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53"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21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5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6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left"/>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kern w:val="0"/>
                <w:sz w:val="28"/>
                <w:szCs w:val="28"/>
              </w:rPr>
              <w:t>对文物保护单位、未核定为文物保护单位的不可移动文物修缮许可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《中华人民共和国文物保护法》（1982年11月19日第五届全国人大常委会令第11号，2015年4月24日予以修改）</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rPr>
              <w:t>第二十一条第二款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对文物保护单位进行修缮，应当根据文物保护单位的级别报相应的文物行政部门批准；对未核定为文物保护单位的不可移动文物进行修缮，应当报登记的县级人民政府文物行政部门批准。</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2.</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中华人民共和国文物保护法</w:t>
            </w:r>
            <w:r>
              <w:rPr>
                <w:rFonts w:hint="eastAsia" w:ascii="仿宋" w:hAnsi="仿宋" w:eastAsia="仿宋" w:cs="仿宋"/>
                <w:b w:val="0"/>
                <w:bCs/>
                <w:color w:val="auto"/>
                <w:position w:val="6"/>
                <w:sz w:val="28"/>
                <w:szCs w:val="28"/>
                <w:lang w:eastAsia="zh-CN"/>
              </w:rPr>
              <w:t>实施条例》（</w:t>
            </w:r>
            <w:r>
              <w:rPr>
                <w:rFonts w:hint="eastAsia" w:ascii="仿宋" w:hAnsi="仿宋" w:eastAsia="仿宋" w:cs="仿宋"/>
                <w:b w:val="0"/>
                <w:bCs/>
                <w:color w:val="auto"/>
                <w:position w:val="6"/>
                <w:sz w:val="28"/>
                <w:szCs w:val="28"/>
                <w:lang w:val="en-US" w:eastAsia="zh-CN"/>
              </w:rPr>
              <w:t>2003年5月</w:t>
            </w:r>
            <w:r>
              <w:rPr>
                <w:rFonts w:hint="eastAsia" w:ascii="仿宋" w:hAnsi="仿宋" w:eastAsia="仿宋" w:cs="仿宋"/>
                <w:b w:val="0"/>
                <w:bCs/>
                <w:color w:val="auto"/>
                <w:position w:val="6"/>
                <w:sz w:val="28"/>
                <w:szCs w:val="28"/>
              </w:rPr>
              <w:t>中华人民共和国国务院令第377号</w:t>
            </w:r>
            <w:r>
              <w:rPr>
                <w:rFonts w:hint="eastAsia" w:ascii="仿宋" w:hAnsi="仿宋" w:eastAsia="仿宋" w:cs="仿宋"/>
                <w:b w:val="0"/>
                <w:bCs/>
                <w:color w:val="auto"/>
                <w:position w:val="6"/>
                <w:sz w:val="28"/>
                <w:szCs w:val="28"/>
                <w:lang w:eastAsia="zh-CN"/>
              </w:rPr>
              <w:t>公布，</w:t>
            </w:r>
            <w:r>
              <w:rPr>
                <w:rFonts w:hint="eastAsia" w:ascii="仿宋" w:hAnsi="仿宋" w:eastAsia="仿宋" w:cs="仿宋"/>
                <w:b w:val="0"/>
                <w:bCs/>
                <w:color w:val="auto"/>
                <w:position w:val="6"/>
                <w:sz w:val="28"/>
                <w:szCs w:val="28"/>
                <w:lang w:val="en-US" w:eastAsia="zh-CN"/>
              </w:rPr>
              <w:t>2016年1月修订</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rPr>
              <w:t>第十五条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承担文物保护单位的修缮、迁移、重建工程的单位，应当同时取得文物行政主管部门发给的相应等级的文物保护工程资质证书和建设行政主管部门发给的相应等级的资质证书。其中，不涉及建筑活动的文物保护单位的修缮、迁移、重建，应当由取得文物行政主管部门发给的相应等级的文物保护工程资质证书的单位承担。</w:t>
            </w:r>
            <w:r>
              <w:rPr>
                <w:rFonts w:hint="eastAsia" w:ascii="仿宋" w:hAnsi="仿宋" w:eastAsia="仿宋" w:cs="仿宋"/>
                <w:b w:val="0"/>
                <w:bCs/>
                <w:color w:val="auto"/>
                <w:position w:val="6"/>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3.</w:t>
            </w:r>
            <w:r>
              <w:rPr>
                <w:rFonts w:hint="eastAsia" w:ascii="仿宋" w:hAnsi="仿宋" w:eastAsia="仿宋" w:cs="仿宋"/>
                <w:b w:val="0"/>
                <w:bCs/>
                <w:color w:val="auto"/>
                <w:position w:val="6"/>
                <w:sz w:val="28"/>
                <w:szCs w:val="28"/>
                <w:lang w:eastAsia="zh-CN"/>
              </w:rPr>
              <w:t>《中华人民共和国文物保护法》（1982年11月19日第五届全国人大常委会令第11号，2015年4月24日予以修改）第二十一条：对文物保护单位进行修缮，应当根据文物保护单位的级别报相应的文物行政部门批准；对未核定为文物保护单位的不可移动文物进行修缮，应当报登记的县级人民政府文物行政部门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5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1.《中华人民共和国行政许可法》第三十条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color w:val="auto"/>
                <w:position w:val="6"/>
                <w:sz w:val="28"/>
                <w:szCs w:val="28"/>
                <w:lang w:val="en-US" w:eastAsia="zh-CN"/>
              </w:rPr>
              <w:t xml:space="preserve"> 2.《中华人民共和国文物保护法》</w:t>
            </w:r>
            <w:r>
              <w:rPr>
                <w:rFonts w:hint="eastAsia" w:ascii="仿宋" w:hAnsi="仿宋" w:eastAsia="仿宋" w:cs="仿宋"/>
                <w:b w:val="0"/>
                <w:bCs/>
                <w:color w:val="auto"/>
                <w:position w:val="6"/>
                <w:sz w:val="28"/>
                <w:szCs w:val="28"/>
              </w:rPr>
              <w:t>第二款</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对文物保护单位进行修缮，应当根据文物保护单位的级别报相应的文物行政部门批准；对未核定为文物保护单位的不可移动文物进行修缮，应当报登记的县级人民政府文物行政部门批准。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文物保护单位的修缮、迁移、重建，由取得文物保护工程资质证书的单位承担。</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rPr>
              <w:t>对不可移动文物进行修缮、保养、迁移，必须遵守不改变文物原状的原则。</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3.《中华人民共和国行政许可法》第三十八条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 4.参照《中华人民共和国行政许可法》第六十一条 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55"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7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5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both"/>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县级文物保护单位建设控制地带内建设工程设计方案审核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 xml:space="preserve">   </w:t>
            </w:r>
            <w:r>
              <w:rPr>
                <w:rFonts w:hint="eastAsia" w:ascii="仿宋" w:hAnsi="仿宋" w:eastAsia="仿宋" w:cs="仿宋"/>
                <w:b w:val="0"/>
                <w:bCs/>
                <w:color w:val="auto"/>
                <w:position w:val="6"/>
                <w:sz w:val="28"/>
                <w:szCs w:val="28"/>
                <w:lang w:eastAsia="zh-CN"/>
              </w:rPr>
              <w:t>《中华人民共和国文物保护法》</w:t>
            </w:r>
            <w:r>
              <w:rPr>
                <w:rFonts w:hint="eastAsia" w:ascii="仿宋" w:hAnsi="仿宋" w:eastAsia="仿宋" w:cs="仿宋"/>
                <w:b w:val="0"/>
                <w:bCs/>
                <w:color w:val="auto"/>
                <w:position w:val="6"/>
                <w:sz w:val="28"/>
                <w:szCs w:val="28"/>
                <w:lang w:val="en-US" w:eastAsia="zh-CN"/>
              </w:rPr>
              <w:t xml:space="preserve"> </w:t>
            </w:r>
            <w:r>
              <w:rPr>
                <w:rFonts w:hint="eastAsia" w:ascii="仿宋" w:hAnsi="仿宋" w:eastAsia="仿宋" w:cs="仿宋"/>
                <w:b w:val="0"/>
                <w:bCs/>
                <w:color w:val="auto"/>
                <w:position w:val="6"/>
                <w:sz w:val="28"/>
                <w:szCs w:val="28"/>
                <w:lang w:eastAsia="zh-CN"/>
              </w:rPr>
              <w:t xml:space="preserve">2002年10月中华人民共和国主席令第76号，2015年4月第四次修正 </w:t>
            </w:r>
          </w:p>
          <w:p>
            <w:pPr>
              <w:keepNext w:val="0"/>
              <w:keepLines w:val="0"/>
              <w:pageBreakBefore w:val="0"/>
              <w:widowControl w:val="0"/>
              <w:numPr>
                <w:ilvl w:val="0"/>
                <w:numId w:val="1"/>
              </w:numPr>
              <w:kinsoku/>
              <w:wordWrap/>
              <w:overflowPunct/>
              <w:topLinePunct w:val="0"/>
              <w:autoSpaceDE/>
              <w:autoSpaceDN/>
              <w:bidi w:val="0"/>
              <w:adjustRightInd/>
              <w:snapToGrid/>
              <w:spacing w:line="320" w:lineRule="atLeast"/>
              <w:ind w:left="0" w:leftChars="0"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eastAsia="zh-CN"/>
              </w:rPr>
              <w:t>第二款：“在文物保护单位的建设控制地带内进行建设工程，不得破坏文物保护单位的历史风貌；工程设计方案应当根据文物保护单位的级别，经相应的文物行政部门同意后，报城乡建设规划部门批准。”</w:t>
            </w:r>
          </w:p>
          <w:p>
            <w:pPr>
              <w:keepNext w:val="0"/>
              <w:keepLines w:val="0"/>
              <w:pageBreakBefore w:val="0"/>
              <w:widowControl w:val="0"/>
              <w:numPr>
                <w:ilvl w:val="0"/>
                <w:numId w:val="0"/>
              </w:numPr>
              <w:kinsoku/>
              <w:wordWrap/>
              <w:overflowPunct/>
              <w:topLinePunct w:val="0"/>
              <w:autoSpaceDE/>
              <w:autoSpaceDN/>
              <w:bidi w:val="0"/>
              <w:adjustRightInd/>
              <w:snapToGrid/>
              <w:spacing w:line="320" w:lineRule="atLeast"/>
              <w:ind w:right="0" w:rightChars="0"/>
              <w:jc w:val="left"/>
              <w:textAlignment w:val="auto"/>
              <w:outlineLvl w:val="9"/>
              <w:rPr>
                <w:rFonts w:hint="eastAsia" w:ascii="仿宋" w:hAnsi="仿宋" w:eastAsia="仿宋" w:cs="仿宋"/>
                <w:b w:val="0"/>
                <w:bCs/>
                <w:color w:val="auto"/>
                <w:position w:val="6"/>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4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 xml:space="preserve">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 xml:space="preserve">《中华人民共和国文物保护法》第十八条 在文物保护单位的建设控制地带内进行建设工程，不得破坏文物保护单位的历史风貌；工程设计方案应当根据文物保护单位的级别，经相应的文物行政部门同意后，报城乡建设规划部门批准。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 xml:space="preserve">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 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9"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42"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2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4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tbl>
      <w:tblPr>
        <w:tblStyle w:val="6"/>
        <w:tblW w:w="9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0"/>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45" w:type="dxa"/>
            <w:vAlign w:val="center"/>
          </w:tcPr>
          <w:p>
            <w:pPr>
              <w:pStyle w:val="23"/>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县级文物保护单位原址保护措施审批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《中华人民共和国文物保护法》 </w:t>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2002年10月中华人民共和国主席令第76号，2015年4月第四次修正</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 xml:space="preserve"> 第二十条：“ 建设工程选址，应当尽可能避开不可移动文物；因特殊情况不能避开的，对文物保护单位应当尽可能实施原址保护。实施原址保护的，建设单位应当事先确定保护措施，根据文物保护单位的级别报相应的文物行政部门批准，并将保护措施列入可行性研究报告或者设计任务书。” </w:t>
            </w:r>
          </w:p>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4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2.《中华人民共和国文物保护法》第二十条 实施原址保护的，建设单位应当事先确定保护措施，根据文物保护单位的级别报相应的文物行政部门批准，并将保护措施列入可行性研究报告或者设计任务书。</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3.</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 xml:space="preserve">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 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45"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7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4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tbl>
      <w:tblPr>
        <w:tblStyle w:val="6"/>
        <w:tblW w:w="9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6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i w:val="0"/>
                <w:color w:val="auto"/>
                <w:kern w:val="0"/>
                <w:sz w:val="28"/>
                <w:szCs w:val="28"/>
                <w:u w:val="none"/>
                <w:lang w:val="en-US" w:eastAsia="zh-CN" w:bidi="ar"/>
              </w:rPr>
              <w:t>内部资料性出版物准印证核发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lang w:eastAsia="zh-CN"/>
              </w:rPr>
              <w:t>《印刷业管理条例》（2001年8月2日国务院令第315号发布 根据2016年2月6日《国务院关于修改部分行政法规的决定》第一次修订 根据2017年3月1日《国务院关于修改和废止部分行政法规的决定》第二次修订）第二十条第一款：“印刷企业接受委托印刷内部资料性出版物的，必须验证县级以上地方人民政府出版行政部门核发的准印证。”</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 xml:space="preserve">《内部资料性出版物管理办法》（2015年新闻出版广电总局令第2号公布）第四条：“编印内部资料，应当向所在地省、自治区、直辖市新闻出版行政部门提出申请，经审核批准，领取《准印证》后，方可从事编印活动。”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二十五条：“省、自治区、直辖市新闻出版行政部门可根据本地区内部资料管理的情况，对本办法规定的内部资料的审批条件和审批程序作出具体规定，也可以规定由副省级以下新闻出版行政部门承担部分审批职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right="0" w:rightChars="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《印刷业管理条例》国务院法规（2001年国务院令第315号， 2016年修订）</w:t>
            </w:r>
            <w:r>
              <w:rPr>
                <w:rFonts w:hint="eastAsia" w:ascii="仿宋" w:hAnsi="仿宋" w:eastAsia="仿宋" w:cs="仿宋"/>
                <w:color w:val="auto"/>
                <w:sz w:val="28"/>
                <w:szCs w:val="28"/>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right="0" w:rightChars="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第十九条</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印刷企业接受委托印刷内部资料性出版物的，必须验证县级以上地方人民政府出版行政部门核发的准印证。印刷企业接受委托印刷宗教内容的内部资料性出版物的，必须查验证省、自治区、直辖市人民政府宗教事务管理部门的批准文件和省、自治区、直辖市人民政府出版行政部门核发的准印证。出版行政部门应当自收到印刷内部资料性出版物或者印刷宗教内容的内部资料性出版物的申请之日起30日内作出是否核发准印证的决定，并通知申请人；逾期不作出决定的，视为同意印刷。</w:t>
            </w:r>
            <w:r>
              <w:rPr>
                <w:rFonts w:hint="eastAsia" w:ascii="仿宋" w:hAnsi="仿宋" w:eastAsia="仿宋" w:cs="仿宋"/>
                <w:color w:val="auto"/>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right="0" w:rightChars="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《内部资料性出版物管理办法》部门规章（2015年2月10日国家新闻出版广电总局令第2号）</w:t>
            </w:r>
            <w:r>
              <w:rPr>
                <w:rFonts w:hint="eastAsia" w:ascii="仿宋" w:hAnsi="仿宋" w:eastAsia="仿宋" w:cs="仿宋"/>
                <w:color w:val="auto"/>
                <w:sz w:val="28"/>
                <w:szCs w:val="28"/>
              </w:rPr>
              <w:tab/>
            </w:r>
          </w:p>
          <w:p>
            <w:pPr>
              <w:keepNext w:val="0"/>
              <w:keepLines w:val="0"/>
              <w:pageBreakBefore w:val="0"/>
              <w:widowControl w:val="0"/>
              <w:numPr>
                <w:ilvl w:val="0"/>
                <w:numId w:val="0"/>
              </w:numPr>
              <w:kinsoku/>
              <w:wordWrap/>
              <w:overflowPunct/>
              <w:topLinePunct w:val="0"/>
              <w:autoSpaceDE/>
              <w:autoSpaceDN/>
              <w:bidi w:val="0"/>
              <w:adjustRightInd/>
              <w:snapToGrid/>
              <w:spacing w:line="360" w:lineRule="atLeast"/>
              <w:ind w:right="0" w:rightChars="0" w:firstLine="560" w:firstLineChars="200"/>
              <w:jc w:val="both"/>
              <w:textAlignment w:val="auto"/>
              <w:outlineLvl w:val="9"/>
              <w:rPr>
                <w:rFonts w:hint="eastAsia" w:ascii="仿宋" w:hAnsi="仿宋" w:eastAsia="仿宋" w:cs="仿宋"/>
                <w:color w:val="auto"/>
                <w:sz w:val="28"/>
                <w:szCs w:val="28"/>
              </w:rPr>
            </w:pPr>
            <w:r>
              <w:rPr>
                <w:rFonts w:hint="eastAsia" w:ascii="仿宋" w:hAnsi="仿宋" w:eastAsia="仿宋" w:cs="仿宋"/>
                <w:color w:val="auto"/>
                <w:sz w:val="28"/>
                <w:szCs w:val="28"/>
              </w:rPr>
              <w:t>第二条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凡从事内部资料性出版物编印和发送活动，必须遵守本办法。本办法所称内部资料性出版物（以下简称内部资料），是指在本行业、本系统、本单位内部，用于指导工作、交流信息的非卖性单本成册或连续性折页、散页印刷品，不包括机关公文性的简报等信息资料。内部资料分为一次性内部资料和连续性内部资料。</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sz w:val="28"/>
                <w:szCs w:val="28"/>
              </w:rPr>
              <w:t>第三条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对内部资料的编印，实行核发《内部资料性出版物准印证》(以下简称《准印证》)管理。未经批准取得《准印证》,任何单位和个人不得从事内部资料的编印活动。</w:t>
            </w:r>
            <w:r>
              <w:rPr>
                <w:rFonts w:hint="eastAsia" w:ascii="仿宋" w:hAnsi="仿宋" w:eastAsia="仿宋" w:cs="仿宋"/>
                <w:color w:val="auto"/>
                <w:sz w:val="28"/>
                <w:szCs w:val="28"/>
                <w:lang w:eastAsia="zh-CN"/>
              </w:rPr>
              <w:t>”</w:t>
            </w:r>
            <w:r>
              <w:rPr>
                <w:rFonts w:hint="eastAsia" w:ascii="仿宋" w:hAnsi="仿宋" w:eastAsia="仿宋" w:cs="仿宋"/>
                <w:color w:val="auto"/>
                <w:position w:val="6"/>
                <w:sz w:val="28"/>
                <w:szCs w:val="2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692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中华人民共和国行政许可法》（主席令第7号）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rPr>
              <w:t>《印刷业管理条例》（国务院令第315号）第四十六条：出版行政部门、公安部门、工商行政管理部门或者其他有关部门违反本条例规定，擅自批准不符合设立条件的印刷企业，或者不履行监督职责，或者发现违法行为不予查处，造成严重后果的，对负责的主管人员和其他直接责任人员给予降级或者撤职的行政处分;构成犯罪的，依法追究刑事责任。</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6923"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692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tbl>
      <w:tblPr>
        <w:tblStyle w:val="6"/>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7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64" w:type="dxa"/>
            <w:vAlign w:val="center"/>
          </w:tcPr>
          <w:p>
            <w:pPr>
              <w:pStyle w:val="23"/>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出版物零售单位和个体工商户设立、变更审批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6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1.《出版物市场管理规定》（2016年新闻出版广电总局、商务部令第10号）</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第十条：“单位、个人申请从事出版物零售业务，须报所在地县级人民政府出版行政主管部门审批。”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2.《出版管理条例》</w:t>
            </w:r>
            <w:r>
              <w:rPr>
                <w:rFonts w:hint="eastAsia" w:ascii="仿宋" w:hAnsi="仿宋" w:eastAsia="仿宋" w:cs="仿宋"/>
                <w:color w:val="auto"/>
                <w:position w:val="6"/>
                <w:sz w:val="28"/>
                <w:szCs w:val="28"/>
                <w:lang w:val="en-US" w:eastAsia="zh-CN"/>
              </w:rPr>
              <w:tab/>
            </w:r>
            <w:r>
              <w:rPr>
                <w:rFonts w:hint="eastAsia" w:ascii="仿宋" w:hAnsi="仿宋" w:eastAsia="仿宋" w:cs="仿宋"/>
                <w:color w:val="auto"/>
                <w:position w:val="6"/>
                <w:sz w:val="28"/>
                <w:szCs w:val="28"/>
                <w:lang w:val="en-US" w:eastAsia="zh-CN"/>
              </w:rPr>
              <w:t>2011年国务院令第594号</w:t>
            </w:r>
            <w:r>
              <w:rPr>
                <w:rFonts w:hint="eastAsia" w:ascii="仿宋" w:hAnsi="仿宋" w:eastAsia="仿宋" w:cs="仿宋"/>
                <w:color w:val="auto"/>
                <w:position w:val="6"/>
                <w:sz w:val="28"/>
                <w:szCs w:val="28"/>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第三十五条：“单位和个体工商户从事出版物零售业务的，须经县级人民政府出版行政主管部门审核许可，取得《出版物经营许可证》。”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lang w:eastAsia="zh-CN"/>
              </w:rPr>
              <w:t>《出版物市场管理规定》（2016年新闻出版广电总局、商务部令第10号）</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第十九条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lang w:eastAsia="zh-CN"/>
              </w:rPr>
              <w:t>从事出版物发行业务的单位、个人变更出版物经营许可证登记事项，或者兼并、合并、分立的，应当依照本规定到原批准的出版行政主管部门办理审批手续。出版行政主管部门自受理申请之日起20个工作日内作出批准或者不予批准的决定。批准的，由出版行政主管部门换发出版物经营许可证；不予批准的，应当向申请单位、个人书面说明理由。</w:t>
            </w:r>
            <w:r>
              <w:rPr>
                <w:rFonts w:hint="eastAsia" w:ascii="仿宋" w:hAnsi="仿宋" w:eastAsia="仿宋" w:cs="仿宋"/>
                <w:color w:val="auto"/>
                <w:position w:val="6"/>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64"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64"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0" w:firstLineChars="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6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6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7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9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92"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val="en-US" w:eastAsia="zh-CN"/>
              </w:rPr>
              <w:t>电影放映单位设立审批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27"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电影管理条例》国务院令第342号）第三十八条：“设立电影放映单位，应当向所在地县或者设区的市人民政府电影行政部门提出申请。所在地县或者设区的市人民政府电影行政部门应当自收到申请书之日起60日内作出批准或者不批准的决定，并通知申请人。批准的，发给《电影放映经营许可证》，申请人持《电影放映经营许可证》到所在地工商行政管理部门登记，依法领取营业执照；不批准的，应当说明理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国务院关于第六批取消和调整行政审批项目的决定》（国发〔2012〕52号）附件2《国务院决定调整的行政审批项目目录》第65项：“电影放映单位设立、变更业务范围或者兼并、合并、分立审批”下放县级人民政府广播电影电视行政部门。</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3.《国务院关于第二批取消152项中央指定地方实施行政审批事项的决定》（国发〔2016〕9号）第56项：电影放映单位变更业务范围或者兼并、合并、分立审批。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843" w:firstLineChars="3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1.受理责任：公示应当提交的材料，一次性告知补正材料，依法受理或不予受理（不予受理应当告知理由）。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3.决定责任：作出行政许可或者不予行政许可决定，法定告知（不予许可的应当书面告知理由）。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4.事后监管责任：建立实施监督检查的运行机制和管理制度，开展定期和不定期检查，依法采取相关处置措施。</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92"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《中华人民共和国行政许可法》第三十条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《中华人民共和国行政许可法》第三十八条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color w:val="auto"/>
                <w:position w:val="6"/>
                <w:sz w:val="28"/>
                <w:szCs w:val="28"/>
                <w:lang w:eastAsia="zh-CN"/>
              </w:rPr>
              <w:br w:type="textWrapping"/>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第三十九条 行政机关作出准予行政许可的决定，需要颁发行政许可证件的，应当向申请人颁发加盖本行政机关印章的行政许可证件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第四十条 行政机关作出的准予行政许可决定，应当予以公开，公众有权查阅。</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第四十四条 行政机关作出准予行政许可的决定，应当自作出决定之日起十日内向申请人颁发、送达行政许可证件，或者加贴标签、加盖检验、检测、检疫印章。</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 xml:space="preserve">《电影管理条例》第四条国务院广播电影电视行政部门主管全国电影工作。县级以上地方人民政府管理电影的行政部门（以下简称电影行政部门），依照本条例的规定负责本行政区域内的电影管理工作。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leftChars="200" w:right="0" w:rightChars="0"/>
              <w:jc w:val="both"/>
              <w:textAlignment w:val="auto"/>
              <w:outlineLvl w:val="9"/>
              <w:rPr>
                <w:rFonts w:hint="eastAsia" w:ascii="仿宋" w:hAnsi="仿宋" w:eastAsia="仿宋" w:cs="仿宋"/>
                <w:color w:val="auto"/>
                <w:position w:val="6"/>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99"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92"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2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92"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
        <w:gridCol w:w="1906"/>
        <w:gridCol w:w="34"/>
        <w:gridCol w:w="7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both"/>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209" w:type="dxa"/>
            <w:gridSpan w:val="2"/>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pStyle w:val="23"/>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设置卫星电视广播地面接收设施审批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209"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 xml:space="preserve">1.《卫星电视广播地面接收设施管理规定》（1993年国务院令第129号公布）第八条：“单位设置卫星地面接收设施的，必须向当地县、市人民政府广播电视行政部门提出申请，报省、自治区、直辖市人民政府广播电视行政部门审批，凭审批机关开具的证明购买卫星地面接收设施。卫星地面接收设施安装完毕，由审批机关发给《接收卫星传送的电视节目许可证》。”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eastAsia="zh-CN"/>
              </w:rPr>
              <w:t xml:space="preserve">2.《〈卫星电视广播地面接收设施管理规定〉实施细则》（1994年广电部令第11号公布）第五条：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第六条：“个人不得安装和使用卫星地面设施。但在收不到当地电视台电视节目的地区，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第六条：个人不得安装和使用卫星地面设施。但在收不到当地电视台电视节目的地区，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0" w:firstLineChars="0"/>
              <w:jc w:val="center"/>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b/>
                <w:bCs/>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p>
        </w:tc>
        <w:tc>
          <w:tcPr>
            <w:tcW w:w="7209" w:type="dxa"/>
            <w:gridSpan w:val="2"/>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（2003年主席令第7号公布）第三十条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第三十二条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第四十条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行政机关作出的准予行政许可决定，应当予以公开，公众有权查阅。 </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行政机关应当建立健全监督制度，通过核查反映被许可人从事行政许可事项活动情况的有关材料，履行监督责任。</w:t>
            </w:r>
            <w:r>
              <w:rPr>
                <w:rFonts w:hint="eastAsia" w:ascii="仿宋" w:hAnsi="仿宋" w:eastAsia="仿宋" w:cs="仿宋"/>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209" w:type="dxa"/>
            <w:gridSpan w:val="2"/>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25"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209"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440"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476"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470"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both"/>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75"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val="en-US" w:eastAsia="zh-CN"/>
              </w:rPr>
              <w:t>乡镇设立广播电视站和机关、部队、团体、企业事业单位设立有线广播电视站审批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90"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1.《广播电视管理条例》1997年国务院令第228号</w:t>
            </w:r>
          </w:p>
          <w:p>
            <w:pPr>
              <w:keepNext w:val="0"/>
              <w:keepLines w:val="0"/>
              <w:pageBreakBefore w:val="0"/>
              <w:widowControl w:val="0"/>
              <w:numPr>
                <w:ilvl w:val="0"/>
                <w:numId w:val="2"/>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 xml:space="preserve">：“乡、镇设立广播电视站的，由所在地县级以上人民政府广播电视行政部门负责审核，并按照国务院广播电视行政部门的有关规定审批。机关、部队、团体、企业事业单位设立有线广播电视站的，按照国务院有关规定审批。”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2.《广播电视站审批管理暂行规定》（国家广播电影电视总局令第32号 2004年8月10日实施） 第二条 省级广播电视行政部门根据国家广播电视发展规划和当地广播电视发展的实际情况，制定本辖区内广播电视站的规划和布局，负责本辖区内广播电视站的审批和日常管理工作。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426"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565"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999"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7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 xml:space="preserve">（2003年主席令第7号公布）第三十条 </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第三十二条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第三十九条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第四十条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行政机关作出的准予行政许可决定，应当予以公开，公众有权查阅。</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行政机关应当建立健全监督制度，通过核查反映被许可人从事行政许可事项活动情况的有关材料，履行监督责任。</w:t>
            </w:r>
            <w:r>
              <w:rPr>
                <w:rFonts w:hint="eastAsia" w:ascii="仿宋" w:hAnsi="仿宋" w:eastAsia="仿宋" w:cs="仿宋"/>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999"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75"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 w:type="dxa"/>
          <w:trHeight w:val="502" w:hRule="atLeast"/>
          <w:jc w:val="center"/>
        </w:trPr>
        <w:tc>
          <w:tcPr>
            <w:tcW w:w="194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75"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9"/>
        <w:gridCol w:w="7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56"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val="en-US" w:eastAsia="zh-CN"/>
              </w:rPr>
              <w:t>广播电视视频点播业务许可证（乙种）审批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1.（1997年8月11日中华人民共和国国务院令第228号发布　根据2013年12月7日《国务院关于修改部分行政法规的决定》第一次修订　根据2017年3月1日《国务院关于修改和废止部分行政法规的决定》第二次修订）</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《广播电视管理条例》（国务院令第228号 1997年9月1日实施） 第五条：“国务院广播电视行政部门负责全国的广播电视管理工作。县级以上地方人民政府负责广播电视行政管理工作的部门或者机构（以下统称广播电视行政部门）负责本行政区域内的广播电视管理工作。”　</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2.《广播电视视频点播业务管理办法》（国家广播电影电视总局令第35号 2004年8月10日实施）第四条：“ 国家对视频点播业务实行许可制度。未经许可，任何机构和个人均不得开办视频点播业务。 禁止外商独资、中外合资、中外合作机构申请开办视频点播业务，但符合本办法第八条第一款的除外 。”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 xml:space="preserve"> 第五条：“ 开办视频点播业务须取得《广播电视视频点播业务许可证》。”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第六条 ：“《广播电视视频点播业务许可证》分为甲、乙两种。持有《广播电视视频点播业务许可证(甲种)》的机构，可在许可证载明的行政区域内从事视频点播业务。持有《广播电视视频点播业务许可证（乙种）》的机构，可在许可证载明的宾馆饭店内从事视频点播业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5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1.</w:t>
            </w:r>
            <w:r>
              <w:rPr>
                <w:rFonts w:hint="eastAsia" w:ascii="仿宋" w:hAnsi="仿宋" w:eastAsia="仿宋" w:cs="仿宋"/>
                <w:color w:val="auto"/>
                <w:position w:val="6"/>
                <w:sz w:val="28"/>
                <w:szCs w:val="28"/>
              </w:rPr>
              <w:t>《广播电视管理条例》（国务院令第228号）第五条：“国务院广播电视行政部门负责全国的广播电视管理工作。县级以上地方人民政府负责广播电视行政管理工作的部门或者机构(以下统称广播电视行政部门)负责本行政区域内的广播电视管理工作”、第五十三条：“广播电视行政部门及其工作人员在广播电视管理工作中滥用职权、玩忽职守、徇私舞弊，构成犯罪的，依法追究刑事责任；尚不构成犯罪的，依法给予行政处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r>
              <w:rPr>
                <w:rFonts w:hint="eastAsia" w:ascii="仿宋" w:hAnsi="仿宋" w:eastAsia="仿宋" w:cs="仿宋"/>
                <w:color w:val="auto"/>
                <w:position w:val="6"/>
                <w:sz w:val="28"/>
                <w:szCs w:val="28"/>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3.</w:t>
            </w:r>
            <w:r>
              <w:rPr>
                <w:rFonts w:hint="eastAsia" w:ascii="仿宋" w:hAnsi="仿宋" w:eastAsia="仿宋" w:cs="仿宋"/>
                <w:color w:val="auto"/>
                <w:position w:val="6"/>
                <w:sz w:val="28"/>
                <w:szCs w:val="28"/>
              </w:rPr>
              <w:t xml:space="preserve">《广播电视视频点播业务管理办法》（广电总局令第35号）第三条：“国家广播电影电视总局（以下简称广电总局）负责全国视频点播业务的管理，制定全国视频点播业务总体规划，确定视频点播开办机构的总量、布局。县级以上地方广播电视行政部门负责本辖区内视频点播业务的管理”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val="en-US" w:eastAsia="zh-CN"/>
              </w:rPr>
              <w:t>4.</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行政机关作出准予行政许可的决定，应当自作出决定之日起十日内向申请人颁发、送达行政许可证件，或者加贴标签、加盖检验、检测、检疫印章。</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r>
              <w:rPr>
                <w:rFonts w:hint="eastAsia" w:ascii="仿宋" w:hAnsi="仿宋" w:eastAsia="仿宋" w:cs="仿宋"/>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56"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6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56"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7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both"/>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83"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有线广播电视传输覆盖网工程建设及验收审核（暂停）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8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《广播电视节目传送业务管理办法》（国家广电总局令第33号）第十一条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xml:space="preserve"> 负责受理的广播电视行政部门应按照行政许可法规定的期限和权限，履行受理、审核职责。申请人的申请符合法定标准的，有权作出决定的广播电视行政部门应作出准予行政许可的书面决定；依法作出不予行政许可决定的，应当书面通知申请人并说明理由。</w:t>
            </w:r>
            <w:r>
              <w:rPr>
                <w:rFonts w:hint="eastAsia" w:ascii="仿宋" w:hAnsi="仿宋" w:eastAsia="仿宋" w:cs="仿宋"/>
                <w:b w:val="0"/>
                <w:bCs/>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val="en-US" w:eastAsia="zh-CN"/>
              </w:rPr>
              <w:t>2.</w:t>
            </w:r>
            <w:r>
              <w:rPr>
                <w:rFonts w:hint="eastAsia" w:ascii="仿宋" w:hAnsi="仿宋" w:eastAsia="仿宋" w:cs="仿宋"/>
                <w:color w:val="auto"/>
                <w:position w:val="6"/>
                <w:sz w:val="28"/>
                <w:szCs w:val="28"/>
                <w:lang w:eastAsia="zh-CN"/>
              </w:rPr>
              <w:t>《广播电视管理条例》 1997年8月11日国务院令第228号</w:t>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第二十二条：“ 广播电视传输覆盖网的工程建设和使用的广播电视技术设备，应当符合国家标准、行业标准。工程竣工后，由广播电视行政部门组织验收，验收合格的，方可投入使用。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8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《广播电视节目传送业务管理办法》（国家广电总局令第33号）第十一条 负责受理的广播电视行政部门应按照行政许可法规定的期限和权限，履行受理、审核职责。申请人的申请符合法定标准的，有权作出决定的广播电视行政部门应作出准予行政许可的书面决定；依法作出不予行政许可决定的，应当书面通知申请人并说明理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b w:val="0"/>
                <w:bCs/>
                <w:color w:val="auto"/>
                <w:position w:val="6"/>
                <w:sz w:val="28"/>
                <w:szCs w:val="28"/>
                <w:lang w:val="en-US" w:eastAsia="zh-CN"/>
              </w:rPr>
              <w:t>2.</w:t>
            </w:r>
            <w:r>
              <w:rPr>
                <w:rFonts w:hint="eastAsia" w:ascii="仿宋" w:hAnsi="仿宋" w:eastAsia="仿宋" w:cs="仿宋"/>
                <w:b w:val="0"/>
                <w:bCs/>
                <w:color w:val="auto"/>
                <w:position w:val="6"/>
                <w:sz w:val="28"/>
                <w:szCs w:val="28"/>
                <w:lang w:eastAsia="zh-CN"/>
              </w:rPr>
              <w:t>《中华人民共和国行政许可法》</w:t>
            </w:r>
            <w:r>
              <w:rPr>
                <w:rFonts w:hint="eastAsia" w:ascii="仿宋" w:hAnsi="仿宋" w:eastAsia="仿宋" w:cs="仿宋"/>
                <w:b w:val="0"/>
                <w:bCs/>
                <w:color w:val="auto"/>
                <w:position w:val="6"/>
                <w:sz w:val="28"/>
                <w:szCs w:val="28"/>
              </w:rPr>
              <w:t>第四十条 行政机关作出的准予行政许可决定，应当予以公开，公众有权查阅。第四十四条 行政机关作出准予行政许可的决定，应当自作出决定之日起十日内向申请人颁发、送达行政许可证件，或者加贴标签、加盖检验、检测、检疫印章。</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3</w:t>
            </w:r>
            <w:r>
              <w:rPr>
                <w:rFonts w:hint="eastAsia" w:ascii="仿宋" w:hAnsi="仿宋" w:eastAsia="仿宋" w:cs="仿宋"/>
                <w:b w:val="0"/>
                <w:bCs/>
                <w:color w:val="auto"/>
                <w:position w:val="6"/>
                <w:sz w:val="28"/>
                <w:szCs w:val="28"/>
              </w:rPr>
              <w:t>.《广播电视节目传送业务管理办法》（国家广电总局令第33号）第三条 国家广播电影电视总局（以下简称广电总局）负责全国广播电视节目传送业务的管理。县级以上广播电视行政部门负责本行政区域内广播电视节目传送业务的管理。</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b w:val="0"/>
                <w:bCs/>
                <w:color w:val="auto"/>
                <w:position w:val="6"/>
                <w:sz w:val="28"/>
                <w:szCs w:val="28"/>
              </w:rPr>
              <w:t>第五十三条</w:t>
            </w:r>
            <w:r>
              <w:rPr>
                <w:rFonts w:hint="eastAsia" w:ascii="仿宋" w:hAnsi="仿宋" w:eastAsia="仿宋" w:cs="仿宋"/>
                <w:b w:val="0"/>
                <w:bCs/>
                <w:color w:val="auto"/>
                <w:position w:val="6"/>
                <w:sz w:val="28"/>
                <w:szCs w:val="28"/>
                <w:lang w:eastAsia="zh-CN"/>
              </w:rPr>
              <w:t>：“</w:t>
            </w:r>
            <w:r>
              <w:rPr>
                <w:rFonts w:hint="eastAsia" w:ascii="仿宋" w:hAnsi="仿宋" w:eastAsia="仿宋" w:cs="仿宋"/>
                <w:b w:val="0"/>
                <w:bCs/>
                <w:color w:val="auto"/>
                <w:position w:val="6"/>
                <w:sz w:val="28"/>
                <w:szCs w:val="28"/>
              </w:rPr>
              <w:t>　广播电视行政部门及其工作人员在广播电视管理工作中滥用职权、玩忽职守、徇私舞弊，构成犯罪的，依法追究刑事责任；尚不构成犯罪的，依法给予行政处分</w:t>
            </w:r>
            <w:r>
              <w:rPr>
                <w:rFonts w:hint="eastAsia" w:ascii="仿宋" w:hAnsi="仿宋" w:eastAsia="仿宋" w:cs="仿宋"/>
                <w:b w:val="0"/>
                <w:bCs/>
                <w:color w:val="auto"/>
                <w:position w:val="6"/>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83"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83"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1918"/>
        <w:gridCol w:w="21"/>
        <w:gridCol w:w="7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80"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kern w:val="0"/>
                <w:sz w:val="28"/>
                <w:szCs w:val="28"/>
              </w:rPr>
              <w:t>对新闻出版广电总局负责的广播电台、电视台设立、终止审批的初审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eastAsia="zh-CN"/>
              </w:rPr>
              <w:t xml:space="preserve">《广播电视管理条例》第一款（1997年国务院令第228号公布，2013年国务院令第645号修订，2017年国务院令第676号修订）第十一条：“ 中央的广播电台、电视台由国务院广播电视行政部门设立。地方设立广播电台、电视台的，由县、不设区的市以上地方人民政府广播电视行政部门提出申请，本级人民政府审查同意后，逐级上报，经国务院广播电视行政部门审查批准后，方可筹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843" w:firstLineChars="3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FF0000"/>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8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（2003年主席令第7号公布）第三十条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default"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default" w:ascii="仿宋" w:hAnsi="仿宋" w:eastAsia="仿宋" w:cs="仿宋"/>
                <w:color w:val="auto"/>
                <w:position w:val="6"/>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第三十七条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行政机关对行政许可申请进行审查后，除当场作出行政许可决定的外，应当在法定期限内按照规定程序作出行政许可决定。</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第三十八条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第三十九条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第四十条 行政机关作出的准予行政许可决定，应当予以公开，公众有权查阅。</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FF0000"/>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行政机关应当建立健全监督制度，通过核查反映被许可人从事行政许可事项活动情况的有关材料，履行监督责任。</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45" w:type="dxa"/>
            <w:gridSpan w:val="3"/>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问责依据</w:t>
            </w:r>
          </w:p>
        </w:tc>
        <w:tc>
          <w:tcPr>
            <w:tcW w:w="7180"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45" w:type="dxa"/>
            <w:gridSpan w:val="3"/>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80"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40"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76"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70"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设置卫星电视广播地面接收设施审批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90"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201" w:type="dxa"/>
            <w:gridSpan w:val="2"/>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lang w:eastAsia="zh-CN"/>
              </w:rPr>
              <w:t>《卫星电视广播地面接收设施管理规定》（1993年国务院令第129号公布）第八条：“单位设置卫星地面接收设施的，必须向当地县、市人民政府广播电视行政部门提出申请，报省、自治区、直辖市人民政府广播电视行政部门审批，凭审批机关开具的证明购买卫星地面接收设施。卫星地面接收设施安装完毕，由审批机关发给《接收卫星传送的电视节目许可证》。”</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2.</w:t>
            </w:r>
            <w:r>
              <w:rPr>
                <w:rFonts w:hint="eastAsia" w:ascii="仿宋" w:hAnsi="仿宋" w:eastAsia="仿宋" w:cs="仿宋"/>
                <w:b w:val="0"/>
                <w:bCs/>
                <w:color w:val="auto"/>
                <w:position w:val="6"/>
                <w:sz w:val="28"/>
                <w:szCs w:val="28"/>
                <w:lang w:eastAsia="zh-CN"/>
              </w:rPr>
              <w:t>《〈卫星电视广播地面接收设施管理规定〉实施细则》（1994年广电部令第11号公布）第五条：“凡需设置卫星地面接收设施接收境内电视节目的单位，必须向当地县级以上（含县级）广播电视行政部门提出申请，报地市级广播电视行政部门审批。省、自治区、直辖市的直属单位可直接报省、自治区、直辖市广播电视行政部门审批。”</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280" w:firstLineChars="1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eastAsia="zh-CN"/>
              </w:rPr>
              <w:t xml:space="preserve"> 第六条：“个人不得安装和使用卫星地面设施。但在收不到当地电视台电视节目的地区，个人需设置卫星地面接收设施的，必须经所在单位同意并持其开具的证明，向当地县级以上（含县级）广播电视行政部门提出申请，经地、市级广播电视行政部门和国家安全部门签署意见后报省、自治区、直辖市广播电视行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426"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843" w:firstLineChars="3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3040"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999"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201" w:type="dxa"/>
            <w:gridSpan w:val="2"/>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（2003年主席令第7号公布）第三十条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default"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default" w:ascii="仿宋" w:hAnsi="仿宋" w:eastAsia="仿宋" w:cs="仿宋"/>
                <w:color w:val="auto"/>
                <w:position w:val="6"/>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第三十七条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行政机关对行政许可申请进行审查后，除当场作出行政许可决定的外，应当在法定期限内按照规定程序作出行政许可决定。</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第三十八条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第三十九条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第四十条 行政机关作出的准予行政许可决定，应当予以公开，公众有权查阅。</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行政机关应当建立健全监督制度，通过核查反映被许可人从事行政许可事项活动情况的有关材料，履行监督责任。</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999"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201" w:type="dxa"/>
            <w:gridSpan w:val="2"/>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 w:type="dxa"/>
          <w:trHeight w:val="502" w:hRule="atLeast"/>
          <w:jc w:val="center"/>
        </w:trPr>
        <w:tc>
          <w:tcPr>
            <w:tcW w:w="191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201"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7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i w:val="0"/>
                <w:color w:val="auto"/>
                <w:kern w:val="0"/>
                <w:sz w:val="28"/>
                <w:szCs w:val="28"/>
                <w:u w:val="none"/>
                <w:lang w:val="en-US" w:eastAsia="zh-CN" w:bidi="ar"/>
              </w:rPr>
              <w:t>经营高危险性体育项目许可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24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 xml:space="preserve">《全民健身条例》第三十二条：经营高危险性体育项目的，应当符合下列条件，并向县级以上人民政府体育主管部门提出申请：（一）相关体育设施符合国家标准；（二）具有达到规定数量的取得国家职业资格证书的社会体育指导人员和救助人员； （三）具有相应的安全保障制度和措施。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val="en-US" w:eastAsia="zh-CN"/>
              </w:rPr>
            </w:pPr>
            <w:r>
              <w:rPr>
                <w:rFonts w:hint="eastAsia" w:ascii="仿宋" w:hAnsi="仿宋" w:eastAsia="仿宋" w:cs="仿宋"/>
                <w:b w:val="0"/>
                <w:bCs/>
                <w:color w:val="auto"/>
                <w:position w:val="6"/>
                <w:sz w:val="28"/>
                <w:szCs w:val="28"/>
                <w:lang w:val="en-US" w:eastAsia="zh-CN"/>
              </w:rPr>
              <w:t xml:space="preserve">县级以上人民政府体育主管部门应当自收到申请之日起30日内进行实地核查，做出批准或者不予批准的决定。批准的，应当发给许可证；不予批准的，应当书面通知申请人并说明理由。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b w:val="0"/>
                <w:bCs/>
                <w:color w:val="auto"/>
                <w:position w:val="6"/>
                <w:sz w:val="28"/>
                <w:szCs w:val="28"/>
                <w:lang w:eastAsia="zh-CN"/>
              </w:rPr>
            </w:pPr>
            <w:r>
              <w:rPr>
                <w:rFonts w:hint="eastAsia" w:ascii="仿宋" w:hAnsi="仿宋" w:eastAsia="仿宋" w:cs="仿宋"/>
                <w:b w:val="0"/>
                <w:bCs/>
                <w:color w:val="auto"/>
                <w:position w:val="6"/>
                <w:sz w:val="28"/>
                <w:szCs w:val="28"/>
                <w:lang w:val="en-US" w:eastAsia="zh-CN"/>
              </w:rPr>
              <w:t>申请经营高危险性体育项目的，应当持县级以上人民政府体育主管部门的批准文件，到工商行政管理部门依法办理相关登记手续。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1405" w:firstLineChars="5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24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1.</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2</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全民健身条例》第三十二条：经营高危险性体育项目的，应当符合下列条件，并向县级以上人民政府体育主管部门提出申请：（一）相关体育设施符合国家标准；（二）具有达到规定数量的取得国家职业资格证书的社会体育指导人员和救助人员；（三）具有相应的安全保障制度和措施。县级以上人民政府体育主管部门应当自收到申请之日起３０日内进行实地核查，做出批准或者不予批准的决定。批准的，应当发给许可证；不予批准的，应当书面通知申请人并说明理由。申请经营高危险性体育项目的，应当持县级以上人民政府体育主管部门的批准文件，到工商行政管理部门依法办理相关登记手续。</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国务院体育主管部门应当会同有关部门制定、调整高危险性体育项目目录，经国务院批准后予以公布。</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3.</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第四十四条“行政机关作出准予行政许可的决定，应当自作出决定之日起十日内向申请人颁发、送达行政许可证件，或者加贴标签、加盖检验、检测、检疫印章。”</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4.</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第四十条“行政机关作出准予行政许可的决定，应当予以公开，公众有权查阅。”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249"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0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249"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1"/>
        <w:gridCol w:w="7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124" w:type="dxa"/>
            <w:vAlign w:val="center"/>
          </w:tcPr>
          <w:p>
            <w:pPr>
              <w:pStyle w:val="33"/>
              <w:rPr>
                <w:color w:val="auto"/>
                <w:sz w:val="28"/>
                <w:szCs w:val="28"/>
              </w:rPr>
            </w:pPr>
            <w:r>
              <w:rPr>
                <w:color w:val="auto"/>
                <w:sz w:val="28"/>
                <w:szCs w:val="28"/>
              </w:rPr>
              <w:t>窗体顶端</w:t>
            </w:r>
          </w:p>
          <w:p>
            <w:pPr>
              <w:pStyle w:val="23"/>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i w:val="0"/>
                <w:color w:val="auto"/>
                <w:kern w:val="0"/>
                <w:sz w:val="28"/>
                <w:szCs w:val="28"/>
                <w:u w:val="none"/>
                <w:lang w:val="en-US" w:eastAsia="zh-CN" w:bidi="ar"/>
              </w:rPr>
              <w:t>举办健身气功活动及设立站点审批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12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 xml:space="preserve">1.《国务院对确需保留的行政审批项目设定行政许可的决定》附件第336项：举办健身气功活动及设立站点审批。实施机关：县级以上人民政府体育行政主管部门。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2.《国务院关于第五批取消和下放管理层级行政审批项目的决定》（国发〔2010〕21号）第62项：设立健身气功活动站点审批，下放至县级人民政府体育行政主管部门。</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3.《健身气功管理办法》（国家体育总局令2006年第9号）第五条第一款：举办健身气功活动或设立健身气功站点，应当获得体育行政部门的批准。第十一条：举办健身气功业务培训、交流展示、功法讲座等活动，实行属地管理。举办全国性、跨省（区、市）的健身气功活动，经国家体育总局批准。省（区、市）内举办的健身气功活动，经具有相应管辖权限的体育行政部门批准；跨地区的健身气功活动，经所跨地区共同的上一级体育行政部门批准。参加人数在二百人以上的健身气功活动，除报体育行政部门审核批准外，还应当按照《群众性文化体育活动治安管理办法》的规定经公安机关许可。第十七条：设立健身气功站点，应当经当地街道办事处、乡镇级人民政府或企事业单位有关部门审核同意，报当地具有相应管辖权限的体育行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124"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1.</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2.《健身气功管理暂行办法》（2000年9月国家体育总局第4号）第十条 举办健身气功培训班，须报经当地具有相应管辖权限的体育行政部门审核批准 ；举办参加人数在200人以上的健身气功活动，除报经体育行政部门审核批准外，还须获得同级公安机关许可。</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3.《健身气功管理暂行办法》（2000年9月国家体育总局第4号）第十一条 申请举办健身气功培训班和健身气功活动，须提前15个工作日报送以下材料 ：(一)举办健身气功培训班或活动的申请书；(二)培训或活动的方案；(三)要求提交的其他材料。主管部门应在接到符合要求的上述材料后10个工作日内，向申请人做出是否批准的答复 。予以批准的，还应同时将批准文件抄送同级公安机关并报上一级体育行政部门；不予批准 的，应书面说明理由。</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4.《健身气功管理暂行办法》（2000年9月国家体育总局第4号）第十四条 健身气功活动站、点是群众习练健身气功的场所。建立健身气功活动站、点必须具备以下条件：(一)活动场所安全、适用，并经所在地管理者同意使用；(二)活动时间相对固定；(三)负责人具有合法身份；(四)辅导人员参加过体育行政部门的培训并经考核合格；(五)活动内容健康、科学，符合管理部门的有关规定。</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5.《健身气功管理暂行办法》（2000年9月国家体育总局第4号）第十五条 建立健身气功活动站、点，必须经当地街道办事处、乡镇级人民政府审核同 意，报告地县级体育行政部门注册。</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6.</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第四十四条“行政机关作出准予行政许可的决定，应当自作出决定之日起十日内向申请人颁发、送达行政许可证件，或者加贴标签、加盖检验、检测、检疫印章。”</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7.</w:t>
            </w: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第四十条“行政机关作出准予行政许可的决定，应当予以公开，公众有权查阅。”</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124" w:type="dxa"/>
            <w:vAlign w:val="top"/>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2001"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124"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tbl>
      <w:tblPr>
        <w:tblStyle w:val="6"/>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562" w:firstLineChars="200"/>
              <w:jc w:val="both"/>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序号</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val="en-US" w:eastAsia="zh-CN"/>
              </w:rPr>
            </w:pPr>
            <w:r>
              <w:rPr>
                <w:rFonts w:hint="eastAsia" w:ascii="仿宋" w:hAnsi="仿宋" w:eastAsia="仿宋" w:cs="仿宋"/>
                <w:b/>
                <w:bCs/>
                <w:color w:val="auto"/>
                <w:position w:val="6"/>
                <w:sz w:val="28"/>
                <w:szCs w:val="28"/>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权力类型</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权力项目名称</w:t>
            </w:r>
          </w:p>
        </w:tc>
        <w:tc>
          <w:tcPr>
            <w:tcW w:w="7308" w:type="dxa"/>
            <w:vAlign w:val="center"/>
          </w:tcPr>
          <w:p>
            <w:pPr>
              <w:pStyle w:val="33"/>
              <w:rPr>
                <w:color w:val="auto"/>
                <w:sz w:val="28"/>
                <w:szCs w:val="28"/>
              </w:rPr>
            </w:pPr>
            <w:r>
              <w:rPr>
                <w:color w:val="auto"/>
                <w:sz w:val="28"/>
                <w:szCs w:val="28"/>
              </w:rPr>
              <w:t>窗体顶端</w:t>
            </w:r>
          </w:p>
          <w:p>
            <w:pPr>
              <w:pStyle w:val="34"/>
              <w:rPr>
                <w:color w:val="auto"/>
                <w:sz w:val="28"/>
                <w:szCs w:val="28"/>
              </w:rPr>
            </w:pPr>
            <w:r>
              <w:rPr>
                <w:color w:val="auto"/>
                <w:sz w:val="28"/>
                <w:szCs w:val="28"/>
              </w:rPr>
              <w:t>窗体顶端</w:t>
            </w:r>
          </w:p>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i w:val="0"/>
                <w:color w:val="auto"/>
                <w:kern w:val="0"/>
                <w:sz w:val="28"/>
                <w:szCs w:val="28"/>
                <w:u w:val="none"/>
                <w:lang w:val="en-US" w:eastAsia="zh-CN" w:bidi="ar"/>
              </w:rPr>
              <w:t>临时占用公共体育场（馆）设施审批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实施依据</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left"/>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lang w:eastAsia="zh-CN"/>
              </w:rPr>
              <w:t>《中华人民共和国体育法》</w:t>
            </w:r>
            <w:r>
              <w:rPr>
                <w:rFonts w:hint="eastAsia" w:ascii="仿宋" w:hAnsi="仿宋" w:eastAsia="仿宋" w:cs="仿宋"/>
                <w:color w:val="auto"/>
                <w:position w:val="6"/>
                <w:sz w:val="28"/>
                <w:szCs w:val="28"/>
                <w:lang w:val="en-US" w:eastAsia="zh-CN"/>
              </w:rPr>
              <w:t xml:space="preserve">  </w:t>
            </w:r>
            <w:r>
              <w:rPr>
                <w:rFonts w:hint="eastAsia" w:ascii="仿宋" w:hAnsi="仿宋" w:eastAsia="仿宋" w:cs="仿宋"/>
                <w:color w:val="auto"/>
                <w:position w:val="6"/>
                <w:sz w:val="28"/>
                <w:szCs w:val="28"/>
                <w:lang w:eastAsia="zh-CN"/>
              </w:rPr>
              <w:t>(1995年8月29日第八届全国人民代表大会常务委员会第十五次会议通过 根据2009年8月27日第十一届全国人民代表大会常务委员会第十次会议《关于修改部分法律的决定》第一次修正 根据2016年11月7日第十二届全国人民代表大会常务委员会第二十四次会议《关于修改&lt;中华人民共和国对外贸易法&gt;等十二部法律的决定》第二次修正）第四十五条：公共体育设施应当向社会开放，方便群众开展体育活动，对学生、老年人、残疾人实行优惠办法，提高体育设施的利用率。任何组织和个人不得侵占、破坏公共体育设施。因特殊情况需要临时占用体育设施的，必须经体育行政部门和建设规划部门批准，并及时归还；按照城市规划改变体育场地用途的，应当按照国家有关规定，先行择地新建偿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责任主体</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2" w:firstLineChars="200"/>
              <w:jc w:val="both"/>
              <w:textAlignment w:val="auto"/>
              <w:outlineLvl w:val="9"/>
              <w:rPr>
                <w:rFonts w:hint="eastAsia" w:ascii="仿宋" w:hAnsi="仿宋" w:eastAsia="仿宋" w:cs="仿宋"/>
                <w:b/>
                <w:color w:val="auto"/>
                <w:position w:val="6"/>
                <w:sz w:val="28"/>
                <w:szCs w:val="28"/>
                <w:lang w:eastAsia="zh-CN"/>
              </w:rPr>
            </w:pPr>
            <w:r>
              <w:rPr>
                <w:rFonts w:hint="eastAsia" w:ascii="仿宋" w:hAnsi="仿宋" w:eastAsia="仿宋" w:cs="仿宋"/>
                <w:b/>
                <w:bCs w:val="0"/>
                <w:color w:val="auto"/>
                <w:position w:val="6"/>
                <w:sz w:val="28"/>
                <w:szCs w:val="28"/>
                <w:lang w:eastAsia="zh-CN"/>
              </w:rPr>
              <w:t>阿坝县文化体育广电新闻出版局行政审批股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责任事项</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lang w:val="en-US" w:eastAsia="zh-CN"/>
              </w:rPr>
              <w:t>1</w:t>
            </w:r>
            <w:r>
              <w:rPr>
                <w:rFonts w:hint="eastAsia" w:ascii="仿宋" w:hAnsi="仿宋" w:eastAsia="仿宋" w:cs="仿宋"/>
                <w:b w:val="0"/>
                <w:bCs/>
                <w:color w:val="auto"/>
                <w:position w:val="6"/>
                <w:sz w:val="28"/>
                <w:szCs w:val="28"/>
              </w:rPr>
              <w:t>.受理责任：公示应当提交的材料，一次性告知补正材料，依法受理或不予受理（不予受理应当告知理由）。</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2.审查责任：对书面申请材料进行审查，提出是否同意筹建的审核意见，组织现场检查验收，告知申请人、厉害相关人享有听证权力；涉及公共利益的重大许可，向社会公告并举行听证。</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b w:val="0"/>
                <w:bCs/>
                <w:color w:val="auto"/>
                <w:position w:val="6"/>
                <w:sz w:val="28"/>
                <w:szCs w:val="28"/>
              </w:rPr>
            </w:pPr>
            <w:r>
              <w:rPr>
                <w:rFonts w:hint="eastAsia" w:ascii="仿宋" w:hAnsi="仿宋" w:eastAsia="仿宋" w:cs="仿宋"/>
                <w:b w:val="0"/>
                <w:bCs/>
                <w:color w:val="auto"/>
                <w:position w:val="6"/>
                <w:sz w:val="28"/>
                <w:szCs w:val="28"/>
              </w:rPr>
              <w:t>3.决定责任：作出行政许可或者不予行政许可决定，法定告知（不予许可的应当书面告知理由）。4.事后监管责任：建立实施监督检查的运行机制和管理制度，开展定期和不定期检查，依法采取相关处置措施。</w:t>
            </w:r>
          </w:p>
          <w:p>
            <w:pPr>
              <w:keepNext w:val="0"/>
              <w:keepLines w:val="0"/>
              <w:pageBreakBefore w:val="0"/>
              <w:widowControl w:val="0"/>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b/>
                <w:bCs w:val="0"/>
                <w:color w:val="auto"/>
                <w:position w:val="6"/>
                <w:sz w:val="28"/>
                <w:szCs w:val="28"/>
                <w:lang w:eastAsia="zh-CN"/>
              </w:rPr>
            </w:pPr>
            <w:r>
              <w:rPr>
                <w:rFonts w:hint="eastAsia" w:ascii="仿宋" w:hAnsi="仿宋" w:eastAsia="仿宋" w:cs="仿宋"/>
                <w:b w:val="0"/>
                <w:bCs/>
                <w:color w:val="auto"/>
                <w:position w:val="6"/>
                <w:sz w:val="28"/>
                <w:szCs w:val="28"/>
              </w:rPr>
              <w:t>5.其他责任：法律法规规章规定应履行的其他责任。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rPr>
              <w:t>责任事项</w:t>
            </w:r>
            <w:r>
              <w:rPr>
                <w:rFonts w:hint="eastAsia" w:ascii="仿宋" w:hAnsi="仿宋" w:eastAsia="仿宋" w:cs="仿宋"/>
                <w:b/>
                <w:bCs/>
                <w:color w:val="auto"/>
                <w:position w:val="6"/>
                <w:sz w:val="28"/>
                <w:szCs w:val="28"/>
                <w:lang w:eastAsia="zh-CN"/>
              </w:rPr>
              <w:t>依据</w:t>
            </w:r>
          </w:p>
        </w:tc>
        <w:tc>
          <w:tcPr>
            <w:tcW w:w="7308"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lang w:eastAsia="zh-CN"/>
              </w:rPr>
              <w:t>《中华人民共和国行政许可法》</w:t>
            </w:r>
            <w:r>
              <w:rPr>
                <w:rFonts w:hint="eastAsia" w:ascii="仿宋" w:hAnsi="仿宋" w:eastAsia="仿宋" w:cs="仿宋"/>
                <w:color w:val="auto"/>
                <w:position w:val="6"/>
                <w:sz w:val="28"/>
                <w:szCs w:val="28"/>
              </w:rPr>
              <w:t>（2003年主席令第7号公布）第三十条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default"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第三十四条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行政机关应当对申请人提交的申请材料进行审查。根据法定条件和程序，需要对申请材料的实质内容进行核实的，行政机关应当指派两名以上工作人员进行核查。</w:t>
            </w:r>
            <w:r>
              <w:rPr>
                <w:rFonts w:hint="default" w:ascii="仿宋" w:hAnsi="仿宋" w:eastAsia="仿宋" w:cs="仿宋"/>
                <w:color w:val="auto"/>
                <w:position w:val="6"/>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第三十五条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依法应当先经下级行政机关审查后报上级行政机关决定的行政许可，下级行政机关应当在法定期限内将初步审查意见和全部申请材料直接报送上级行政机关。上级行政机关不得要求申请人重复提供申请材料。</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第三十六条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行政机关对行政许可申请进行审查时，发现行政许可事项直接关系他人重大利益的，应当告知该利害关系人。申请人、利害关系人有权进行陈述和申辩。行政机关应当听取申请人、利害关系人的意见。</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第三十七条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行政机关对行政许可申请进行审查后，除当场作出行政许可决定的外，应当在法定期限内按照规定程序作出行政许可决定。</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eastAsia="zh-CN"/>
              </w:rPr>
            </w:pPr>
            <w:r>
              <w:rPr>
                <w:rFonts w:hint="eastAsia" w:ascii="仿宋" w:hAnsi="仿宋" w:eastAsia="仿宋" w:cs="仿宋"/>
                <w:color w:val="auto"/>
                <w:position w:val="6"/>
                <w:sz w:val="28"/>
                <w:szCs w:val="28"/>
              </w:rPr>
              <w:t>第三十八条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申请人的申请符合法定条件、标准的，行政机关应当依法作出准予行政许可的书面决定。行政机关依法作出不予行政许可的书面决定的，应当说明理由，并告知申请人享有依法申请行政复议或者提起行政诉讼的权利。</w:t>
            </w:r>
            <w:r>
              <w:rPr>
                <w:rFonts w:hint="eastAsia" w:ascii="仿宋" w:hAnsi="仿宋" w:eastAsia="仿宋" w:cs="仿宋"/>
                <w:color w:val="auto"/>
                <w:position w:val="6"/>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第三十九条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行政机关作出准予行政许可的决定，需要颁发行政许可证件的，应当向申请人颁发加盖本行政机关印章的下列行政许可证件：（一）许可证、执照或者其他许可证书；（二）资格证、资质证或者其他合格证书；（三）行政机关的批准文件或者证明文件；（四）法律、法规规定的其他行政许可证件。行政机关实施检验、检测、检疫的，可以在检验、检测、检疫合格的设备、设施、产品、物品上加贴标签或者加盖检验、检测、检疫印章。第四十条 行政机关作出的准予行政许可决定，应当予以公开，公众有权查阅。</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tLeast"/>
              <w:ind w:right="0" w:rightChars="0" w:firstLine="560" w:firstLineChars="200"/>
              <w:jc w:val="both"/>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rPr>
              <w:t>第四十四条</w:t>
            </w:r>
            <w:r>
              <w:rPr>
                <w:rFonts w:hint="eastAsia" w:ascii="仿宋" w:hAnsi="仿宋" w:eastAsia="仿宋" w:cs="仿宋"/>
                <w:color w:val="auto"/>
                <w:position w:val="6"/>
                <w:sz w:val="28"/>
                <w:szCs w:val="28"/>
                <w:lang w:eastAsia="zh-CN"/>
              </w:rPr>
              <w:t>：</w:t>
            </w:r>
            <w:r>
              <w:rPr>
                <w:rFonts w:hint="eastAsia" w:ascii="仿宋" w:hAnsi="仿宋" w:eastAsia="仿宋" w:cs="仿宋"/>
                <w:color w:val="auto"/>
                <w:position w:val="6"/>
                <w:sz w:val="28"/>
                <w:szCs w:val="28"/>
              </w:rPr>
              <w:t xml:space="preserve">“行政机关作出准予行政许可的决定，应当自作出决定之日起十日内向申请人颁发、送达行政许可证件，或者加贴标签、加盖检验、检测、检疫印章。”  </w:t>
            </w:r>
            <w:r>
              <w:rPr>
                <w:rFonts w:hint="eastAsia" w:ascii="仿宋" w:hAnsi="仿宋" w:eastAsia="仿宋" w:cs="仿宋"/>
                <w:color w:val="auto"/>
                <w:position w:val="6"/>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第六十一条</w:t>
            </w:r>
            <w:r>
              <w:rPr>
                <w:rFonts w:hint="eastAsia"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行政机关应当建立健全监督制度，通过核查反映被许可人从事行政许可事项活动情况的有关材料，履行监督责任。</w:t>
            </w:r>
            <w:r>
              <w:rPr>
                <w:rFonts w:hint="default" w:ascii="仿宋" w:hAnsi="仿宋" w:eastAsia="仿宋" w:cs="仿宋"/>
                <w:color w:val="auto"/>
                <w:position w:val="6"/>
                <w:sz w:val="28"/>
                <w:szCs w:val="28"/>
                <w:lang w:val="en-US" w:eastAsia="zh-CN"/>
              </w:rPr>
              <w:t>”</w:t>
            </w:r>
            <w:r>
              <w:rPr>
                <w:rFonts w:hint="eastAsia" w:ascii="仿宋" w:hAnsi="仿宋" w:eastAsia="仿宋" w:cs="仿宋"/>
                <w:color w:val="auto"/>
                <w:position w:val="6"/>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lang w:eastAsia="zh-CN"/>
              </w:rPr>
            </w:pPr>
            <w:r>
              <w:rPr>
                <w:rFonts w:hint="eastAsia" w:ascii="仿宋" w:hAnsi="仿宋" w:eastAsia="仿宋" w:cs="仿宋"/>
                <w:b/>
                <w:bCs/>
                <w:color w:val="auto"/>
                <w:position w:val="6"/>
                <w:sz w:val="28"/>
                <w:szCs w:val="28"/>
                <w:lang w:eastAsia="zh-CN"/>
              </w:rPr>
              <w:t>问责依据</w:t>
            </w:r>
          </w:p>
        </w:tc>
        <w:tc>
          <w:tcPr>
            <w:tcW w:w="7308" w:type="dxa"/>
            <w:vAlign w:val="top"/>
          </w:tcPr>
          <w:p>
            <w:pPr>
              <w:keepNext w:val="0"/>
              <w:keepLines w:val="0"/>
              <w:pageBreakBefore w:val="0"/>
              <w:widowControl w:val="0"/>
              <w:kinsoku/>
              <w:wordWrap/>
              <w:overflowPunct/>
              <w:topLinePunct w:val="0"/>
              <w:autoSpaceDE/>
              <w:autoSpaceDN/>
              <w:bidi w:val="0"/>
              <w:adjustRightInd/>
              <w:snapToGrid/>
              <w:spacing w:line="300" w:lineRule="atLeast"/>
              <w:ind w:left="0" w:leftChars="0" w:right="0" w:rightChars="0" w:firstLine="560" w:firstLineChars="200"/>
              <w:jc w:val="both"/>
              <w:textAlignment w:val="auto"/>
              <w:outlineLvl w:val="9"/>
              <w:rPr>
                <w:rFonts w:hint="eastAsia" w:ascii="仿宋" w:hAnsi="仿宋" w:eastAsia="仿宋" w:cs="仿宋"/>
                <w:color w:val="auto"/>
                <w:position w:val="6"/>
                <w:sz w:val="28"/>
                <w:szCs w:val="28"/>
              </w:rPr>
            </w:pPr>
            <w:r>
              <w:rPr>
                <w:rFonts w:hint="eastAsia" w:ascii="仿宋" w:hAnsi="仿宋" w:eastAsia="仿宋" w:cs="仿宋"/>
                <w:color w:val="auto"/>
                <w:position w:val="6"/>
                <w:sz w:val="28"/>
                <w:szCs w:val="28"/>
              </w:rPr>
              <w:t>对不履行或不正确履行行政职责的行政机关及其工作人员，依据</w:t>
            </w:r>
            <w:r>
              <w:rPr>
                <w:rFonts w:hint="eastAsia" w:ascii="仿宋" w:hAnsi="仿宋" w:eastAsia="仿宋" w:cs="仿宋"/>
                <w:color w:val="auto"/>
                <w:position w:val="6"/>
                <w:sz w:val="28"/>
                <w:szCs w:val="28"/>
                <w:lang w:eastAsia="zh-CN"/>
              </w:rPr>
              <w:t>《中华人民共和国监察法》</w:t>
            </w:r>
            <w:r>
              <w:rPr>
                <w:rFonts w:hint="eastAsia" w:ascii="仿宋" w:hAnsi="仿宋" w:eastAsia="仿宋" w:cs="仿宋"/>
                <w:color w:val="auto"/>
                <w:position w:val="6"/>
                <w:sz w:val="28"/>
                <w:szCs w:val="28"/>
              </w:rPr>
              <w:t>、《中华人民共和国行政许可法》、《行政机关公务员处分条例》、</w:t>
            </w:r>
            <w:r>
              <w:rPr>
                <w:rFonts w:hint="eastAsia" w:ascii="仿宋" w:hAnsi="仿宋" w:eastAsia="仿宋" w:cs="仿宋"/>
                <w:color w:val="auto"/>
                <w:position w:val="6"/>
                <w:sz w:val="28"/>
                <w:szCs w:val="28"/>
                <w:lang w:eastAsia="zh-CN"/>
              </w:rPr>
              <w:t>《互联网上网服务营业场所管理条例》、</w:t>
            </w:r>
            <w:r>
              <w:rPr>
                <w:rFonts w:hint="eastAsia" w:ascii="仿宋" w:hAnsi="仿宋" w:eastAsia="仿宋" w:cs="仿宋"/>
                <w:color w:val="auto"/>
                <w:position w:val="6"/>
                <w:sz w:val="28"/>
                <w:szCs w:val="28"/>
              </w:rPr>
              <w:t>《四川省行政审批违法违纪行为责任追究办法》等法律法规规章的相关规定追究相应责任。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946" w:type="dxa"/>
            <w:vAlign w:val="center"/>
          </w:tcPr>
          <w:p>
            <w:pPr>
              <w:keepNext w:val="0"/>
              <w:keepLines w:val="0"/>
              <w:pageBreakBefore w:val="0"/>
              <w:widowControl w:val="0"/>
              <w:kinsoku/>
              <w:wordWrap/>
              <w:overflowPunct/>
              <w:topLinePunct w:val="0"/>
              <w:autoSpaceDE/>
              <w:autoSpaceDN/>
              <w:bidi w:val="0"/>
              <w:adjustRightInd/>
              <w:snapToGrid/>
              <w:spacing w:line="320" w:lineRule="atLeast"/>
              <w:ind w:left="0" w:leftChars="0" w:right="0" w:rightChars="0" w:firstLine="0" w:firstLineChars="0"/>
              <w:jc w:val="center"/>
              <w:textAlignment w:val="auto"/>
              <w:outlineLvl w:val="9"/>
              <w:rPr>
                <w:rFonts w:hint="eastAsia" w:ascii="仿宋" w:hAnsi="仿宋" w:eastAsia="仿宋" w:cs="仿宋"/>
                <w:b/>
                <w:bCs/>
                <w:color w:val="auto"/>
                <w:position w:val="6"/>
                <w:sz w:val="28"/>
                <w:szCs w:val="28"/>
              </w:rPr>
            </w:pPr>
            <w:r>
              <w:rPr>
                <w:rFonts w:hint="eastAsia" w:ascii="仿宋" w:hAnsi="仿宋" w:eastAsia="仿宋" w:cs="仿宋"/>
                <w:b/>
                <w:bCs/>
                <w:color w:val="auto"/>
                <w:position w:val="6"/>
                <w:sz w:val="28"/>
                <w:szCs w:val="28"/>
              </w:rPr>
              <w:t>监督电话</w:t>
            </w:r>
          </w:p>
        </w:tc>
        <w:tc>
          <w:tcPr>
            <w:tcW w:w="7308" w:type="dxa"/>
            <w:vAlign w:val="center"/>
          </w:tcPr>
          <w:p>
            <w:pPr>
              <w:keepNext w:val="0"/>
              <w:keepLines w:val="0"/>
              <w:pageBreakBefore w:val="0"/>
              <w:widowControl w:val="0"/>
              <w:kinsoku/>
              <w:wordWrap/>
              <w:overflowPunct/>
              <w:topLinePunct w:val="0"/>
              <w:autoSpaceDE/>
              <w:autoSpaceDN/>
              <w:bidi w:val="0"/>
              <w:adjustRightInd/>
              <w:snapToGrid/>
              <w:spacing w:line="300" w:lineRule="atLeast"/>
              <w:ind w:right="0" w:rightChars="0"/>
              <w:jc w:val="left"/>
              <w:textAlignment w:val="auto"/>
              <w:outlineLvl w:val="9"/>
              <w:rPr>
                <w:rFonts w:hint="eastAsia" w:ascii="仿宋" w:hAnsi="仿宋" w:eastAsia="仿宋" w:cs="仿宋"/>
                <w:color w:val="auto"/>
                <w:position w:val="6"/>
                <w:sz w:val="28"/>
                <w:szCs w:val="28"/>
                <w:lang w:val="en-US" w:eastAsia="zh-CN"/>
              </w:rPr>
            </w:pPr>
            <w:r>
              <w:rPr>
                <w:rFonts w:hint="eastAsia" w:ascii="仿宋" w:hAnsi="仿宋" w:eastAsia="仿宋" w:cs="仿宋"/>
                <w:color w:val="auto"/>
                <w:position w:val="6"/>
                <w:sz w:val="28"/>
                <w:szCs w:val="28"/>
                <w:lang w:val="en-US" w:eastAsia="zh-CN"/>
              </w:rPr>
              <w:t>0837-2482523</w:t>
            </w:r>
          </w:p>
        </w:tc>
      </w:tr>
    </w:tbl>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p>
      <w:pPr>
        <w:rPr>
          <w:color w:val="auto"/>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monospace">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libri Light">
    <w:altName w:val="DejaVu Sans"/>
    <w:panose1 w:val="00000000000000000000"/>
    <w:charset w:val="00"/>
    <w:family w:val="auto"/>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仿宋简体">
    <w:altName w:val="方正仿宋_GBK"/>
    <w:panose1 w:val="00000000000000000000"/>
    <w:charset w:val="86"/>
    <w:family w:val="auto"/>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D5B979"/>
    <w:multiLevelType w:val="singleLevel"/>
    <w:tmpl w:val="5AD5B979"/>
    <w:lvl w:ilvl="0" w:tentative="0">
      <w:start w:val="18"/>
      <w:numFmt w:val="chineseCounting"/>
      <w:suff w:val="nothing"/>
      <w:lvlText w:val="第%1条"/>
      <w:lvlJc w:val="left"/>
    </w:lvl>
  </w:abstractNum>
  <w:abstractNum w:abstractNumId="1">
    <w:nsid w:val="5AD616C5"/>
    <w:multiLevelType w:val="singleLevel"/>
    <w:tmpl w:val="5AD616C5"/>
    <w:lvl w:ilvl="0" w:tentative="0">
      <w:start w:val="15"/>
      <w:numFmt w:val="chineseCounting"/>
      <w:suff w:val="nothing"/>
      <w:lvlText w:val="第%1条"/>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3D27A8"/>
    <w:rsid w:val="01DE4508"/>
    <w:rsid w:val="0502263E"/>
    <w:rsid w:val="06CB098C"/>
    <w:rsid w:val="0FB47C77"/>
    <w:rsid w:val="19BD10D6"/>
    <w:rsid w:val="241449AC"/>
    <w:rsid w:val="3F4C7D46"/>
    <w:rsid w:val="4275710C"/>
    <w:rsid w:val="438F2FC3"/>
    <w:rsid w:val="45AF6E66"/>
    <w:rsid w:val="45DD0E73"/>
    <w:rsid w:val="46F362DC"/>
    <w:rsid w:val="487725D1"/>
    <w:rsid w:val="491133F7"/>
    <w:rsid w:val="4FC1353C"/>
    <w:rsid w:val="5A91023D"/>
    <w:rsid w:val="5B3F18B8"/>
    <w:rsid w:val="60443251"/>
    <w:rsid w:val="6D3D27A8"/>
    <w:rsid w:val="76252643"/>
    <w:rsid w:val="B7FFE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2E2E2E"/>
      <w:u w:val="none"/>
    </w:rPr>
  </w:style>
  <w:style w:type="character" w:styleId="10">
    <w:name w:val="Emphasis"/>
    <w:basedOn w:val="7"/>
    <w:qFormat/>
    <w:uiPriority w:val="0"/>
  </w:style>
  <w:style w:type="character" w:styleId="11">
    <w:name w:val="HTML Definition"/>
    <w:basedOn w:val="7"/>
    <w:qFormat/>
    <w:uiPriority w:val="0"/>
  </w:style>
  <w:style w:type="character" w:styleId="12">
    <w:name w:val="HTML Variable"/>
    <w:basedOn w:val="7"/>
    <w:qFormat/>
    <w:uiPriority w:val="0"/>
  </w:style>
  <w:style w:type="character" w:styleId="13">
    <w:name w:val="Hyperlink"/>
    <w:basedOn w:val="7"/>
    <w:qFormat/>
    <w:uiPriority w:val="0"/>
    <w:rPr>
      <w:color w:val="2E2E2E"/>
      <w:u w:val="none"/>
    </w:rPr>
  </w:style>
  <w:style w:type="character" w:styleId="14">
    <w:name w:val="HTML Code"/>
    <w:basedOn w:val="7"/>
    <w:qFormat/>
    <w:uiPriority w:val="0"/>
    <w:rPr>
      <w:rFonts w:hint="default" w:ascii="monospace" w:hAnsi="monospace" w:eastAsia="monospace" w:cs="monospace"/>
      <w:sz w:val="21"/>
      <w:szCs w:val="21"/>
    </w:rPr>
  </w:style>
  <w:style w:type="character" w:styleId="15">
    <w:name w:val="HTML Cite"/>
    <w:basedOn w:val="7"/>
    <w:qFormat/>
    <w:uiPriority w:val="0"/>
  </w:style>
  <w:style w:type="character" w:styleId="16">
    <w:name w:val="HTML Keyboard"/>
    <w:basedOn w:val="7"/>
    <w:qFormat/>
    <w:uiPriority w:val="0"/>
    <w:rPr>
      <w:rFonts w:ascii="monospace" w:hAnsi="monospace" w:eastAsia="monospace" w:cs="monospace"/>
      <w:sz w:val="21"/>
      <w:szCs w:val="21"/>
    </w:rPr>
  </w:style>
  <w:style w:type="character" w:styleId="17">
    <w:name w:val="HTML Sample"/>
    <w:basedOn w:val="7"/>
    <w:qFormat/>
    <w:uiPriority w:val="0"/>
    <w:rPr>
      <w:rFonts w:hint="default" w:ascii="monospace" w:hAnsi="monospace" w:eastAsia="monospace" w:cs="monospace"/>
      <w:sz w:val="21"/>
      <w:szCs w:val="21"/>
    </w:rPr>
  </w:style>
  <w:style w:type="character" w:customStyle="1" w:styleId="18">
    <w:name w:val="hover"/>
    <w:basedOn w:val="7"/>
    <w:qFormat/>
    <w:uiPriority w:val="0"/>
    <w:rPr>
      <w:color w:val="FFFFFF"/>
      <w:shd w:val="clear" w:fill="2981FD"/>
    </w:rPr>
  </w:style>
  <w:style w:type="character" w:customStyle="1" w:styleId="19">
    <w:name w:val="otr"/>
    <w:basedOn w:val="7"/>
    <w:qFormat/>
    <w:uiPriority w:val="0"/>
  </w:style>
  <w:style w:type="character" w:customStyle="1" w:styleId="20">
    <w:name w:val="oth"/>
    <w:basedOn w:val="7"/>
    <w:qFormat/>
    <w:uiPriority w:val="0"/>
  </w:style>
  <w:style w:type="character" w:customStyle="1" w:styleId="21">
    <w:name w:val="on"/>
    <w:basedOn w:val="7"/>
    <w:qFormat/>
    <w:uiPriority w:val="0"/>
  </w:style>
  <w:style w:type="character" w:customStyle="1" w:styleId="22">
    <w:name w:val="act"/>
    <w:basedOn w:val="7"/>
    <w:qFormat/>
    <w:uiPriority w:val="0"/>
    <w:rPr>
      <w:color w:val="FFFFFF"/>
      <w:shd w:val="clear" w:fill="69A7FE"/>
    </w:rPr>
  </w:style>
  <w:style w:type="paragraph" w:customStyle="1" w:styleId="23">
    <w:name w:val="_Style 13"/>
    <w:basedOn w:val="1"/>
    <w:next w:val="1"/>
    <w:qFormat/>
    <w:uiPriority w:val="0"/>
    <w:pPr>
      <w:pBdr>
        <w:bottom w:val="single" w:color="auto" w:sz="6" w:space="1"/>
      </w:pBdr>
      <w:jc w:val="center"/>
    </w:pPr>
    <w:rPr>
      <w:rFonts w:ascii="Arial" w:eastAsia="宋体"/>
      <w:vanish/>
      <w:sz w:val="16"/>
    </w:rPr>
  </w:style>
  <w:style w:type="paragraph" w:customStyle="1" w:styleId="24">
    <w:name w:val="_Style 14"/>
    <w:basedOn w:val="1"/>
    <w:next w:val="1"/>
    <w:qFormat/>
    <w:uiPriority w:val="0"/>
    <w:pPr>
      <w:pBdr>
        <w:top w:val="single" w:color="auto" w:sz="6" w:space="1"/>
      </w:pBdr>
      <w:jc w:val="center"/>
    </w:pPr>
    <w:rPr>
      <w:rFonts w:ascii="Arial" w:eastAsia="宋体"/>
      <w:vanish/>
      <w:sz w:val="16"/>
    </w:rPr>
  </w:style>
  <w:style w:type="character" w:customStyle="1" w:styleId="25">
    <w:name w:val="hover22"/>
    <w:basedOn w:val="7"/>
    <w:qFormat/>
    <w:uiPriority w:val="0"/>
    <w:rPr>
      <w:color w:val="FFFFFF"/>
      <w:shd w:val="clear" w:fill="2981FD"/>
    </w:rPr>
  </w:style>
  <w:style w:type="character" w:customStyle="1" w:styleId="26">
    <w:name w:val="title_name"/>
    <w:basedOn w:val="7"/>
    <w:qFormat/>
    <w:uiPriority w:val="0"/>
  </w:style>
  <w:style w:type="character" w:customStyle="1" w:styleId="27">
    <w:name w:val="title_r"/>
    <w:basedOn w:val="7"/>
    <w:qFormat/>
    <w:uiPriority w:val="0"/>
  </w:style>
  <w:style w:type="character" w:customStyle="1" w:styleId="28">
    <w:name w:val="current3"/>
    <w:basedOn w:val="7"/>
    <w:qFormat/>
    <w:uiPriority w:val="0"/>
    <w:rPr>
      <w:b/>
      <w:color w:val="FFFFFF"/>
      <w:bdr w:val="single" w:color="0585DF" w:sz="6" w:space="0"/>
      <w:shd w:val="clear" w:fill="0585DF"/>
    </w:rPr>
  </w:style>
  <w:style w:type="character" w:customStyle="1" w:styleId="29">
    <w:name w:val="disabled4"/>
    <w:basedOn w:val="7"/>
    <w:qFormat/>
    <w:uiPriority w:val="0"/>
    <w:rPr>
      <w:color w:val="DDDDDD"/>
      <w:bdr w:val="single" w:color="EEEEEE" w:sz="6" w:space="0"/>
    </w:rPr>
  </w:style>
  <w:style w:type="character" w:customStyle="1" w:styleId="30">
    <w:name w:val="current"/>
    <w:basedOn w:val="7"/>
    <w:qFormat/>
    <w:uiPriority w:val="0"/>
    <w:rPr>
      <w:b/>
      <w:color w:val="FFFFFF"/>
      <w:bdr w:val="single" w:color="0585DF" w:sz="6" w:space="0"/>
      <w:shd w:val="clear" w:fill="0585DF"/>
    </w:rPr>
  </w:style>
  <w:style w:type="character" w:customStyle="1" w:styleId="31">
    <w:name w:val="disabled"/>
    <w:basedOn w:val="7"/>
    <w:qFormat/>
    <w:uiPriority w:val="0"/>
    <w:rPr>
      <w:color w:val="DDDDDD"/>
      <w:bdr w:val="single" w:color="EEEEEE" w:sz="6" w:space="0"/>
    </w:rPr>
  </w:style>
  <w:style w:type="character" w:customStyle="1" w:styleId="32">
    <w:name w:val="current4"/>
    <w:basedOn w:val="7"/>
    <w:qFormat/>
    <w:uiPriority w:val="0"/>
    <w:rPr>
      <w:b/>
      <w:color w:val="FFFFFF"/>
      <w:bdr w:val="single" w:color="0585DF" w:sz="6" w:space="0"/>
      <w:shd w:val="clear" w:fill="0585DF"/>
    </w:rPr>
  </w:style>
  <w:style w:type="paragraph" w:customStyle="1" w:styleId="33">
    <w:name w:val="_Style 2"/>
    <w:basedOn w:val="1"/>
    <w:next w:val="1"/>
    <w:qFormat/>
    <w:uiPriority w:val="0"/>
    <w:pPr>
      <w:pBdr>
        <w:bottom w:val="single" w:color="auto" w:sz="6" w:space="1"/>
      </w:pBdr>
      <w:jc w:val="center"/>
    </w:pPr>
    <w:rPr>
      <w:rFonts w:ascii="Arial" w:eastAsia="宋体"/>
      <w:vanish/>
      <w:sz w:val="16"/>
    </w:rPr>
  </w:style>
  <w:style w:type="paragraph" w:customStyle="1" w:styleId="34">
    <w:name w:val="_Style 3"/>
    <w:basedOn w:val="1"/>
    <w:next w:val="1"/>
    <w:qFormat/>
    <w:uiPriority w:val="0"/>
    <w:pPr>
      <w:pBdr>
        <w:bottom w:val="single" w:color="auto" w:sz="6" w:space="1"/>
      </w:pBdr>
      <w:jc w:val="center"/>
    </w:pPr>
    <w:rPr>
      <w:rFonts w:ascii="Arial" w:eastAsia="宋体"/>
      <w:vanish/>
      <w:sz w:val="16"/>
    </w:rPr>
  </w:style>
  <w:style w:type="character" w:customStyle="1" w:styleId="35">
    <w:name w:val="fontborder"/>
    <w:basedOn w:val="7"/>
    <w:qFormat/>
    <w:uiPriority w:val="0"/>
    <w:rPr>
      <w:bdr w:val="single" w:color="000000" w:sz="6" w:space="0"/>
    </w:rPr>
  </w:style>
  <w:style w:type="character" w:customStyle="1" w:styleId="36">
    <w:name w:val="fontstrikethrough"/>
    <w:basedOn w:val="7"/>
    <w:qFormat/>
    <w:uiPriority w:val="0"/>
    <w:rPr>
      <w:strik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36049</Words>
  <Characters>36853</Characters>
  <Lines>0</Lines>
  <Paragraphs>0</Paragraphs>
  <TotalTime>0</TotalTime>
  <ScaleCrop>false</ScaleCrop>
  <LinksUpToDate>false</LinksUpToDate>
  <CharactersWithSpaces>37133</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2018-04-12T12:47:00Z</dcterms:created>
  <dc:creator>金鼓高原风铃</dc:creator>
  <cp:lastModifiedBy>user</cp:lastModifiedBy>
  <cp:lastPrinted>2018-04-28T10:44:00Z</cp:lastPrinted>
  <dcterms:modified xsi:type="dcterms:W3CDTF">2024-01-04T10:24:17Z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522D3EE53D8242F6D116966578A8CAB7</vt:lpwstr>
  </property>
</Properties>
</file>