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sz w:val="44"/>
          <w:szCs w:val="44"/>
          <w:lang w:val="en-US" w:eastAsia="zh-CN"/>
        </w:rPr>
      </w:pPr>
    </w:p>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阿坝县发展改革和经济商务信息化局</w:t>
      </w:r>
    </w:p>
    <w:p>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2018年行政许可责任清单</w:t>
      </w:r>
    </w:p>
    <w:p>
      <w:pPr>
        <w:jc w:val="center"/>
        <w:rPr>
          <w:rFonts w:hint="eastAsia" w:ascii="方正小标宋简体" w:hAnsi="方正小标宋简体" w:eastAsia="方正小标宋简体" w:cs="方正小标宋简体"/>
          <w:sz w:val="44"/>
          <w:szCs w:val="44"/>
          <w:lang w:val="en-US" w:eastAsia="zh-CN"/>
        </w:rPr>
      </w:pPr>
    </w:p>
    <w:p>
      <w:pPr>
        <w:jc w:val="center"/>
        <w:rPr>
          <w:rFonts w:hint="eastAsia" w:ascii="方正小标宋简体" w:hAnsi="方正小标宋简体" w:eastAsia="方正小标宋简体" w:cs="方正小标宋简体"/>
          <w:sz w:val="44"/>
          <w:szCs w:val="44"/>
          <w:lang w:val="en-US" w:eastAsia="zh-CN"/>
        </w:rPr>
      </w:pPr>
    </w:p>
    <w:p>
      <w:pPr>
        <w:jc w:val="center"/>
        <w:rPr>
          <w:rFonts w:hint="eastAsia" w:ascii="方正小标宋简体" w:hAnsi="方正小标宋简体" w:eastAsia="方正小标宋简体" w:cs="方正小标宋简体"/>
          <w:sz w:val="44"/>
          <w:szCs w:val="44"/>
          <w:lang w:val="en-US" w:eastAsia="zh-CN"/>
        </w:rPr>
      </w:pPr>
    </w:p>
    <w:p>
      <w:pPr>
        <w:jc w:val="center"/>
        <w:rPr>
          <w:rFonts w:hint="eastAsia" w:ascii="方正小标宋简体" w:hAnsi="方正小标宋简体" w:eastAsia="方正小标宋简体" w:cs="方正小标宋简体"/>
          <w:sz w:val="44"/>
          <w:szCs w:val="44"/>
          <w:lang w:val="en-US" w:eastAsia="zh-CN"/>
        </w:rPr>
      </w:pPr>
    </w:p>
    <w:p>
      <w:pPr>
        <w:jc w:val="center"/>
        <w:rPr>
          <w:rFonts w:hint="eastAsia" w:ascii="方正小标宋简体" w:hAnsi="方正小标宋简体" w:eastAsia="方正小标宋简体" w:cs="方正小标宋简体"/>
          <w:sz w:val="44"/>
          <w:szCs w:val="44"/>
          <w:lang w:val="en-US" w:eastAsia="zh-CN"/>
        </w:rPr>
      </w:pPr>
    </w:p>
    <w:p>
      <w:pPr>
        <w:ind w:firstLine="1280" w:firstLineChars="400"/>
        <w:jc w:val="both"/>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lang w:val="en-US" w:eastAsia="zh-CN"/>
        </w:rPr>
        <w:t>编制单位</w:t>
      </w:r>
      <w:r>
        <w:rPr>
          <w:rFonts w:hint="eastAsia" w:ascii="仿宋_GB2312" w:hAnsi="仿宋_GB2312" w:eastAsia="仿宋_GB2312" w:cs="仿宋_GB2312"/>
          <w:sz w:val="32"/>
          <w:szCs w:val="32"/>
          <w:u w:val="single"/>
          <w:lang w:val="en-US" w:eastAsia="zh-CN"/>
        </w:rPr>
        <w:t xml:space="preserve">  阿坝县发展改革和经济商务信息化局</w:t>
      </w:r>
    </w:p>
    <w:p>
      <w:pPr>
        <w:ind w:firstLine="1280" w:firstLineChars="400"/>
        <w:jc w:val="both"/>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lang w:val="en-US" w:eastAsia="zh-CN"/>
        </w:rPr>
        <w:t>分管领导</w:t>
      </w:r>
      <w:r>
        <w:rPr>
          <w:rFonts w:hint="eastAsia" w:ascii="仿宋_GB2312" w:hAnsi="仿宋_GB2312" w:eastAsia="仿宋_GB2312" w:cs="仿宋_GB2312"/>
          <w:sz w:val="32"/>
          <w:szCs w:val="32"/>
          <w:u w:val="single"/>
          <w:lang w:val="en-US" w:eastAsia="zh-CN"/>
        </w:rPr>
        <w:t xml:space="preserve">           王明武                 </w:t>
      </w:r>
    </w:p>
    <w:p>
      <w:pPr>
        <w:ind w:firstLine="1280" w:firstLineChars="400"/>
        <w:jc w:val="both"/>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lang w:val="en-US" w:eastAsia="zh-CN"/>
        </w:rPr>
        <w:t>审核领导</w:t>
      </w:r>
      <w:r>
        <w:rPr>
          <w:rFonts w:hint="eastAsia" w:ascii="仿宋_GB2312" w:hAnsi="仿宋_GB2312" w:eastAsia="仿宋_GB2312" w:cs="仿宋_GB2312"/>
          <w:sz w:val="32"/>
          <w:szCs w:val="32"/>
          <w:u w:val="single"/>
          <w:lang w:val="en-US" w:eastAsia="zh-CN"/>
        </w:rPr>
        <w:t xml:space="preserve">           李椿晨                 </w:t>
      </w:r>
    </w:p>
    <w:p>
      <w:pPr>
        <w:ind w:firstLine="1280" w:firstLineChars="400"/>
        <w:jc w:val="both"/>
        <w:rPr>
          <w:rFonts w:hint="eastAsia" w:ascii="仿宋_GB2312" w:hAnsi="仿宋_GB2312" w:eastAsia="仿宋_GB2312" w:cs="仿宋_GB2312"/>
          <w:sz w:val="32"/>
          <w:szCs w:val="32"/>
          <w:u w:val="single"/>
          <w:lang w:val="en-US" w:eastAsia="zh-CN"/>
        </w:rPr>
      </w:pPr>
      <w:r>
        <w:rPr>
          <w:rFonts w:hint="eastAsia" w:ascii="仿宋_GB2312" w:hAnsi="仿宋_GB2312" w:eastAsia="仿宋_GB2312" w:cs="仿宋_GB2312"/>
          <w:sz w:val="32"/>
          <w:szCs w:val="32"/>
          <w:lang w:val="en-US" w:eastAsia="zh-CN"/>
        </w:rPr>
        <w:t>编制日期</w:t>
      </w:r>
      <w:r>
        <w:rPr>
          <w:rFonts w:hint="eastAsia" w:ascii="仿宋_GB2312" w:hAnsi="仿宋_GB2312" w:eastAsia="仿宋_GB2312" w:cs="仿宋_GB2312"/>
          <w:sz w:val="32"/>
          <w:szCs w:val="32"/>
          <w:u w:val="single"/>
          <w:lang w:val="en-US" w:eastAsia="zh-CN"/>
        </w:rPr>
        <w:t xml:space="preserve">       2018年4月28日            </w:t>
      </w:r>
    </w:p>
    <w:p>
      <w:pPr>
        <w:ind w:firstLine="1280" w:firstLineChars="400"/>
        <w:jc w:val="both"/>
        <w:rPr>
          <w:rFonts w:hint="eastAsia" w:ascii="仿宋_GB2312" w:hAnsi="仿宋_GB2312" w:eastAsia="仿宋_GB2312" w:cs="仿宋_GB2312"/>
          <w:sz w:val="32"/>
          <w:szCs w:val="32"/>
          <w:u w:val="single"/>
          <w:lang w:val="en-US" w:eastAsia="zh-CN"/>
        </w:rPr>
      </w:pPr>
    </w:p>
    <w:p>
      <w:pPr>
        <w:ind w:firstLine="1280" w:firstLineChars="400"/>
        <w:jc w:val="both"/>
        <w:rPr>
          <w:rFonts w:hint="eastAsia" w:ascii="仿宋_GB2312" w:hAnsi="仿宋_GB2312" w:eastAsia="仿宋_GB2312" w:cs="仿宋_GB2312"/>
          <w:sz w:val="32"/>
          <w:szCs w:val="32"/>
          <w:u w:val="single"/>
          <w:lang w:val="en-US" w:eastAsia="zh-CN"/>
        </w:rPr>
      </w:pPr>
    </w:p>
    <w:p>
      <w:pPr>
        <w:ind w:firstLine="1280" w:firstLineChars="400"/>
        <w:jc w:val="both"/>
        <w:rPr>
          <w:rFonts w:hint="eastAsia" w:ascii="仿宋_GB2312" w:hAnsi="仿宋_GB2312" w:eastAsia="仿宋_GB2312" w:cs="仿宋_GB2312"/>
          <w:sz w:val="32"/>
          <w:szCs w:val="32"/>
          <w:u w:val="single"/>
          <w:lang w:val="en-US" w:eastAsia="zh-CN"/>
        </w:rPr>
      </w:pPr>
    </w:p>
    <w:p>
      <w:pPr>
        <w:ind w:firstLine="1280" w:firstLineChars="400"/>
        <w:jc w:val="both"/>
        <w:rPr>
          <w:rFonts w:hint="eastAsia" w:ascii="仿宋_GB2312" w:hAnsi="仿宋_GB2312" w:eastAsia="仿宋_GB2312" w:cs="仿宋_GB2312"/>
          <w:sz w:val="32"/>
          <w:szCs w:val="32"/>
          <w:u w:val="single"/>
          <w:lang w:val="en-US" w:eastAsia="zh-CN"/>
        </w:rPr>
      </w:pPr>
    </w:p>
    <w:p>
      <w:pPr>
        <w:ind w:firstLine="1280" w:firstLineChars="400"/>
        <w:jc w:val="both"/>
        <w:rPr>
          <w:rFonts w:hint="eastAsia" w:ascii="仿宋_GB2312" w:hAnsi="仿宋_GB2312" w:eastAsia="仿宋_GB2312" w:cs="仿宋_GB2312"/>
          <w:sz w:val="32"/>
          <w:szCs w:val="32"/>
          <w:u w:val="single"/>
          <w:lang w:val="en-US" w:eastAsia="zh-CN"/>
        </w:rPr>
      </w:pPr>
    </w:p>
    <w:p>
      <w:pPr>
        <w:ind w:firstLine="1280" w:firstLineChars="400"/>
        <w:jc w:val="both"/>
        <w:rPr>
          <w:rFonts w:hint="eastAsia" w:ascii="仿宋_GB2312" w:hAnsi="仿宋_GB2312" w:eastAsia="仿宋_GB2312" w:cs="仿宋_GB2312"/>
          <w:sz w:val="32"/>
          <w:szCs w:val="32"/>
          <w:u w:val="single"/>
          <w:lang w:val="en-US" w:eastAsia="zh-CN"/>
        </w:rPr>
      </w:pPr>
    </w:p>
    <w:tbl>
      <w:tblPr>
        <w:tblStyle w:val="4"/>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3"/>
        <w:gridCol w:w="7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63" w:type="dxa"/>
            <w:vAlign w:val="center"/>
          </w:tcPr>
          <w:p>
            <w:pPr>
              <w:keepNext w:val="0"/>
              <w:keepLines w:val="0"/>
              <w:suppressLineNumbers w:val="0"/>
              <w:spacing w:before="0" w:beforeAutospacing="0" w:after="0" w:afterAutospacing="0" w:line="580" w:lineRule="exact"/>
              <w:ind w:left="0" w:right="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主体责任</w:t>
            </w:r>
          </w:p>
        </w:tc>
        <w:tc>
          <w:tcPr>
            <w:tcW w:w="7825" w:type="dxa"/>
          </w:tcPr>
          <w:p>
            <w:pPr>
              <w:keepNext w:val="0"/>
              <w:keepLines w:val="0"/>
              <w:suppressLineNumbers w:val="0"/>
              <w:spacing w:before="0" w:beforeAutospacing="0" w:after="0" w:afterAutospacing="0" w:line="580" w:lineRule="exact"/>
              <w:ind w:left="0" w:right="0"/>
              <w:jc w:val="both"/>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根据以职责调整，阿坝县发展改革和经济商务信息化局的主要职责是：</w:t>
            </w:r>
          </w:p>
          <w:p>
            <w:pPr>
              <w:keepNext w:val="0"/>
              <w:keepLines w:val="0"/>
              <w:suppressLineNumbers w:val="0"/>
              <w:spacing w:before="0" w:beforeAutospacing="0" w:after="0" w:afterAutospacing="0" w:line="580" w:lineRule="exact"/>
              <w:ind w:left="0" w:right="0" w:firstLine="420"/>
              <w:jc w:val="both"/>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一）贯彻执行国家有关国民经济和社会发展、经济体制改革、以工代赈、工业经济、商务流通、招商引资、信息化和无线电管理的方针、政策和法律、法规。研究提出全县有关国民经济和社会发展、经济体制改革、以工代赈、工业经济、商务、招商引资、信息化和无线电管理的地方性法规、规章草案。负责本系统、本部门依法行政工作，落实行政执法责任制。</w:t>
            </w:r>
          </w:p>
          <w:p>
            <w:pPr>
              <w:keepNext w:val="0"/>
              <w:keepLines w:val="0"/>
              <w:suppressLineNumbers w:val="0"/>
              <w:spacing w:before="0" w:beforeAutospacing="0" w:after="0" w:afterAutospacing="0" w:line="580" w:lineRule="exact"/>
              <w:ind w:left="0" w:right="0" w:firstLine="420"/>
              <w:jc w:val="both"/>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二）拟定并组织实施全县国民经济和社会发展战略、中长期规划和年度计划，统筹协调全县经济社会发展，研究分析宏观经济形势，提出全县经济社会发展、经济结构优化和政策建议。全县利用外资的发展战略、总量平衡和机构优化的目标和政策措施。受县政府委托向县人大作国民经济和社会事业发展计划报告。</w:t>
            </w:r>
          </w:p>
          <w:p>
            <w:pPr>
              <w:keepNext w:val="0"/>
              <w:keepLines w:val="0"/>
              <w:suppressLineNumbers w:val="0"/>
              <w:spacing w:before="0" w:beforeAutospacing="0" w:after="0" w:afterAutospacing="0" w:line="580" w:lineRule="exact"/>
              <w:ind w:left="0" w:right="0" w:firstLine="420"/>
              <w:jc w:val="both"/>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三）做好社会总需求和总供给等重要经济总量平衡和重大比例关系的协调；研究拟订区域经济发展和可持续发展战略的政策措施，提出全县重大生产力布局和资源开发对策、措施。引导和促进全县经济结构合理化和区域经济协调发展。编制我县实施西部大开发战略的规划，提出有关政策建议、组织协调全县实施西部大开发战略的有关重大问题。</w:t>
            </w:r>
          </w:p>
          <w:p>
            <w:pPr>
              <w:keepNext w:val="0"/>
              <w:keepLines w:val="0"/>
              <w:suppressLineNumbers w:val="0"/>
              <w:spacing w:before="0" w:beforeAutospacing="0" w:after="0" w:afterAutospacing="0" w:line="580" w:lineRule="exact"/>
              <w:ind w:left="0" w:right="0" w:firstLine="420"/>
              <w:jc w:val="both"/>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（四）负责汇总和分析全县财政、金融等部门以及其他国民经济和社会发展情况；综合协调财政、信贷等经济杠杆以及县上掌握的经济手段，并通过法规和政策协调、信息指导，确保规划、计划的实施。</w:t>
            </w:r>
          </w:p>
          <w:p>
            <w:pPr>
              <w:keepNext w:val="0"/>
              <w:keepLines w:val="0"/>
              <w:suppressLineNumbers w:val="0"/>
              <w:spacing w:before="0" w:beforeAutospacing="0" w:after="0" w:afterAutospacing="0" w:line="580" w:lineRule="exact"/>
              <w:ind w:left="0" w:right="0" w:firstLine="420"/>
              <w:jc w:val="both"/>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五）负责全县投资宏观管理和协调推进重大项目建设。提出全社会固定资产投资总规模和投资结构，编制年度投资计划；研究提出有关重大投资政策，规划重大项目和生产力布局；负责组织和管理重大建设项目稽查工作；指导和监督政策资金的使用方向；申报限额以上和审批权限以内的基本建设项目；按照基本建设程序，负责全县基本建设项目论证、可行性研究报告的审批及转报；会同有关部门做好国家出资的工业、农业、水利、交通等行业和产业项目的初步设计审查、转报工作；负责编制全县重点建设项目和年度投资计划。</w:t>
            </w:r>
          </w:p>
          <w:p>
            <w:pPr>
              <w:keepNext w:val="0"/>
              <w:keepLines w:val="0"/>
              <w:suppressLineNumbers w:val="0"/>
              <w:spacing w:before="0" w:beforeAutospacing="0" w:after="0" w:afterAutospacing="0" w:line="580" w:lineRule="exact"/>
              <w:ind w:left="0" w:right="0" w:firstLine="420"/>
              <w:jc w:val="both"/>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（六）指导、协调并综合管理全县招投标工作，会同有关行政主管部门共同做好全县招标、投标行政监督管理工作。</w:t>
            </w:r>
          </w:p>
          <w:p>
            <w:pPr>
              <w:keepNext w:val="0"/>
              <w:keepLines w:val="0"/>
              <w:suppressLineNumbers w:val="0"/>
              <w:spacing w:before="0" w:beforeAutospacing="0" w:after="0" w:afterAutospacing="0" w:line="580" w:lineRule="exact"/>
              <w:ind w:left="0" w:right="0" w:firstLine="420"/>
              <w:jc w:val="both"/>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七）推进经济结构战略性调整。组织拟订全县综合性产业政策，负责协调第一、二、三产业发展的重大问题，衔接平衡相关发展规划和重大政策，协调农业和农村经济社会发展的重大问题，衔接农村专项规划和政策。拟定重大产业发展规划，引导全县重大生产力合理布局，协调推进全县重大技术装备推广应用和重大产业基地建设，会同有关部门拟定服务业、现代物流业发展战略、规划和重大政策。组织拟订高新技术产业发展、产业技术进步的战略、规划和重大政策，指导全县自助创新体系建设发展。</w:t>
            </w:r>
          </w:p>
          <w:p>
            <w:pPr>
              <w:keepNext w:val="0"/>
              <w:keepLines w:val="0"/>
              <w:suppressLineNumbers w:val="0"/>
              <w:spacing w:before="0" w:beforeAutospacing="0" w:after="0" w:afterAutospacing="0" w:line="580" w:lineRule="exact"/>
              <w:ind w:left="0" w:right="0" w:firstLine="420"/>
              <w:jc w:val="both"/>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八）承担指导推进和综合协调全县经济体制改革的责任，研究经济体制改革和对外开放的重大问题，组织拟订综合性经济体制改革方案，协调有关专项经济体制改革方案，指导和推进总体经济体制改革，组织、指导和协调综合配套改革试点和重大专项经济体制改革试点。</w:t>
            </w:r>
          </w:p>
          <w:p>
            <w:pPr>
              <w:keepNext w:val="0"/>
              <w:keepLines w:val="0"/>
              <w:suppressLineNumbers w:val="0"/>
              <w:spacing w:before="0" w:beforeAutospacing="0" w:after="0" w:afterAutospacing="0" w:line="580" w:lineRule="exact"/>
              <w:ind w:left="0" w:right="0" w:firstLine="420"/>
              <w:jc w:val="both"/>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九）促进城乡区域协调发展。组织编制全县主体功能区规划并协调规划实施和进行监测评估，组织拟定区域协调发展战略、规划和重大政策，研究提出城镇化发展战略和统筹城乡发展的重大政策，负责地区经济协作的统筹协调。</w:t>
            </w:r>
          </w:p>
          <w:p>
            <w:pPr>
              <w:keepNext w:val="0"/>
              <w:keepLines w:val="0"/>
              <w:suppressLineNumbers w:val="0"/>
              <w:spacing w:before="0" w:beforeAutospacing="0" w:after="0" w:afterAutospacing="0" w:line="580" w:lineRule="exact"/>
              <w:ind w:left="0" w:right="0" w:firstLine="420"/>
              <w:jc w:val="both"/>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十）负责重要商品总量平衡和宏观调控。研究分析县内外市场和对外贸易运行情况，编制重要农产品、工业品和原材料进出口总量计划并监督执行。会同有关部门管理重要物资和商品的县级储备工作，提出重要商品市场、生产要素市场的总体布局和发展规划。承担组织实施重要消费品市场调控和重要生产资料流通管理的责任，负责建立健全生活必需品市场供应应急管理机制，监测分析市场运行、商品供求状况，调查分析商品价格信息进行预测预警和信息引导，按分工负责重要消费品储备管理和市场调控工作。</w:t>
            </w:r>
          </w:p>
          <w:p>
            <w:pPr>
              <w:keepNext w:val="0"/>
              <w:keepLines w:val="0"/>
              <w:suppressLineNumbers w:val="0"/>
              <w:spacing w:before="0" w:beforeAutospacing="0" w:after="0" w:afterAutospacing="0" w:line="580" w:lineRule="exact"/>
              <w:ind w:left="0" w:right="0" w:firstLine="420"/>
              <w:jc w:val="both"/>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十一）负责全县社会发展与国民经济发展的政策衔接，参与拟定人口和计划生育、科学技术、教育、文化、卫生、民政等社会发展战略、发展政策、总体规划和年度计划，推进社会事业建设。研究提出促进就业、调整收入分配、完善社会保障与经济协调发展的政策建议，协调社会事业发展和政策中的重大问题及政策。</w:t>
            </w:r>
          </w:p>
          <w:p>
            <w:pPr>
              <w:keepNext w:val="0"/>
              <w:keepLines w:val="0"/>
              <w:suppressLineNumbers w:val="0"/>
              <w:spacing w:before="0" w:beforeAutospacing="0" w:after="0" w:afterAutospacing="0" w:line="580" w:lineRule="exact"/>
              <w:ind w:left="0" w:right="0" w:firstLine="420"/>
              <w:jc w:val="both"/>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十二）推进可持续发展，负责全县节能减排的综合协调工作，组织拟定并协调实施全县发展循环经济、能源资源节约和综合利用规划及政策措施，参与编制生态建设、环境保护规划，协调生态建设、能源资源节约和综合利用的重大问题。</w:t>
            </w:r>
          </w:p>
          <w:p>
            <w:pPr>
              <w:keepNext w:val="0"/>
              <w:keepLines w:val="0"/>
              <w:suppressLineNumbers w:val="0"/>
              <w:spacing w:before="0" w:beforeAutospacing="0" w:after="0" w:afterAutospacing="0" w:line="580" w:lineRule="exact"/>
              <w:ind w:left="0" w:right="0" w:firstLine="420"/>
              <w:jc w:val="both"/>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十三）研究制定全县以工代赈中长期发展建设规划；组织开展全县以工代赈项目，搞好年度计划与上级部门的平衡衔接；负责下达全县以工代赈年度计划；协调处理项目建设中出现的问题；组织完成项目的检查和竣工验收工作；组织协调有关部门搞好以工代赈资金、各类配套资金的筹措与管理；参与以工代赈项目工程质量的监督、检查。</w:t>
            </w:r>
          </w:p>
          <w:p>
            <w:pPr>
              <w:keepNext w:val="0"/>
              <w:keepLines w:val="0"/>
              <w:suppressLineNumbers w:val="0"/>
              <w:spacing w:before="0" w:beforeAutospacing="0" w:after="0" w:afterAutospacing="0" w:line="580" w:lineRule="exact"/>
              <w:ind w:left="0" w:right="0" w:firstLine="420"/>
              <w:jc w:val="both"/>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十四）承担全县服务业发展工作中组织实施的协调职责，推进流通产业结构调整，加快第三方物流发展，指导流通企业改革、商贸物流业和社区商业发展，提出促进商贸企业发展的政策建议，推动流通标准化和连锁经营、商业特许经营、物流配送、电子商务等现代商务流通方式的发展。编制大宗产品批发市场规划，指导城市商业网点规划和商业体系建设工作，推进农村市场体系建设，组织实施农村现代流通网络工程，促进城乡市场一体化发展。</w:t>
            </w:r>
          </w:p>
          <w:p>
            <w:pPr>
              <w:keepNext w:val="0"/>
              <w:keepLines w:val="0"/>
              <w:suppressLineNumbers w:val="0"/>
              <w:spacing w:before="0" w:beforeAutospacing="0" w:after="0" w:afterAutospacing="0" w:line="580" w:lineRule="exact"/>
              <w:ind w:left="0" w:right="0" w:firstLine="420"/>
              <w:jc w:val="both"/>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十五）承担牵头协调全县整顿和规范市场经济秩序工作的责任，贯彻国家、省、州规范市场运行和流通秩序的政策，推动商务领域信用建设，指导商业信用销售，建立市场诚信公共服务平台，对流通行业进行监督管理。管理辖区盐政市场。</w:t>
            </w:r>
          </w:p>
          <w:p>
            <w:pPr>
              <w:keepNext w:val="0"/>
              <w:keepLines w:val="0"/>
              <w:suppressLineNumbers w:val="0"/>
              <w:spacing w:before="0" w:beforeAutospacing="0" w:after="0" w:afterAutospacing="0" w:line="580" w:lineRule="exact"/>
              <w:ind w:left="0" w:right="0" w:firstLine="420"/>
              <w:jc w:val="both"/>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十六）贯彻落实促进转变外贸增长方式相关政策措施，指导对外贸易行业执行国家进出口商品、加工贸易管理办法和进出口管理商品、技术目录，组织实施重要工业品、原材料和重要农产品进出口计划，会同有关部门协调大宗进出口商品和出口加工区的业务工作，指导贸易促进活动和外贸促进体系建设。</w:t>
            </w:r>
          </w:p>
          <w:p>
            <w:pPr>
              <w:keepNext w:val="0"/>
              <w:keepLines w:val="0"/>
              <w:suppressLineNumbers w:val="0"/>
              <w:spacing w:before="0" w:beforeAutospacing="0" w:after="0" w:afterAutospacing="0" w:line="580" w:lineRule="exact"/>
              <w:ind w:left="0" w:right="0" w:firstLine="420"/>
              <w:jc w:val="both"/>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十七）指导全县外商投资促进和管理工作，贯彻国家、省、州外商投资政策，统计分析全县外商投资情况，依法监督检查外商投资企业执行有关法律法规、规章、合同章程的情况，并协调解决有关问题。负责全县对外经济合作工作，拟定并执行对外经济合作相关政策，依法管理和监督对外承包工程、对外劳务合作和就业等，承担境外投资管理的责任，协助劳动保障部门对劳务和赴镜外就业人员的权益保护工作，组织管理多双边对我县的无偿援助和赠款（不含财政合作项目下外国政府及国际金融组织对我县赠款）等发展合作业务。</w:t>
            </w:r>
          </w:p>
          <w:p>
            <w:pPr>
              <w:keepNext w:val="0"/>
              <w:keepLines w:val="0"/>
              <w:suppressLineNumbers w:val="0"/>
              <w:spacing w:before="0" w:beforeAutospacing="0" w:after="0" w:afterAutospacing="0" w:line="580" w:lineRule="exact"/>
              <w:ind w:left="0" w:right="0" w:firstLine="420"/>
              <w:jc w:val="both"/>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十八）负责全县招商项目筹划、项目收集、项目分析、项目包装、项目发布、项目签约和重大项目的跟踪促进；整合各类项目信息；承担相关活动的组织、联络、洽谈和服务工作；承担国内区域经济交流与合作工作。负责宣传介绍我县有关产业政策、投资环境和经济发展信息；建立健全全县对内对外开放和招商引资信息网络；为投资项目进行项目和市场分析；促进国内外经济结构、组织和个人在我县投资兴办企业，并为我县企业、产品向外发展提供相关服务。负责全县招商引资信息工作，多元化、多渠道收集相关信息，进行整理、加工，及时提供给相关部门和企业；开展投资信息咨询服务等。管理我县赴境外举办的各种商贸交易会、展览会、展销会等活动。</w:t>
            </w:r>
          </w:p>
          <w:p>
            <w:pPr>
              <w:keepNext w:val="0"/>
              <w:keepLines w:val="0"/>
              <w:suppressLineNumbers w:val="0"/>
              <w:spacing w:before="0" w:beforeAutospacing="0" w:after="0" w:afterAutospacing="0" w:line="580" w:lineRule="exact"/>
              <w:ind w:left="0" w:right="0" w:firstLine="420"/>
              <w:jc w:val="both"/>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（十九）规划全县商务系统电子政务、公共商务信息服务体系建设并组织实施，推动电子商务发展。</w:t>
            </w:r>
          </w:p>
          <w:p>
            <w:pPr>
              <w:keepNext w:val="0"/>
              <w:keepLines w:val="0"/>
              <w:suppressLineNumbers w:val="0"/>
              <w:spacing w:before="0" w:beforeAutospacing="0" w:after="0" w:afterAutospacing="0" w:line="580" w:lineRule="exact"/>
              <w:ind w:left="0" w:right="0" w:firstLine="420"/>
              <w:jc w:val="both"/>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二十）负责拟定新型工业化发展战略和重大政策，协调解决新型工工业化进程中的重大问题，组织实施工业发展战略。负责制定并组织实施工业、信息化相关行业的发展规划、年度计划和产业政策，指导行业质量管理工作。组织推动信息化和工业化融合、工业化与城镇化联动，负责推进全县工业结构调整。</w:t>
            </w:r>
          </w:p>
          <w:p>
            <w:pPr>
              <w:keepNext w:val="0"/>
              <w:keepLines w:val="0"/>
              <w:suppressLineNumbers w:val="0"/>
              <w:spacing w:before="0" w:beforeAutospacing="0" w:after="0" w:afterAutospacing="0" w:line="580" w:lineRule="exact"/>
              <w:ind w:left="0" w:right="0" w:firstLine="420"/>
              <w:jc w:val="both"/>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二十一）监测、分析经济运行态势和质量，建立全县工业经济运行预警机制，拟定中、远期经济运行目标、政策并组织实施，协调解决经济运行中的重大问题。负责电力、煤炭、成品油、天然气等重要物资综合调控、紧急调度和交通运输协调工作。承办年度工业经济目标责任考核。</w:t>
            </w:r>
          </w:p>
          <w:p>
            <w:pPr>
              <w:keepNext w:val="0"/>
              <w:keepLines w:val="0"/>
              <w:suppressLineNumbers w:val="0"/>
              <w:spacing w:before="0" w:beforeAutospacing="0" w:after="0" w:afterAutospacing="0" w:line="580" w:lineRule="exact"/>
              <w:ind w:left="0" w:right="0" w:firstLine="420"/>
              <w:jc w:val="both"/>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二十二）负责全县企业技术改造、创新体系建设推进工作，组织制定并实施全县企业技术改造投资规划和政策，制定并发布全县企业技术改造投资项目引导目录和鼓励企业技术创新的政策措施。指导企业技术创新、技术引进，编制下达全县企业技术创新项目计划并组织实施，按照规定程序会同有关部门组织企业技术中心申报、认定和建设管理工作。按照规定全县审批、核准、备案规划内全县企业技术改造项目，组织企业技术改造项目申报国家有关专项计划并组织实施。</w:t>
            </w:r>
          </w:p>
          <w:p>
            <w:pPr>
              <w:keepNext w:val="0"/>
              <w:keepLines w:val="0"/>
              <w:suppressLineNumbers w:val="0"/>
              <w:spacing w:before="0" w:beforeAutospacing="0" w:after="0" w:afterAutospacing="0" w:line="580" w:lineRule="exact"/>
              <w:ind w:left="0" w:right="0" w:firstLine="420"/>
              <w:jc w:val="both"/>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二十三）负责全县产业园区建设发展的牵头服务工作，拟定并组织实施产业园区、产业集群发展规划和政策措施，指导产业园区合理布局，负责推进重点产业园区建设发展，推进园区公共配套设施建设，组织实施产业园区公共服务平台项目计划。</w:t>
            </w:r>
          </w:p>
          <w:p>
            <w:pPr>
              <w:keepNext w:val="0"/>
              <w:keepLines w:val="0"/>
              <w:suppressLineNumbers w:val="0"/>
              <w:spacing w:before="0" w:beforeAutospacing="0" w:after="0" w:afterAutospacing="0" w:line="580" w:lineRule="exact"/>
              <w:ind w:left="0" w:right="0" w:firstLine="420"/>
              <w:jc w:val="both"/>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二十四）负责全县工业和信息化领域的节能降耗、清洁生产和资源节约与综合利用工作，协调推进工业化与生态环境协调发展中的重大问题，组织实施相关重大示范项目和新产品、新技术、新工艺、新设备、新材料的推广应用。</w:t>
            </w:r>
          </w:p>
          <w:p>
            <w:pPr>
              <w:keepNext w:val="0"/>
              <w:keepLines w:val="0"/>
              <w:suppressLineNumbers w:val="0"/>
              <w:spacing w:before="0" w:beforeAutospacing="0" w:after="0" w:afterAutospacing="0" w:line="580" w:lineRule="exact"/>
              <w:ind w:left="0" w:right="0" w:firstLine="420"/>
              <w:jc w:val="both"/>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二十五）指导企业建立现代企业制度、改组改造、兼并重组，负责全县企业治乱减负工作和推进企业信用制度建设，指导企业经营管理人员、专业技术人员培训，负责全县大企业大集团和龙头骨干企业的培育工作，负责全县中小企业发展的指导推进工作，综合协调有关部门拟定促进中小企业发展的政策措施，负责推进中小企业服务体系建设。负责中小企业信用担保和融资体系建设并实施行业监管，制定工业发展资金等财政专项资金使用计划，负责企业技术改造、技术创新、生产运行等涉及财政、信贷、税收、保险等方面问题的协调，指导工业企业直接融资工作。</w:t>
            </w:r>
          </w:p>
          <w:p>
            <w:pPr>
              <w:keepNext w:val="0"/>
              <w:keepLines w:val="0"/>
              <w:suppressLineNumbers w:val="0"/>
              <w:spacing w:before="0" w:beforeAutospacing="0" w:after="0" w:afterAutospacing="0" w:line="580" w:lineRule="exact"/>
              <w:ind w:left="0" w:right="0" w:firstLine="420"/>
              <w:jc w:val="both"/>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二十六）负责对全县工业实施行业管理，制定并组织实施相关政策措施，拟定新能源等产业发展规划、年度计划、政策措施并组织实施。拟定加快农产品加工业发展的政策措施，参与推进农业产业化龙头企业建设，参与推进农业现代化和新农村建设。指导工业、信息化和无线电领域的社会中介组织发展。</w:t>
            </w:r>
          </w:p>
          <w:p>
            <w:pPr>
              <w:keepNext w:val="0"/>
              <w:keepLines w:val="0"/>
              <w:suppressLineNumbers w:val="0"/>
              <w:spacing w:before="0" w:beforeAutospacing="0" w:after="0" w:afterAutospacing="0" w:line="580" w:lineRule="exact"/>
              <w:ind w:left="0" w:right="0" w:firstLine="420"/>
              <w:jc w:val="both"/>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二十七）统筹推进全县信息化工作，制定并组织实施相关政策，指导电子政务、企业信息化、电子商务和物联网发展，推动跨行业、跨部门面向社会服务网络的互联互通和信息资源共享。负责全县信息基础设施建设的规划、协调和管理，组织相关部门制定通信管线规划并承担相应的管理工作，协调电信市场涉及社会公共利益的重大事项。统一配置和管理全县无线电频谱资源，依法监督管理无线电台（站），负责无线电电磁环境保护工作，负责无线电监测、检测和干扰查处，协调军地间和县际间无线电管理相关事宜，维护空中电波秩序，依法组织实施无线电管制。</w:t>
            </w:r>
          </w:p>
          <w:p>
            <w:pPr>
              <w:keepNext w:val="0"/>
              <w:keepLines w:val="0"/>
              <w:suppressLineNumbers w:val="0"/>
              <w:spacing w:before="0" w:beforeAutospacing="0" w:after="0" w:afterAutospacing="0" w:line="580" w:lineRule="exact"/>
              <w:ind w:left="0" w:right="0" w:firstLine="420"/>
              <w:jc w:val="both"/>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（二十八）承担县政府公布的有关行政审批事项。</w:t>
            </w:r>
          </w:p>
          <w:p>
            <w:pPr>
              <w:keepNext w:val="0"/>
              <w:keepLines w:val="0"/>
              <w:suppressLineNumbers w:val="0"/>
              <w:spacing w:before="0" w:beforeAutospacing="0" w:after="0" w:afterAutospacing="0" w:line="580" w:lineRule="exact"/>
              <w:ind w:left="0" w:right="0" w:firstLine="420"/>
              <w:jc w:val="both"/>
              <w:rPr>
                <w:rFonts w:hint="eastAsia" w:ascii="宋体" w:hAnsi="宋体" w:cs="宋体"/>
                <w:sz w:val="21"/>
                <w:szCs w:val="21"/>
                <w:vertAlign w:val="baseline"/>
                <w:lang w:val="en-US" w:eastAsia="zh-CN"/>
              </w:rPr>
            </w:pPr>
            <w:r>
              <w:rPr>
                <w:rFonts w:hint="eastAsia" w:ascii="宋体" w:hAnsi="宋体" w:cs="宋体"/>
                <w:sz w:val="21"/>
                <w:szCs w:val="21"/>
                <w:vertAlign w:val="baseline"/>
                <w:lang w:val="en-US" w:eastAsia="zh-CN"/>
              </w:rPr>
              <w:t>（二十九）承担县政府交办的其他事项。</w:t>
            </w:r>
          </w:p>
          <w:p>
            <w:pPr>
              <w:keepNext w:val="0"/>
              <w:keepLines w:val="0"/>
              <w:suppressLineNumbers w:val="0"/>
              <w:spacing w:before="0" w:beforeAutospacing="0" w:after="0" w:afterAutospacing="0" w:line="580" w:lineRule="exact"/>
              <w:ind w:left="0" w:right="0" w:firstLine="420"/>
              <w:jc w:val="both"/>
              <w:rPr>
                <w:rFonts w:hint="eastAsia" w:ascii="宋体" w:hAnsi="宋体" w:cs="宋体"/>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63" w:type="dxa"/>
          </w:tcPr>
          <w:p>
            <w:pPr>
              <w:keepNext w:val="0"/>
              <w:keepLines w:val="0"/>
              <w:suppressLineNumbers w:val="0"/>
              <w:spacing w:before="0" w:beforeAutospacing="0" w:after="0" w:afterAutospacing="0" w:line="580" w:lineRule="exact"/>
              <w:ind w:left="0" w:right="0"/>
              <w:jc w:val="both"/>
              <w:rPr>
                <w:rFonts w:hint="eastAsia" w:ascii="宋体" w:hAnsi="宋体" w:eastAsia="宋体" w:cs="宋体"/>
                <w:sz w:val="21"/>
                <w:szCs w:val="21"/>
                <w:vertAlign w:val="baseline"/>
                <w:lang w:eastAsia="zh-CN"/>
              </w:rPr>
            </w:pPr>
            <w:r>
              <w:rPr>
                <w:rFonts w:hint="eastAsia" w:ascii="宋体" w:hAnsi="宋体" w:eastAsia="宋体" w:cs="宋体"/>
                <w:sz w:val="21"/>
                <w:szCs w:val="21"/>
                <w:vertAlign w:val="baseline"/>
                <w:lang w:eastAsia="zh-CN"/>
              </w:rPr>
              <w:t>职责边界</w:t>
            </w:r>
          </w:p>
        </w:tc>
        <w:tc>
          <w:tcPr>
            <w:tcW w:w="7825" w:type="dxa"/>
          </w:tcPr>
          <w:p>
            <w:pPr>
              <w:keepNext w:val="0"/>
              <w:keepLines w:val="0"/>
              <w:suppressLineNumbers w:val="0"/>
              <w:spacing w:before="0" w:beforeAutospacing="0" w:after="0" w:afterAutospacing="0" w:line="580" w:lineRule="exact"/>
              <w:ind w:left="0" w:right="0"/>
              <w:jc w:val="both"/>
              <w:rPr>
                <w:rFonts w:hint="eastAsia" w:ascii="黑体" w:hAnsi="黑体" w:eastAsia="黑体"/>
                <w:sz w:val="32"/>
                <w:szCs w:val="32"/>
                <w:vertAlign w:val="baseline"/>
                <w:lang w:eastAsia="zh-CN"/>
              </w:rPr>
            </w:pPr>
          </w:p>
        </w:tc>
      </w:tr>
    </w:tbl>
    <w:p>
      <w:pPr>
        <w:ind w:firstLine="1280" w:firstLineChars="400"/>
        <w:jc w:val="both"/>
        <w:rPr>
          <w:rFonts w:hint="eastAsia" w:ascii="仿宋_GB2312" w:hAnsi="仿宋_GB2312" w:eastAsia="仿宋_GB2312" w:cs="仿宋_GB2312"/>
          <w:sz w:val="32"/>
          <w:szCs w:val="32"/>
          <w:u w:val="single"/>
          <w:lang w:val="en-US" w:eastAsia="zh-CN"/>
        </w:rPr>
      </w:pPr>
    </w:p>
    <w:p>
      <w:pPr>
        <w:ind w:firstLine="1280" w:firstLineChars="400"/>
        <w:jc w:val="both"/>
        <w:rPr>
          <w:rFonts w:hint="eastAsia" w:ascii="仿宋_GB2312" w:hAnsi="仿宋_GB2312" w:eastAsia="仿宋_GB2312" w:cs="仿宋_GB2312"/>
          <w:sz w:val="32"/>
          <w:szCs w:val="32"/>
          <w:u w:val="single"/>
          <w:lang w:val="en-US" w:eastAsia="zh-CN"/>
        </w:rPr>
      </w:pPr>
    </w:p>
    <w:p>
      <w:pPr>
        <w:ind w:firstLine="1280" w:firstLineChars="400"/>
        <w:jc w:val="both"/>
        <w:rPr>
          <w:rFonts w:hint="eastAsia" w:ascii="仿宋_GB2312" w:hAnsi="仿宋_GB2312" w:eastAsia="仿宋_GB2312" w:cs="仿宋_GB2312"/>
          <w:sz w:val="32"/>
          <w:szCs w:val="32"/>
          <w:u w:val="single"/>
          <w:lang w:val="en-US" w:eastAsia="zh-CN"/>
        </w:rPr>
      </w:pPr>
    </w:p>
    <w:p>
      <w:pPr>
        <w:ind w:firstLine="1280" w:firstLineChars="400"/>
        <w:jc w:val="both"/>
        <w:rPr>
          <w:rFonts w:hint="eastAsia" w:ascii="仿宋_GB2312" w:hAnsi="仿宋_GB2312" w:eastAsia="仿宋_GB2312" w:cs="仿宋_GB2312"/>
          <w:sz w:val="32"/>
          <w:szCs w:val="32"/>
          <w:u w:val="single"/>
          <w:lang w:val="en-US" w:eastAsia="zh-CN"/>
        </w:rPr>
      </w:pPr>
    </w:p>
    <w:p>
      <w:pPr>
        <w:ind w:firstLine="1280" w:firstLineChars="400"/>
        <w:jc w:val="both"/>
        <w:rPr>
          <w:rFonts w:hint="eastAsia" w:ascii="仿宋_GB2312" w:hAnsi="仿宋_GB2312" w:eastAsia="仿宋_GB2312" w:cs="仿宋_GB2312"/>
          <w:sz w:val="32"/>
          <w:szCs w:val="32"/>
          <w:u w:val="single"/>
          <w:lang w:val="en-US" w:eastAsia="zh-CN"/>
        </w:rPr>
      </w:pPr>
    </w:p>
    <w:p>
      <w:pPr>
        <w:ind w:firstLine="1280" w:firstLineChars="400"/>
        <w:jc w:val="both"/>
        <w:rPr>
          <w:rFonts w:hint="eastAsia" w:ascii="仿宋_GB2312" w:hAnsi="仿宋_GB2312" w:eastAsia="仿宋_GB2312" w:cs="仿宋_GB2312"/>
          <w:sz w:val="32"/>
          <w:szCs w:val="32"/>
          <w:u w:val="single"/>
          <w:lang w:val="en-US" w:eastAsia="zh-CN"/>
        </w:rPr>
      </w:pPr>
    </w:p>
    <w:p>
      <w:pPr>
        <w:ind w:firstLine="1280" w:firstLineChars="400"/>
        <w:jc w:val="both"/>
        <w:rPr>
          <w:rFonts w:hint="eastAsia" w:ascii="仿宋_GB2312" w:hAnsi="仿宋_GB2312" w:eastAsia="仿宋_GB2312" w:cs="仿宋_GB2312"/>
          <w:sz w:val="32"/>
          <w:szCs w:val="32"/>
          <w:u w:val="single"/>
          <w:lang w:val="en-US" w:eastAsia="zh-CN"/>
        </w:rPr>
      </w:pPr>
    </w:p>
    <w:p>
      <w:pPr>
        <w:ind w:firstLine="1280" w:firstLineChars="400"/>
        <w:jc w:val="both"/>
        <w:rPr>
          <w:rFonts w:hint="eastAsia" w:ascii="仿宋_GB2312" w:hAnsi="仿宋_GB2312" w:eastAsia="仿宋_GB2312" w:cs="仿宋_GB2312"/>
          <w:sz w:val="32"/>
          <w:szCs w:val="32"/>
          <w:u w:val="single"/>
          <w:lang w:val="en-US" w:eastAsia="zh-CN"/>
        </w:rPr>
      </w:pPr>
    </w:p>
    <w:p>
      <w:pPr>
        <w:ind w:firstLine="1280" w:firstLineChars="400"/>
        <w:jc w:val="both"/>
        <w:rPr>
          <w:rFonts w:hint="eastAsia" w:ascii="仿宋_GB2312" w:hAnsi="仿宋_GB2312" w:eastAsia="仿宋_GB2312" w:cs="仿宋_GB2312"/>
          <w:sz w:val="32"/>
          <w:szCs w:val="32"/>
          <w:u w:val="single"/>
          <w:lang w:val="en-US" w:eastAsia="zh-CN"/>
        </w:rPr>
      </w:pPr>
    </w:p>
    <w:tbl>
      <w:tblPr>
        <w:tblStyle w:val="3"/>
        <w:tblpPr w:leftFromText="180" w:rightFromText="180" w:vertAnchor="page" w:horzAnchor="page" w:tblpX="1612" w:tblpY="2373"/>
        <w:tblOverlap w:val="never"/>
        <w:tblW w:w="89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9"/>
        <w:gridCol w:w="7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5" w:hRule="atLeast"/>
        </w:trPr>
        <w:tc>
          <w:tcPr>
            <w:tcW w:w="1139"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Cs w:val="21"/>
                <w:lang w:val="en-US" w:eastAsia="zh-CN"/>
              </w:rPr>
            </w:pPr>
            <w:r>
              <w:rPr>
                <w:rFonts w:hint="eastAsia" w:ascii="宋体" w:hAnsi="宋体" w:cs="宋体"/>
                <w:szCs w:val="21"/>
                <w:lang w:val="en-US" w:eastAsia="zh-CN"/>
              </w:rPr>
              <w:t>序号</w:t>
            </w:r>
          </w:p>
        </w:tc>
        <w:tc>
          <w:tcPr>
            <w:tcW w:w="7796"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Cs w:val="21"/>
                <w:lang w:eastAsia="zh-CN"/>
              </w:rPr>
            </w:pPr>
            <w:r>
              <w:rPr>
                <w:rFonts w:hint="eastAsia" w:ascii="宋体" w:hAnsi="宋体" w:cs="宋体"/>
                <w:szCs w:val="21"/>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trPr>
        <w:tc>
          <w:tcPr>
            <w:tcW w:w="1139" w:type="dxa"/>
            <w:vAlign w:val="center"/>
          </w:tcPr>
          <w:p>
            <w:pPr>
              <w:keepNext w:val="0"/>
              <w:keepLines w:val="0"/>
              <w:suppressLineNumbers w:val="0"/>
              <w:spacing w:before="0" w:beforeAutospacing="0" w:after="0" w:afterAutospacing="0"/>
              <w:ind w:left="0" w:right="0"/>
              <w:jc w:val="center"/>
              <w:rPr>
                <w:rFonts w:hint="eastAsia" w:ascii="宋体" w:hAnsi="宋体" w:cs="宋体"/>
                <w:szCs w:val="21"/>
              </w:rPr>
            </w:pPr>
            <w:r>
              <w:rPr>
                <w:rFonts w:hint="eastAsia" w:ascii="宋体" w:hAnsi="宋体" w:cs="宋体"/>
                <w:szCs w:val="21"/>
              </w:rPr>
              <w:t>权力类型</w:t>
            </w:r>
          </w:p>
        </w:tc>
        <w:tc>
          <w:tcPr>
            <w:tcW w:w="7796" w:type="dxa"/>
            <w:vAlign w:val="center"/>
          </w:tcPr>
          <w:p>
            <w:pPr>
              <w:keepNext w:val="0"/>
              <w:keepLines w:val="0"/>
              <w:suppressLineNumbers w:val="0"/>
              <w:spacing w:before="0" w:beforeAutospacing="0" w:after="0" w:afterAutospacing="0"/>
              <w:ind w:left="0" w:right="0"/>
              <w:jc w:val="center"/>
              <w:rPr>
                <w:rFonts w:hint="eastAsia" w:ascii="宋体" w:hAnsi="宋体" w:cs="宋体"/>
                <w:szCs w:val="21"/>
              </w:rPr>
            </w:pPr>
            <w:r>
              <w:rPr>
                <w:rFonts w:hint="eastAsia" w:ascii="宋体" w:hAnsi="宋体" w:cs="宋体"/>
                <w:szCs w:val="21"/>
              </w:rPr>
              <w:t>行政</w:t>
            </w:r>
            <w:r>
              <w:rPr>
                <w:rFonts w:hint="eastAsia" w:ascii="宋体" w:hAnsi="宋体" w:cs="宋体"/>
                <w:szCs w:val="21"/>
                <w:lang w:eastAsia="zh-CN"/>
              </w:rPr>
              <w:t>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9" w:hRule="atLeast"/>
        </w:trPr>
        <w:tc>
          <w:tcPr>
            <w:tcW w:w="1139" w:type="dxa"/>
            <w:vAlign w:val="center"/>
          </w:tcPr>
          <w:p>
            <w:pPr>
              <w:keepNext w:val="0"/>
              <w:keepLines w:val="0"/>
              <w:suppressLineNumbers w:val="0"/>
              <w:spacing w:before="0" w:beforeAutospacing="0" w:after="0" w:afterAutospacing="0"/>
              <w:ind w:left="0" w:right="0"/>
              <w:jc w:val="center"/>
              <w:rPr>
                <w:rFonts w:hint="eastAsia" w:ascii="宋体" w:hAnsi="宋体" w:cs="宋体"/>
                <w:szCs w:val="21"/>
              </w:rPr>
            </w:pPr>
            <w:r>
              <w:rPr>
                <w:rFonts w:hint="eastAsia" w:ascii="宋体" w:hAnsi="宋体" w:cs="宋体"/>
                <w:szCs w:val="21"/>
              </w:rPr>
              <w:t>权力项目名称</w:t>
            </w:r>
          </w:p>
        </w:tc>
        <w:tc>
          <w:tcPr>
            <w:tcW w:w="7796" w:type="dxa"/>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cs="宋体"/>
                <w:spacing w:val="-20"/>
                <w:szCs w:val="21"/>
              </w:rPr>
            </w:pPr>
            <w:r>
              <w:rPr>
                <w:rFonts w:hint="eastAsia" w:ascii="宋体" w:hAnsi="宋体" w:cs="宋体"/>
                <w:i w:val="0"/>
                <w:color w:val="000000"/>
                <w:kern w:val="0"/>
                <w:sz w:val="18"/>
                <w:szCs w:val="18"/>
                <w:u w:val="none"/>
                <w:lang w:val="en-US" w:eastAsia="zh-CN" w:bidi="ar"/>
              </w:rPr>
              <w:t>对外贸易经营者备案登记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88" w:hRule="atLeast"/>
        </w:trPr>
        <w:tc>
          <w:tcPr>
            <w:tcW w:w="1139" w:type="dxa"/>
            <w:vAlign w:val="center"/>
          </w:tcPr>
          <w:p>
            <w:pPr>
              <w:keepNext w:val="0"/>
              <w:keepLines w:val="0"/>
              <w:suppressLineNumbers w:val="0"/>
              <w:spacing w:before="0" w:beforeAutospacing="0" w:after="0" w:afterAutospacing="0"/>
              <w:ind w:left="0" w:right="0"/>
              <w:jc w:val="center"/>
              <w:rPr>
                <w:rFonts w:hint="eastAsia" w:ascii="宋体" w:hAnsi="宋体" w:cs="宋体"/>
                <w:szCs w:val="21"/>
              </w:rPr>
            </w:pPr>
            <w:r>
              <w:rPr>
                <w:rFonts w:hint="eastAsia" w:ascii="宋体" w:hAnsi="宋体" w:cs="宋体"/>
                <w:szCs w:val="21"/>
              </w:rPr>
              <w:t>实施依据</w:t>
            </w:r>
          </w:p>
        </w:tc>
        <w:tc>
          <w:tcPr>
            <w:tcW w:w="7796" w:type="dxa"/>
            <w:vAlign w:val="center"/>
          </w:tcPr>
          <w:p>
            <w:pPr>
              <w:keepNext w:val="0"/>
              <w:keepLines w:val="0"/>
              <w:widowControl/>
              <w:suppressLineNumbers w:val="0"/>
              <w:spacing w:before="0" w:beforeAutospacing="0" w:after="0" w:afterAutospacing="0"/>
              <w:ind w:left="0" w:right="0"/>
              <w:jc w:val="left"/>
              <w:textAlignment w:val="center"/>
              <w:rPr>
                <w:rFonts w:hint="eastAsia" w:ascii="仿宋_GB2312" w:hAnsi="仿宋_GB2312" w:eastAsia="仿宋_GB2312" w:cs="仿宋_GB2312"/>
                <w:szCs w:val="21"/>
              </w:rPr>
            </w:pPr>
            <w:r>
              <w:rPr>
                <w:rFonts w:hint="eastAsia" w:ascii="宋体" w:hAnsi="宋体" w:eastAsia="宋体" w:cs="宋体"/>
                <w:i w:val="0"/>
                <w:color w:val="000000"/>
                <w:kern w:val="0"/>
                <w:sz w:val="18"/>
                <w:szCs w:val="18"/>
                <w:u w:val="none"/>
                <w:lang w:val="en-US" w:eastAsia="zh-CN" w:bidi="ar"/>
              </w:rPr>
              <w:t>《中华人民共和国对外贸易法》（1994年5月12日中华人民共和国主席令第22号公布，自1994年7月1日起施行，2016年11月7日修改）第九条  从事货物进出口或者技术进出口的对外贸易经营者，应当向国务院对外贸易主管部门或者其委托的机构办理备案登记；但是，法律、行政法规和国务院对外贸易主管部门规定不需要备案登记的除外。备案登记的具体办法由国务院对外贸易主管部门规定。对外贸易经营者未按照规定办理备案登记的，海关不予办理进出口货物的报关验放手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9" w:hRule="atLeast"/>
        </w:trPr>
        <w:tc>
          <w:tcPr>
            <w:tcW w:w="1139" w:type="dxa"/>
            <w:vAlign w:val="center"/>
          </w:tcPr>
          <w:p>
            <w:pPr>
              <w:keepNext w:val="0"/>
              <w:keepLines w:val="0"/>
              <w:suppressLineNumbers w:val="0"/>
              <w:spacing w:before="0" w:beforeAutospacing="0" w:after="0" w:afterAutospacing="0"/>
              <w:ind w:left="0" w:right="0"/>
              <w:jc w:val="center"/>
              <w:rPr>
                <w:rFonts w:hint="eastAsia" w:ascii="宋体" w:hAnsi="宋体" w:cs="宋体"/>
                <w:szCs w:val="21"/>
              </w:rPr>
            </w:pPr>
            <w:r>
              <w:rPr>
                <w:rFonts w:hint="eastAsia" w:ascii="宋体" w:hAnsi="宋体" w:cs="宋体"/>
                <w:szCs w:val="21"/>
              </w:rPr>
              <w:t>责任主体</w:t>
            </w:r>
          </w:p>
        </w:tc>
        <w:tc>
          <w:tcPr>
            <w:tcW w:w="7796" w:type="dxa"/>
            <w:vAlign w:val="center"/>
          </w:tcPr>
          <w:p>
            <w:pPr>
              <w:keepNext w:val="0"/>
              <w:keepLines w:val="0"/>
              <w:suppressLineNumbers w:val="0"/>
              <w:spacing w:before="0" w:beforeAutospacing="0" w:after="0" w:afterAutospacing="0"/>
              <w:ind w:left="0" w:right="0"/>
              <w:jc w:val="center"/>
              <w:rPr>
                <w:rFonts w:hint="eastAsia" w:ascii="宋体" w:hAnsi="宋体" w:cs="宋体"/>
                <w:szCs w:val="21"/>
              </w:rPr>
            </w:pPr>
            <w:r>
              <w:rPr>
                <w:rFonts w:hint="eastAsia" w:ascii="宋体" w:hAnsi="宋体" w:cs="宋体"/>
                <w:szCs w:val="21"/>
                <w:lang w:eastAsia="zh-CN"/>
              </w:rPr>
              <w:t>阿坝县</w:t>
            </w:r>
            <w:r>
              <w:rPr>
                <w:rFonts w:hint="eastAsia" w:ascii="宋体" w:hAnsi="宋体" w:cs="宋体"/>
                <w:szCs w:val="21"/>
              </w:rPr>
              <w:t>发展改革和经济商务信息化局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87" w:hRule="atLeast"/>
        </w:trPr>
        <w:tc>
          <w:tcPr>
            <w:tcW w:w="1139" w:type="dxa"/>
            <w:vAlign w:val="center"/>
          </w:tcPr>
          <w:p>
            <w:pPr>
              <w:keepNext w:val="0"/>
              <w:keepLines w:val="0"/>
              <w:suppressLineNumbers w:val="0"/>
              <w:spacing w:before="0" w:beforeAutospacing="0" w:after="0" w:afterAutospacing="0"/>
              <w:ind w:left="0" w:right="0"/>
              <w:jc w:val="center"/>
              <w:rPr>
                <w:rFonts w:hint="eastAsia" w:ascii="宋体" w:hAnsi="宋体" w:cs="宋体"/>
                <w:szCs w:val="21"/>
              </w:rPr>
            </w:pPr>
            <w:r>
              <w:rPr>
                <w:rFonts w:hint="eastAsia" w:ascii="宋体" w:hAnsi="宋体" w:cs="宋体"/>
                <w:szCs w:val="21"/>
              </w:rPr>
              <w:t>责任事项</w:t>
            </w:r>
          </w:p>
        </w:tc>
        <w:tc>
          <w:tcPr>
            <w:tcW w:w="7796" w:type="dxa"/>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⒈受理责任：公示依法应当提交的材料；一次性告知补正材料；依法受理或不予受理（不予受理应当告知理由）。</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⒉审查责任：材料审核（主要包括申请书的审核）；提出审查意见。</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⒊决定责任：作出决定（不予行政许可的要告知理由）；按时办结。</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⒋送达责任：制发送达行政许可证书；信息公开。</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⒌事后监管责任：建立对外贸易经营者备案登记表核发、增项、迁址，变更企业名称、住所、经营地址，补领证书、证书更正档案；加强监督检查。</w:t>
            </w:r>
          </w:p>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⒍其他责任：法律法规规定的其他责任。</w:t>
            </w:r>
          </w:p>
          <w:p>
            <w:pPr>
              <w:keepNext w:val="0"/>
              <w:keepLines w:val="0"/>
              <w:widowControl/>
              <w:suppressLineNumbers w:val="0"/>
              <w:spacing w:before="0" w:beforeAutospacing="0" w:after="0" w:afterAutospacing="0"/>
              <w:ind w:left="0" w:right="0"/>
              <w:jc w:val="left"/>
              <w:textAlignment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0" w:hRule="atLeast"/>
        </w:trPr>
        <w:tc>
          <w:tcPr>
            <w:tcW w:w="1139" w:type="dxa"/>
            <w:vAlign w:val="center"/>
          </w:tcPr>
          <w:p>
            <w:pPr>
              <w:keepNext w:val="0"/>
              <w:keepLines w:val="0"/>
              <w:suppressLineNumbers w:val="0"/>
              <w:spacing w:before="0" w:beforeAutospacing="0" w:after="0" w:afterAutospacing="0"/>
              <w:ind w:left="0" w:right="0"/>
              <w:jc w:val="center"/>
              <w:rPr>
                <w:rFonts w:hint="eastAsia" w:ascii="宋体" w:hAnsi="宋体" w:cs="宋体"/>
                <w:szCs w:val="21"/>
              </w:rPr>
            </w:pPr>
            <w:r>
              <w:rPr>
                <w:rFonts w:hint="eastAsia" w:ascii="宋体" w:hAnsi="宋体" w:cs="宋体"/>
                <w:szCs w:val="21"/>
              </w:rPr>
              <w:t>责任事项依据</w:t>
            </w:r>
          </w:p>
        </w:tc>
        <w:tc>
          <w:tcPr>
            <w:tcW w:w="7796" w:type="dxa"/>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keepNext w:val="0"/>
              <w:keepLines w:val="0"/>
              <w:widowControl/>
              <w:suppressLineNumbers w:val="0"/>
              <w:spacing w:before="0" w:beforeAutospacing="0" w:after="0" w:afterAutospacing="0"/>
              <w:ind w:left="0" w:right="0"/>
              <w:jc w:val="left"/>
              <w:textAlignment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5" w:hRule="atLeast"/>
        </w:trPr>
        <w:tc>
          <w:tcPr>
            <w:tcW w:w="1139"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Cs w:val="21"/>
                <w:lang w:eastAsia="zh-CN"/>
              </w:rPr>
            </w:pPr>
            <w:r>
              <w:rPr>
                <w:rFonts w:hint="eastAsia" w:ascii="宋体" w:hAnsi="宋体" w:cs="宋体"/>
                <w:szCs w:val="21"/>
                <w:lang w:eastAsia="zh-CN"/>
              </w:rPr>
              <w:t>追责情形</w:t>
            </w:r>
          </w:p>
        </w:tc>
        <w:tc>
          <w:tcPr>
            <w:tcW w:w="7796" w:type="dxa"/>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cs="宋体"/>
                <w:szCs w:val="21"/>
              </w:rPr>
            </w:pPr>
            <w:r>
              <w:rPr>
                <w:rFonts w:hint="eastAsia" w:ascii="宋体" w:hAnsi="宋体" w:eastAsia="宋体" w:cs="宋体"/>
                <w:sz w:val="18"/>
                <w:szCs w:val="18"/>
              </w:rPr>
              <w:t>对不履行或不正确履行行政职责的行政机关及其工作人员，依据《中华人民共和国监察法》、《中华人民共和国行政许可法》、《行政机关公务员处分条例》、</w:t>
            </w:r>
            <w:r>
              <w:rPr>
                <w:rFonts w:hint="eastAsia" w:ascii="宋体" w:hAnsi="宋体" w:cs="宋体"/>
                <w:sz w:val="18"/>
                <w:szCs w:val="18"/>
                <w:lang w:eastAsia="zh-CN"/>
              </w:rPr>
              <w:t>《四川省行政执法监督条例》、《四川省行政机关工作人员行政过错责任追究试行办法》</w:t>
            </w:r>
            <w:r>
              <w:rPr>
                <w:rFonts w:hint="eastAsia" w:ascii="宋体" w:hAnsi="宋体" w:eastAsia="宋体" w:cs="宋体"/>
                <w:sz w:val="18"/>
                <w:szCs w:val="18"/>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4" w:hRule="atLeast"/>
        </w:trPr>
        <w:tc>
          <w:tcPr>
            <w:tcW w:w="1139" w:type="dxa"/>
            <w:vAlign w:val="center"/>
          </w:tcPr>
          <w:p>
            <w:pPr>
              <w:keepNext w:val="0"/>
              <w:keepLines w:val="0"/>
              <w:suppressLineNumbers w:val="0"/>
              <w:spacing w:before="0" w:beforeAutospacing="0" w:after="0" w:afterAutospacing="0"/>
              <w:ind w:left="0" w:right="0"/>
              <w:jc w:val="center"/>
              <w:rPr>
                <w:rFonts w:hint="eastAsia" w:ascii="宋体" w:hAnsi="宋体" w:cs="宋体"/>
                <w:szCs w:val="21"/>
              </w:rPr>
            </w:pPr>
            <w:r>
              <w:rPr>
                <w:rFonts w:hint="eastAsia" w:ascii="宋体" w:hAnsi="宋体" w:cs="宋体"/>
                <w:szCs w:val="21"/>
              </w:rPr>
              <w:t>监督电话</w:t>
            </w:r>
          </w:p>
        </w:tc>
        <w:tc>
          <w:tcPr>
            <w:tcW w:w="7796" w:type="dxa"/>
            <w:vAlign w:val="center"/>
          </w:tcPr>
          <w:p>
            <w:pPr>
              <w:keepNext w:val="0"/>
              <w:keepLines w:val="0"/>
              <w:suppressLineNumbers w:val="0"/>
              <w:spacing w:before="0" w:beforeAutospacing="0" w:after="0" w:afterAutospacing="0"/>
              <w:ind w:left="0" w:right="0"/>
              <w:jc w:val="center"/>
              <w:rPr>
                <w:rFonts w:hint="eastAsia" w:ascii="宋体" w:hAnsi="宋体" w:eastAsia="宋体" w:cs="宋体"/>
                <w:szCs w:val="21"/>
                <w:lang w:eastAsia="zh-CN"/>
              </w:rPr>
            </w:pPr>
            <w:r>
              <w:rPr>
                <w:rFonts w:hint="eastAsia" w:ascii="宋体" w:hAnsi="宋体" w:cs="宋体"/>
                <w:szCs w:val="21"/>
                <w:lang w:eastAsia="zh-CN"/>
              </w:rPr>
              <w:t>0837—2486623</w:t>
            </w:r>
          </w:p>
        </w:tc>
      </w:tr>
    </w:tbl>
    <w:p/>
    <w:p/>
    <w:p>
      <w:pPr>
        <w:ind w:firstLine="1280" w:firstLineChars="400"/>
        <w:jc w:val="both"/>
        <w:rPr>
          <w:rFonts w:hint="eastAsia" w:ascii="仿宋_GB2312" w:hAnsi="仿宋_GB2312" w:eastAsia="仿宋_GB2312" w:cs="仿宋_GB2312"/>
          <w:sz w:val="32"/>
          <w:szCs w:val="32"/>
          <w:u w:val="single"/>
          <w:lang w:val="en-US" w:eastAsia="zh-CN"/>
        </w:rPr>
      </w:pPr>
    </w:p>
    <w:p>
      <w:pPr>
        <w:ind w:firstLine="1280" w:firstLineChars="400"/>
        <w:jc w:val="both"/>
        <w:rPr>
          <w:rFonts w:hint="eastAsia" w:ascii="仿宋_GB2312" w:hAnsi="仿宋_GB2312" w:eastAsia="仿宋_GB2312" w:cs="仿宋_GB2312"/>
          <w:sz w:val="32"/>
          <w:szCs w:val="32"/>
          <w:u w:val="single"/>
          <w:lang w:val="en-US" w:eastAsia="zh-CN"/>
        </w:rPr>
      </w:pPr>
    </w:p>
    <w:p>
      <w:pPr>
        <w:ind w:firstLine="1280" w:firstLineChars="400"/>
        <w:jc w:val="both"/>
        <w:rPr>
          <w:rFonts w:hint="eastAsia" w:ascii="仿宋_GB2312" w:hAnsi="仿宋_GB2312" w:eastAsia="仿宋_GB2312" w:cs="仿宋_GB2312"/>
          <w:sz w:val="32"/>
          <w:szCs w:val="32"/>
          <w:u w:val="single"/>
          <w:lang w:val="en-US" w:eastAsia="zh-CN"/>
        </w:rPr>
      </w:pPr>
    </w:p>
    <w:p>
      <w:pPr>
        <w:ind w:firstLine="1280" w:firstLineChars="400"/>
        <w:jc w:val="both"/>
        <w:rPr>
          <w:rFonts w:hint="eastAsia" w:ascii="仿宋_GB2312" w:hAnsi="仿宋_GB2312" w:eastAsia="仿宋_GB2312" w:cs="仿宋_GB2312"/>
          <w:sz w:val="32"/>
          <w:szCs w:val="32"/>
          <w:u w:val="single"/>
          <w:lang w:val="en-US" w:eastAsia="zh-CN"/>
        </w:rPr>
      </w:pPr>
    </w:p>
    <w:p/>
    <w:tbl>
      <w:tblPr>
        <w:tblStyle w:val="3"/>
        <w:tblpPr w:leftFromText="180" w:rightFromText="180" w:vertAnchor="text" w:horzAnchor="margin" w:tblpX="175" w:tblpY="366"/>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8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trPr>
        <w:tc>
          <w:tcPr>
            <w:tcW w:w="788"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cs="宋体"/>
                <w:szCs w:val="21"/>
              </w:rPr>
            </w:pPr>
            <w:r>
              <w:rPr>
                <w:rFonts w:hint="eastAsia" w:ascii="宋体" w:hAnsi="宋体" w:cs="宋体"/>
                <w:szCs w:val="21"/>
              </w:rPr>
              <w:t>序号</w:t>
            </w:r>
          </w:p>
        </w:tc>
        <w:tc>
          <w:tcPr>
            <w:tcW w:w="8212"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eastAsia="宋体" w:cs="宋体"/>
                <w:szCs w:val="21"/>
                <w:lang w:eastAsia="zh-CN"/>
              </w:rPr>
            </w:pPr>
            <w:r>
              <w:rPr>
                <w:rFonts w:hint="eastAsia" w:ascii="宋体" w:hAnsi="宋体" w:cs="宋体"/>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6" w:hRule="atLeast"/>
        </w:trPr>
        <w:tc>
          <w:tcPr>
            <w:tcW w:w="788"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cs="宋体"/>
                <w:szCs w:val="21"/>
              </w:rPr>
            </w:pPr>
            <w:r>
              <w:rPr>
                <w:rFonts w:hint="eastAsia" w:ascii="宋体" w:hAnsi="宋体" w:cs="宋体"/>
                <w:szCs w:val="21"/>
              </w:rPr>
              <w:t>权力类型</w:t>
            </w:r>
          </w:p>
        </w:tc>
        <w:tc>
          <w:tcPr>
            <w:tcW w:w="8212"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cs="宋体"/>
                <w:szCs w:val="21"/>
              </w:rPr>
            </w:pPr>
            <w:r>
              <w:rPr>
                <w:rFonts w:hint="eastAsia" w:ascii="宋体" w:hAnsi="宋体" w:cs="宋体"/>
                <w:szCs w:val="21"/>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788"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cs="宋体"/>
                <w:szCs w:val="21"/>
              </w:rPr>
            </w:pPr>
            <w:r>
              <w:rPr>
                <w:rFonts w:hint="eastAsia" w:ascii="宋体" w:hAnsi="宋体" w:cs="宋体"/>
                <w:szCs w:val="21"/>
              </w:rPr>
              <w:t>权力项目名称</w:t>
            </w:r>
          </w:p>
        </w:tc>
        <w:tc>
          <w:tcPr>
            <w:tcW w:w="8212"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cs="宋体"/>
                <w:szCs w:val="21"/>
              </w:rPr>
            </w:pPr>
            <w:r>
              <w:rPr>
                <w:rFonts w:hint="eastAsia" w:ascii="宋体" w:hAnsi="宋体" w:cs="宋体"/>
                <w:kern w:val="0"/>
                <w:szCs w:val="21"/>
              </w:rPr>
              <w:t>固定资产投资项目节能审查</w:t>
            </w:r>
            <w:r>
              <w:rPr>
                <w:rFonts w:hint="eastAsia" w:ascii="宋体" w:hAnsi="宋体" w:cs="宋体"/>
                <w:kern w:val="0"/>
                <w:szCs w:val="21"/>
                <w:lang w:eastAsia="zh-CN"/>
              </w:rPr>
              <w:t>（企业技术改造项目）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20" w:hRule="atLeast"/>
        </w:trPr>
        <w:tc>
          <w:tcPr>
            <w:tcW w:w="788"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cs="宋体"/>
                <w:szCs w:val="21"/>
              </w:rPr>
            </w:pPr>
            <w:r>
              <w:rPr>
                <w:rFonts w:hint="eastAsia" w:ascii="宋体" w:hAnsi="宋体" w:cs="宋体"/>
                <w:szCs w:val="21"/>
              </w:rPr>
              <w:t>实施依据</w:t>
            </w:r>
          </w:p>
        </w:tc>
        <w:tc>
          <w:tcPr>
            <w:tcW w:w="8212" w:type="dxa"/>
            <w:vAlign w:val="center"/>
          </w:tcPr>
          <w:p>
            <w:pPr>
              <w:keepNext w:val="0"/>
              <w:keepLines w:val="0"/>
              <w:suppressLineNumbers w:val="0"/>
              <w:spacing w:before="0" w:beforeAutospacing="0" w:after="0" w:afterAutospacing="0" w:line="240" w:lineRule="exact"/>
              <w:ind w:left="0" w:right="0"/>
              <w:jc w:val="left"/>
              <w:rPr>
                <w:rFonts w:hint="eastAsia" w:ascii="宋体" w:hAnsi="宋体" w:cs="宋体"/>
                <w:szCs w:val="21"/>
              </w:rPr>
            </w:pPr>
            <w:r>
              <w:rPr>
                <w:rFonts w:hint="eastAsia" w:ascii="宋体" w:hAnsi="宋体" w:cs="宋体"/>
                <w:szCs w:val="21"/>
              </w:rPr>
              <w:t>（一）《中华人民共和国节约能源法》第十五条：国家实行固定资产投资项目节能评估和审查制度。不符合强制性节能标准的项目，依法负责项目审批或者核准的机关不得批准或者核准建设；建设单位不得开工建设；已经建成的，不得投入生产、使用。具体办法由国务院管理节能工作的部门会同国务院有关部门制定。（2007年主席令第77号）；</w:t>
            </w:r>
          </w:p>
          <w:p>
            <w:pPr>
              <w:keepNext w:val="0"/>
              <w:keepLines w:val="0"/>
              <w:suppressLineNumbers w:val="0"/>
              <w:spacing w:before="0" w:beforeAutospacing="0" w:after="0" w:afterAutospacing="0" w:line="240" w:lineRule="exact"/>
              <w:ind w:left="0" w:right="0"/>
              <w:jc w:val="left"/>
              <w:rPr>
                <w:rFonts w:hint="eastAsia" w:ascii="宋体" w:hAnsi="宋体" w:cs="宋体"/>
                <w:szCs w:val="21"/>
              </w:rPr>
            </w:pPr>
            <w:r>
              <w:rPr>
                <w:rFonts w:hint="eastAsia" w:ascii="宋体" w:hAnsi="宋体" w:cs="宋体"/>
                <w:szCs w:val="21"/>
              </w:rPr>
              <w:t>（二）《国务院办公厅关于加强和规范新开工项目管理的通知》（国办发〔2007〕64号）</w:t>
            </w:r>
          </w:p>
          <w:p>
            <w:pPr>
              <w:keepNext w:val="0"/>
              <w:keepLines w:val="0"/>
              <w:suppressLineNumbers w:val="0"/>
              <w:spacing w:before="0" w:beforeAutospacing="0" w:after="0" w:afterAutospacing="0" w:line="240" w:lineRule="exact"/>
              <w:ind w:left="0" w:right="0"/>
              <w:jc w:val="left"/>
              <w:rPr>
                <w:rFonts w:hint="eastAsia" w:ascii="宋体" w:hAnsi="宋体" w:cs="宋体"/>
                <w:szCs w:val="21"/>
              </w:rPr>
            </w:pPr>
            <w:r>
              <w:rPr>
                <w:rFonts w:hint="eastAsia" w:ascii="宋体" w:hAnsi="宋体" w:cs="宋体"/>
                <w:szCs w:val="21"/>
              </w:rPr>
              <w:t>（三）《国务院批转节能减排统计监测及考核实施方案和办法的通知》（国发〔2007〕36号）；</w:t>
            </w:r>
          </w:p>
          <w:p>
            <w:pPr>
              <w:keepNext w:val="0"/>
              <w:keepLines w:val="0"/>
              <w:suppressLineNumbers w:val="0"/>
              <w:spacing w:before="0" w:beforeAutospacing="0" w:after="0" w:afterAutospacing="0" w:line="240" w:lineRule="exact"/>
              <w:ind w:left="0" w:right="0"/>
              <w:jc w:val="left"/>
              <w:rPr>
                <w:rFonts w:hint="eastAsia" w:ascii="宋体" w:hAnsi="宋体" w:cs="宋体"/>
                <w:szCs w:val="21"/>
              </w:rPr>
            </w:pPr>
            <w:r>
              <w:rPr>
                <w:rFonts w:hint="eastAsia" w:ascii="宋体" w:hAnsi="宋体" w:cs="宋体"/>
                <w:szCs w:val="21"/>
              </w:rPr>
              <w:t>（四）《固定资产投资项目节能评估和审查暂行办法》（国家发展改革委令2010年第6号）第九条：固定资产投资项目节能审查按照项目管理权限实行分级管理。由国家发展改革委核报国务院审批或核准的项目以及由国家发展改革委审批或核准的项目，其节能审查由国家发展改革委负责；由地方人民政府发展改革部门审批、核准、备案或核报本级人民政府审批、核准的项目，其节能审查由地方人民政府发展改革部门负责。</w:t>
            </w:r>
          </w:p>
          <w:p>
            <w:pPr>
              <w:keepNext w:val="0"/>
              <w:keepLines w:val="0"/>
              <w:suppressLineNumbers w:val="0"/>
              <w:spacing w:before="0" w:beforeAutospacing="0" w:after="0" w:afterAutospacing="0" w:line="240" w:lineRule="exact"/>
              <w:ind w:left="0" w:right="0"/>
              <w:jc w:val="left"/>
              <w:rPr>
                <w:rFonts w:hint="eastAsia" w:ascii="宋体" w:hAnsi="宋体" w:cs="宋体"/>
                <w:szCs w:val="21"/>
              </w:rPr>
            </w:pPr>
            <w:r>
              <w:rPr>
                <w:rFonts w:hint="eastAsia" w:ascii="宋体" w:hAnsi="宋体" w:cs="宋体"/>
                <w:szCs w:val="21"/>
              </w:rPr>
              <w:t>（五）《四川省基本建设项目节能评估和审查实施暂行办法》（川发改环资〔2011〕82号）。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788"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cs="宋体"/>
                <w:szCs w:val="21"/>
              </w:rPr>
            </w:pPr>
            <w:r>
              <w:rPr>
                <w:rFonts w:hint="eastAsia" w:ascii="宋体" w:hAnsi="宋体" w:cs="宋体"/>
                <w:szCs w:val="21"/>
              </w:rPr>
              <w:t>责任主体</w:t>
            </w:r>
          </w:p>
        </w:tc>
        <w:tc>
          <w:tcPr>
            <w:tcW w:w="8212"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cs="宋体"/>
                <w:szCs w:val="21"/>
              </w:rPr>
            </w:pPr>
            <w:r>
              <w:rPr>
                <w:rFonts w:hint="eastAsia" w:ascii="宋体" w:hAnsi="宋体" w:cs="宋体"/>
                <w:szCs w:val="21"/>
                <w:lang w:eastAsia="zh-CN"/>
              </w:rPr>
              <w:t>阿坝</w:t>
            </w:r>
            <w:r>
              <w:rPr>
                <w:rFonts w:hint="eastAsia" w:ascii="宋体" w:hAnsi="宋体" w:cs="宋体"/>
                <w:szCs w:val="21"/>
              </w:rPr>
              <w:t>县发展改革和经济商务信息化局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82" w:hRule="atLeast"/>
        </w:trPr>
        <w:tc>
          <w:tcPr>
            <w:tcW w:w="788"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cs="宋体"/>
                <w:szCs w:val="21"/>
              </w:rPr>
            </w:pPr>
            <w:r>
              <w:rPr>
                <w:rFonts w:hint="eastAsia" w:ascii="宋体" w:hAnsi="宋体" w:cs="宋体"/>
                <w:szCs w:val="21"/>
              </w:rPr>
              <w:t>责任事项</w:t>
            </w:r>
          </w:p>
        </w:tc>
        <w:tc>
          <w:tcPr>
            <w:tcW w:w="8212" w:type="dxa"/>
            <w:vAlign w:val="center"/>
          </w:tcPr>
          <w:p>
            <w:pPr>
              <w:keepNext w:val="0"/>
              <w:keepLines w:val="0"/>
              <w:suppressLineNumbers w:val="0"/>
              <w:spacing w:before="0" w:beforeAutospacing="0" w:after="0" w:afterAutospacing="0" w:line="240" w:lineRule="exact"/>
              <w:ind w:left="0" w:right="0"/>
              <w:jc w:val="left"/>
              <w:rPr>
                <w:rFonts w:hint="eastAsia" w:ascii="宋体" w:hAnsi="宋体" w:cs="宋体"/>
                <w:szCs w:val="21"/>
              </w:rPr>
            </w:pPr>
            <w:r>
              <w:rPr>
                <w:rFonts w:hint="eastAsia" w:ascii="宋体" w:hAnsi="宋体" w:cs="宋体"/>
                <w:szCs w:val="21"/>
              </w:rPr>
              <w:t>1.受理责任：公示应当提交的材料，一次性告知补正材料，依法受理或不予受理（不予受理应当告知理由）。</w:t>
            </w:r>
          </w:p>
          <w:p>
            <w:pPr>
              <w:keepNext w:val="0"/>
              <w:keepLines w:val="0"/>
              <w:suppressLineNumbers w:val="0"/>
              <w:spacing w:before="0" w:beforeAutospacing="0" w:after="0" w:afterAutospacing="0" w:line="240" w:lineRule="exact"/>
              <w:ind w:left="0" w:right="0"/>
              <w:jc w:val="left"/>
              <w:rPr>
                <w:rFonts w:hint="eastAsia" w:ascii="宋体" w:hAnsi="宋体" w:cs="宋体"/>
                <w:szCs w:val="21"/>
              </w:rPr>
            </w:pPr>
            <w:r>
              <w:rPr>
                <w:rFonts w:hint="eastAsia" w:ascii="宋体" w:hAnsi="宋体" w:cs="宋体"/>
                <w:szCs w:val="21"/>
              </w:rPr>
              <w:t>2.审查责任：按照</w:t>
            </w:r>
            <w:r>
              <w:rPr>
                <w:rFonts w:hint="eastAsia" w:ascii="宋体" w:hAnsi="宋体" w:cs="宋体"/>
                <w:kern w:val="0"/>
                <w:szCs w:val="21"/>
              </w:rPr>
              <w:t>固定资产投资项目（新建、扩建）节能评估和审查</w:t>
            </w:r>
            <w:r>
              <w:rPr>
                <w:rFonts w:hint="eastAsia" w:ascii="宋体" w:hAnsi="宋体" w:cs="宋体"/>
                <w:szCs w:val="21"/>
              </w:rPr>
              <w:t>政策，对书面申请材料进行审查，提出是否同意筹建的审核意见，组织现场检查验收，告知申请人、利害相关人享有听证权利；涉及公共利益的重大许可，向社会公告并举行听证。</w:t>
            </w:r>
          </w:p>
          <w:p>
            <w:pPr>
              <w:keepNext w:val="0"/>
              <w:keepLines w:val="0"/>
              <w:suppressLineNumbers w:val="0"/>
              <w:spacing w:before="0" w:beforeAutospacing="0" w:after="0" w:afterAutospacing="0" w:line="240" w:lineRule="exact"/>
              <w:ind w:left="0" w:right="0"/>
              <w:jc w:val="left"/>
              <w:rPr>
                <w:rFonts w:hint="eastAsia" w:ascii="宋体" w:hAnsi="宋体" w:cs="宋体"/>
                <w:szCs w:val="21"/>
              </w:rPr>
            </w:pPr>
            <w:r>
              <w:rPr>
                <w:rFonts w:hint="eastAsia" w:ascii="宋体" w:hAnsi="宋体" w:cs="宋体"/>
                <w:szCs w:val="21"/>
              </w:rPr>
              <w:t>3.决定责任：作出行政许可或者不予行政许可决定，法定告知（不予许可的应当书面告知理由）。</w:t>
            </w:r>
          </w:p>
          <w:p>
            <w:pPr>
              <w:keepNext w:val="0"/>
              <w:keepLines w:val="0"/>
              <w:suppressLineNumbers w:val="0"/>
              <w:spacing w:before="0" w:beforeAutospacing="0" w:after="0" w:afterAutospacing="0" w:line="240" w:lineRule="exact"/>
              <w:ind w:left="0" w:right="0"/>
              <w:jc w:val="left"/>
              <w:rPr>
                <w:rFonts w:hint="eastAsia" w:ascii="宋体" w:hAnsi="宋体" w:cs="宋体"/>
                <w:szCs w:val="21"/>
              </w:rPr>
            </w:pPr>
            <w:r>
              <w:rPr>
                <w:rFonts w:hint="eastAsia" w:ascii="宋体" w:hAnsi="宋体" w:cs="宋体"/>
                <w:szCs w:val="21"/>
              </w:rPr>
              <w:t>4.事后监管责任：建立实施监督检查的运行机制和管理制度，开展定期和不定期检查，依法采取相关处置措施。</w:t>
            </w:r>
          </w:p>
          <w:p>
            <w:pPr>
              <w:keepNext w:val="0"/>
              <w:keepLines w:val="0"/>
              <w:suppressLineNumbers w:val="0"/>
              <w:spacing w:before="0" w:beforeAutospacing="0" w:after="0" w:afterAutospacing="0" w:line="240" w:lineRule="exact"/>
              <w:ind w:left="0" w:right="0"/>
              <w:jc w:val="left"/>
              <w:rPr>
                <w:rFonts w:hint="eastAsia" w:ascii="宋体" w:hAnsi="宋体" w:cs="宋体"/>
                <w:b/>
                <w:szCs w:val="21"/>
              </w:rPr>
            </w:pPr>
            <w:r>
              <w:rPr>
                <w:rFonts w:hint="eastAsia" w:ascii="宋体" w:hAnsi="宋体" w:cs="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88"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cs="宋体"/>
                <w:szCs w:val="21"/>
              </w:rPr>
            </w:pPr>
            <w:r>
              <w:rPr>
                <w:rFonts w:hint="eastAsia" w:ascii="宋体" w:hAnsi="宋体" w:cs="宋体"/>
                <w:szCs w:val="21"/>
              </w:rPr>
              <w:t>责任事项依据</w:t>
            </w:r>
          </w:p>
        </w:tc>
        <w:tc>
          <w:tcPr>
            <w:tcW w:w="8212" w:type="dxa"/>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keepNext w:val="0"/>
              <w:keepLines w:val="0"/>
              <w:suppressLineNumbers w:val="0"/>
              <w:spacing w:before="0" w:beforeAutospacing="0" w:after="0" w:afterAutospacing="0" w:line="240" w:lineRule="exact"/>
              <w:ind w:left="0" w:right="0"/>
              <w:jc w:val="left"/>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88"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eastAsia="宋体" w:cs="宋体"/>
                <w:szCs w:val="21"/>
                <w:lang w:eastAsia="zh-CN"/>
              </w:rPr>
            </w:pPr>
            <w:r>
              <w:rPr>
                <w:rFonts w:hint="eastAsia" w:ascii="宋体" w:hAnsi="宋体" w:cs="宋体"/>
                <w:szCs w:val="21"/>
                <w:lang w:eastAsia="zh-CN"/>
              </w:rPr>
              <w:t>追责情形</w:t>
            </w:r>
          </w:p>
        </w:tc>
        <w:tc>
          <w:tcPr>
            <w:tcW w:w="8212" w:type="dxa"/>
            <w:vAlign w:val="center"/>
          </w:tcPr>
          <w:p>
            <w:pPr>
              <w:keepNext w:val="0"/>
              <w:keepLines w:val="0"/>
              <w:suppressLineNumbers w:val="0"/>
              <w:spacing w:before="0" w:beforeAutospacing="0" w:after="0" w:afterAutospacing="0" w:line="240" w:lineRule="exact"/>
              <w:ind w:left="0" w:right="0"/>
              <w:jc w:val="left"/>
              <w:rPr>
                <w:rFonts w:hint="eastAsia" w:ascii="宋体" w:hAnsi="宋体" w:cs="宋体"/>
                <w:szCs w:val="21"/>
              </w:rPr>
            </w:pPr>
            <w:r>
              <w:rPr>
                <w:rFonts w:hint="eastAsia" w:ascii="宋体" w:hAnsi="宋体" w:eastAsia="宋体" w:cs="宋体"/>
                <w:sz w:val="18"/>
                <w:szCs w:val="18"/>
              </w:rPr>
              <w:t>对不履行或不正确履行行政职责的行政机关及其工作人员，依据《中华人民共和国监察法》、《中华人民共和国行政许可法》、《行政机关公务员处分条例》、</w:t>
            </w:r>
            <w:r>
              <w:rPr>
                <w:rFonts w:hint="eastAsia" w:ascii="宋体" w:hAnsi="宋体" w:cs="宋体"/>
                <w:sz w:val="18"/>
                <w:szCs w:val="18"/>
                <w:lang w:eastAsia="zh-CN"/>
              </w:rPr>
              <w:t>《四川省行政执法监督条例》、《四川省行政机关工作人员行政过错责任追究试行办法》</w:t>
            </w:r>
            <w:r>
              <w:rPr>
                <w:rFonts w:hint="eastAsia" w:ascii="宋体" w:hAnsi="宋体" w:eastAsia="宋体" w:cs="宋体"/>
                <w:sz w:val="18"/>
                <w:szCs w:val="18"/>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5" w:hRule="atLeast"/>
        </w:trPr>
        <w:tc>
          <w:tcPr>
            <w:tcW w:w="788"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cs="宋体"/>
                <w:szCs w:val="21"/>
              </w:rPr>
            </w:pPr>
            <w:r>
              <w:rPr>
                <w:rFonts w:hint="eastAsia" w:ascii="宋体" w:hAnsi="宋体" w:cs="宋体"/>
                <w:szCs w:val="21"/>
              </w:rPr>
              <w:t>监督电话</w:t>
            </w:r>
          </w:p>
        </w:tc>
        <w:tc>
          <w:tcPr>
            <w:tcW w:w="8212"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cs="宋体"/>
                <w:szCs w:val="21"/>
              </w:rPr>
            </w:pPr>
            <w:r>
              <w:rPr>
                <w:rFonts w:hint="eastAsia" w:ascii="宋体" w:hAnsi="宋体" w:cs="宋体"/>
                <w:szCs w:val="21"/>
              </w:rPr>
              <w:t>0837</w:t>
            </w:r>
            <w:r>
              <w:rPr>
                <w:rFonts w:hint="eastAsia" w:ascii="宋体" w:hAnsi="宋体" w:cs="宋体"/>
                <w:szCs w:val="21"/>
                <w:lang w:val="en-US" w:eastAsia="zh-CN"/>
              </w:rPr>
              <w:t>-2486623</w:t>
            </w:r>
          </w:p>
        </w:tc>
      </w:tr>
    </w:tbl>
    <w:p/>
    <w:p/>
    <w:p/>
    <w:p/>
    <w:p/>
    <w:p/>
    <w:p/>
    <w:p/>
    <w:tbl>
      <w:tblPr>
        <w:tblStyle w:val="3"/>
        <w:tblpPr w:leftFromText="180" w:rightFromText="180" w:vertAnchor="text" w:horzAnchor="margin" w:tblpX="175" w:tblpY="366"/>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8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trPr>
        <w:tc>
          <w:tcPr>
            <w:tcW w:w="788"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cs="宋体"/>
                <w:szCs w:val="21"/>
              </w:rPr>
            </w:pPr>
            <w:r>
              <w:rPr>
                <w:rFonts w:hint="eastAsia" w:ascii="宋体" w:hAnsi="宋体" w:cs="宋体"/>
                <w:szCs w:val="21"/>
              </w:rPr>
              <w:t>序号</w:t>
            </w:r>
          </w:p>
        </w:tc>
        <w:tc>
          <w:tcPr>
            <w:tcW w:w="8212"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eastAsia="宋体" w:cs="宋体"/>
                <w:szCs w:val="21"/>
                <w:lang w:eastAsia="zh-CN"/>
              </w:rPr>
            </w:pPr>
            <w:r>
              <w:rPr>
                <w:rFonts w:hint="eastAsia" w:ascii="宋体" w:hAnsi="宋体" w:cs="宋体"/>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6" w:hRule="atLeast"/>
        </w:trPr>
        <w:tc>
          <w:tcPr>
            <w:tcW w:w="788"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cs="宋体"/>
                <w:szCs w:val="21"/>
              </w:rPr>
            </w:pPr>
            <w:r>
              <w:rPr>
                <w:rFonts w:hint="eastAsia" w:ascii="宋体" w:hAnsi="宋体" w:cs="宋体"/>
                <w:szCs w:val="21"/>
              </w:rPr>
              <w:t>权力类型</w:t>
            </w:r>
          </w:p>
        </w:tc>
        <w:tc>
          <w:tcPr>
            <w:tcW w:w="8212"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cs="宋体"/>
                <w:szCs w:val="21"/>
              </w:rPr>
            </w:pPr>
            <w:r>
              <w:rPr>
                <w:rFonts w:hint="eastAsia" w:ascii="宋体" w:hAnsi="宋体" w:cs="宋体"/>
                <w:szCs w:val="21"/>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788"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cs="宋体"/>
                <w:szCs w:val="21"/>
              </w:rPr>
            </w:pPr>
            <w:r>
              <w:rPr>
                <w:rFonts w:hint="eastAsia" w:ascii="宋体" w:hAnsi="宋体" w:cs="宋体"/>
                <w:szCs w:val="21"/>
              </w:rPr>
              <w:t>权力项目名称</w:t>
            </w:r>
          </w:p>
        </w:tc>
        <w:tc>
          <w:tcPr>
            <w:tcW w:w="8212"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cs="宋体"/>
                <w:szCs w:val="21"/>
              </w:rPr>
            </w:pPr>
            <w:r>
              <w:rPr>
                <w:rFonts w:hint="eastAsia" w:ascii="宋体" w:hAnsi="宋体" w:eastAsia="宋体" w:cs="宋体"/>
                <w:b w:val="0"/>
                <w:i w:val="0"/>
                <w:caps w:val="0"/>
                <w:color w:val="000000"/>
                <w:spacing w:val="0"/>
                <w:sz w:val="18"/>
                <w:szCs w:val="18"/>
              </w:rPr>
              <w:t>在电力设施周围或电力设施保护区内进行可能危及电力设施安全作业的审批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20" w:hRule="atLeast"/>
        </w:trPr>
        <w:tc>
          <w:tcPr>
            <w:tcW w:w="788"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cs="宋体"/>
                <w:szCs w:val="21"/>
              </w:rPr>
            </w:pPr>
            <w:r>
              <w:rPr>
                <w:rFonts w:hint="eastAsia" w:ascii="宋体" w:hAnsi="宋体" w:cs="宋体"/>
                <w:szCs w:val="21"/>
              </w:rPr>
              <w:t>实施依据</w:t>
            </w:r>
          </w:p>
        </w:tc>
        <w:tc>
          <w:tcPr>
            <w:tcW w:w="8212" w:type="dxa"/>
            <w:vAlign w:val="center"/>
          </w:tcPr>
          <w:p>
            <w:pPr>
              <w:keepNext w:val="0"/>
              <w:keepLines w:val="0"/>
              <w:suppressLineNumbers w:val="0"/>
              <w:spacing w:before="0" w:beforeAutospacing="0" w:after="0" w:afterAutospacing="0" w:line="240" w:lineRule="exact"/>
              <w:ind w:left="0" w:right="0"/>
              <w:jc w:val="left"/>
              <w:rPr>
                <w:rFonts w:hint="eastAsia" w:ascii="宋体" w:hAnsi="宋体" w:cs="宋体"/>
                <w:szCs w:val="21"/>
              </w:rPr>
            </w:pPr>
            <w:r>
              <w:rPr>
                <w:rFonts w:hint="eastAsia" w:ascii="宋体" w:hAnsi="宋体" w:cs="宋体"/>
                <w:b w:val="0"/>
                <w:i w:val="0"/>
                <w:caps w:val="0"/>
                <w:color w:val="000000"/>
                <w:spacing w:val="0"/>
                <w:sz w:val="18"/>
                <w:szCs w:val="18"/>
                <w:lang w:eastAsia="zh-CN"/>
              </w:rPr>
              <w:t>《</w:t>
            </w:r>
            <w:r>
              <w:rPr>
                <w:rFonts w:hint="eastAsia" w:ascii="宋体" w:hAnsi="宋体" w:eastAsia="宋体" w:cs="宋体"/>
                <w:b w:val="0"/>
                <w:i w:val="0"/>
                <w:caps w:val="0"/>
                <w:color w:val="000000"/>
                <w:spacing w:val="0"/>
                <w:sz w:val="18"/>
                <w:szCs w:val="18"/>
              </w:rPr>
              <w:t>中华人民共和国电力法》（1996年4月1日主席令第六十号，2015年4月24日予以修改）</w:t>
            </w:r>
            <w:r>
              <w:rPr>
                <w:rFonts w:hint="eastAsia" w:ascii="宋体" w:hAnsi="宋体" w:eastAsia="宋体" w:cs="宋体"/>
                <w:b w:val="0"/>
                <w:i w:val="0"/>
                <w:caps w:val="0"/>
                <w:color w:val="000000"/>
                <w:spacing w:val="0"/>
                <w:sz w:val="18"/>
                <w:szCs w:val="18"/>
              </w:rPr>
              <w:br w:type="textWrapping"/>
            </w:r>
            <w:r>
              <w:rPr>
                <w:rFonts w:hint="eastAsia" w:ascii="宋体" w:hAnsi="宋体" w:eastAsia="宋体" w:cs="宋体"/>
                <w:b w:val="0"/>
                <w:i w:val="0"/>
                <w:caps w:val="0"/>
                <w:color w:val="000000"/>
                <w:spacing w:val="0"/>
                <w:sz w:val="18"/>
                <w:szCs w:val="18"/>
              </w:rPr>
              <w:t>第五十二条 在电力设施周围进行爆破及其他可能危及电力设施安全的作业的，应当按照国务院有关电力设施保护的规定，经批准并采取确保电力设施安全的措施后，方可进行作业。</w:t>
            </w:r>
            <w:r>
              <w:rPr>
                <w:rFonts w:hint="eastAsia" w:ascii="宋体" w:hAnsi="宋体" w:eastAsia="宋体" w:cs="宋体"/>
                <w:b w:val="0"/>
                <w:i w:val="0"/>
                <w:caps w:val="0"/>
                <w:color w:val="000000"/>
                <w:spacing w:val="0"/>
                <w:sz w:val="18"/>
                <w:szCs w:val="18"/>
              </w:rPr>
              <w:br w:type="textWrapping"/>
            </w:r>
            <w:r>
              <w:rPr>
                <w:rFonts w:hint="eastAsia" w:ascii="宋体" w:hAnsi="宋体" w:eastAsia="宋体" w:cs="宋体"/>
                <w:b w:val="0"/>
                <w:i w:val="0"/>
                <w:caps w:val="0"/>
                <w:color w:val="000000"/>
                <w:spacing w:val="0"/>
                <w:sz w:val="18"/>
                <w:szCs w:val="18"/>
              </w:rPr>
              <w:t>第五十四条 任何单位和个人需要在依法划定的电力设施保护区内进行可能危及电力设施安全的作业时，应当经电力管理部门批准并采取安全措施后，方可进行作业。</w:t>
            </w:r>
            <w:r>
              <w:rPr>
                <w:rFonts w:hint="eastAsia" w:ascii="宋体" w:hAnsi="宋体" w:eastAsia="宋体" w:cs="宋体"/>
                <w:b w:val="0"/>
                <w:i w:val="0"/>
                <w:caps w:val="0"/>
                <w:color w:val="000000"/>
                <w:spacing w:val="0"/>
                <w:sz w:val="18"/>
                <w:szCs w:val="18"/>
              </w:rPr>
              <w:br w:type="textWrapping"/>
            </w:r>
            <w:r>
              <w:rPr>
                <w:rFonts w:hint="eastAsia" w:ascii="宋体" w:hAnsi="宋体" w:eastAsia="宋体" w:cs="宋体"/>
                <w:b w:val="0"/>
                <w:i w:val="0"/>
                <w:caps w:val="0"/>
                <w:color w:val="000000"/>
                <w:spacing w:val="0"/>
                <w:sz w:val="18"/>
                <w:szCs w:val="18"/>
              </w:rPr>
              <w:t>《电力设施保护条例》（1987年9月15日国务院令第239号，2011年1月8日国务院令第588号予以修改）</w:t>
            </w:r>
            <w:r>
              <w:rPr>
                <w:rFonts w:hint="eastAsia" w:ascii="宋体" w:hAnsi="宋体" w:eastAsia="宋体" w:cs="宋体"/>
                <w:b w:val="0"/>
                <w:i w:val="0"/>
                <w:caps w:val="0"/>
                <w:color w:val="000000"/>
                <w:spacing w:val="0"/>
                <w:sz w:val="18"/>
                <w:szCs w:val="18"/>
              </w:rPr>
              <w:br w:type="textWrapping"/>
            </w:r>
            <w:r>
              <w:rPr>
                <w:rFonts w:hint="eastAsia" w:ascii="宋体" w:hAnsi="宋体" w:eastAsia="宋体" w:cs="宋体"/>
                <w:b w:val="0"/>
                <w:i w:val="0"/>
                <w:caps w:val="0"/>
                <w:color w:val="000000"/>
                <w:spacing w:val="0"/>
                <w:sz w:val="18"/>
                <w:szCs w:val="18"/>
              </w:rPr>
              <w:t>第十七条 任何单位或个人必须经县级以上地方电力管理部门批准，并采取安全措施后，方可进行下列作业或活动：（一）在架空电力线路保护区内进行农田水利基本建设工程及打桩、钻探、开挖等作业；（二）起重机械的 任何部 位进入架空电力线路保护区进行施工；（三）小于导线距穿越物体之间的安全距离，通过架空电力线路保护区；（四）在电力电缆线路保护区内进行作业。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788"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cs="宋体"/>
                <w:szCs w:val="21"/>
              </w:rPr>
            </w:pPr>
            <w:r>
              <w:rPr>
                <w:rFonts w:hint="eastAsia" w:ascii="宋体" w:hAnsi="宋体" w:cs="宋体"/>
                <w:szCs w:val="21"/>
              </w:rPr>
              <w:t>责任主体</w:t>
            </w:r>
          </w:p>
        </w:tc>
        <w:tc>
          <w:tcPr>
            <w:tcW w:w="8212"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cs="宋体"/>
                <w:szCs w:val="21"/>
              </w:rPr>
            </w:pPr>
            <w:r>
              <w:rPr>
                <w:rFonts w:hint="eastAsia" w:ascii="宋体" w:hAnsi="宋体" w:cs="宋体"/>
                <w:szCs w:val="21"/>
                <w:lang w:eastAsia="zh-CN"/>
              </w:rPr>
              <w:t>阿坝</w:t>
            </w:r>
            <w:r>
              <w:rPr>
                <w:rFonts w:hint="eastAsia" w:ascii="宋体" w:hAnsi="宋体" w:cs="宋体"/>
                <w:szCs w:val="21"/>
              </w:rPr>
              <w:t>县发展改革和经济商务信息化局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85" w:hRule="atLeast"/>
        </w:trPr>
        <w:tc>
          <w:tcPr>
            <w:tcW w:w="788"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cs="宋体"/>
                <w:szCs w:val="21"/>
              </w:rPr>
            </w:pPr>
            <w:r>
              <w:rPr>
                <w:rFonts w:hint="eastAsia" w:ascii="宋体" w:hAnsi="宋体" w:cs="宋体"/>
                <w:szCs w:val="21"/>
              </w:rPr>
              <w:t>责任事项</w:t>
            </w:r>
          </w:p>
        </w:tc>
        <w:tc>
          <w:tcPr>
            <w:tcW w:w="8212" w:type="dxa"/>
            <w:vAlign w:val="center"/>
          </w:tcPr>
          <w:p>
            <w:pPr>
              <w:keepNext w:val="0"/>
              <w:keepLines w:val="0"/>
              <w:suppressLineNumbers w:val="0"/>
              <w:spacing w:before="0" w:beforeAutospacing="0" w:after="0" w:afterAutospacing="0" w:line="240" w:lineRule="exact"/>
              <w:ind w:left="0" w:right="0"/>
              <w:jc w:val="left"/>
              <w:rPr>
                <w:rFonts w:hint="eastAsia" w:ascii="宋体" w:hAnsi="宋体" w:cs="宋体"/>
                <w:b/>
                <w:szCs w:val="21"/>
              </w:rPr>
            </w:pPr>
            <w:r>
              <w:rPr>
                <w:rFonts w:hint="eastAsia" w:ascii="宋体" w:hAnsi="宋体" w:eastAsia="宋体" w:cs="宋体"/>
                <w:b w:val="0"/>
                <w:i w:val="0"/>
                <w:caps w:val="0"/>
                <w:color w:val="000000"/>
                <w:spacing w:val="0"/>
                <w:sz w:val="18"/>
                <w:szCs w:val="18"/>
                <w:lang w:val="en-US" w:eastAsia="zh-CN"/>
              </w:rPr>
              <w:t>1.</w:t>
            </w:r>
            <w:r>
              <w:rPr>
                <w:rFonts w:hint="eastAsia" w:ascii="宋体" w:hAnsi="宋体" w:eastAsia="宋体" w:cs="宋体"/>
                <w:b w:val="0"/>
                <w:i w:val="0"/>
                <w:caps w:val="0"/>
                <w:color w:val="000000"/>
                <w:spacing w:val="0"/>
                <w:sz w:val="18"/>
                <w:szCs w:val="18"/>
              </w:rPr>
              <w:t>受理阶段责任：公示依法应当提交的材料；一次性告知补正材料；依法受理或不予受理（不予受理的应当告知理由）；</w:t>
            </w:r>
            <w:r>
              <w:rPr>
                <w:rFonts w:hint="eastAsia" w:ascii="宋体" w:hAnsi="宋体" w:eastAsia="宋体" w:cs="宋体"/>
                <w:b w:val="0"/>
                <w:i w:val="0"/>
                <w:caps w:val="0"/>
                <w:color w:val="000000"/>
                <w:spacing w:val="0"/>
                <w:sz w:val="18"/>
                <w:szCs w:val="18"/>
              </w:rPr>
              <w:br w:type="textWrapping"/>
            </w:r>
            <w:r>
              <w:rPr>
                <w:rFonts w:hint="eastAsia" w:ascii="宋体" w:hAnsi="宋体" w:eastAsia="宋体" w:cs="宋体"/>
                <w:b w:val="0"/>
                <w:i w:val="0"/>
                <w:caps w:val="0"/>
                <w:color w:val="000000"/>
                <w:spacing w:val="0"/>
                <w:sz w:val="18"/>
                <w:szCs w:val="18"/>
              </w:rPr>
              <w:t>2.审查阶段责任：材料审核；组织专家评审；提出预审意见；</w:t>
            </w:r>
            <w:r>
              <w:rPr>
                <w:rFonts w:hint="eastAsia" w:ascii="宋体" w:hAnsi="宋体" w:eastAsia="宋体" w:cs="宋体"/>
                <w:b w:val="0"/>
                <w:i w:val="0"/>
                <w:caps w:val="0"/>
                <w:color w:val="000000"/>
                <w:spacing w:val="0"/>
                <w:sz w:val="18"/>
                <w:szCs w:val="18"/>
              </w:rPr>
              <w:br w:type="textWrapping"/>
            </w:r>
            <w:r>
              <w:rPr>
                <w:rFonts w:hint="eastAsia" w:ascii="宋体" w:hAnsi="宋体" w:eastAsia="宋体" w:cs="宋体"/>
                <w:b w:val="0"/>
                <w:i w:val="0"/>
                <w:caps w:val="0"/>
                <w:color w:val="000000"/>
                <w:spacing w:val="0"/>
                <w:sz w:val="18"/>
                <w:szCs w:val="18"/>
              </w:rPr>
              <w:t>3.决定阶段责任：作出准予核发或不予核发的决定（依照法定方式进行，不予核发的说明理由）；</w:t>
            </w:r>
            <w:r>
              <w:rPr>
                <w:rFonts w:hint="eastAsia" w:ascii="宋体" w:hAnsi="宋体" w:eastAsia="宋体" w:cs="宋体"/>
                <w:b w:val="0"/>
                <w:i w:val="0"/>
                <w:caps w:val="0"/>
                <w:color w:val="000000"/>
                <w:spacing w:val="0"/>
                <w:sz w:val="18"/>
                <w:szCs w:val="18"/>
              </w:rPr>
              <w:br w:type="textWrapping"/>
            </w:r>
            <w:r>
              <w:rPr>
                <w:rFonts w:hint="eastAsia" w:ascii="宋体" w:hAnsi="宋体" w:eastAsia="宋体" w:cs="宋体"/>
                <w:b w:val="0"/>
                <w:i w:val="0"/>
                <w:caps w:val="0"/>
                <w:color w:val="000000"/>
                <w:spacing w:val="0"/>
                <w:sz w:val="18"/>
                <w:szCs w:val="18"/>
              </w:rPr>
              <w:t>4.送达阶段责任：登记许可结果；制发送达许可证；公示；</w:t>
            </w:r>
            <w:r>
              <w:rPr>
                <w:rFonts w:hint="eastAsia" w:ascii="宋体" w:hAnsi="宋体" w:eastAsia="宋体" w:cs="宋体"/>
                <w:b w:val="0"/>
                <w:i w:val="0"/>
                <w:caps w:val="0"/>
                <w:color w:val="000000"/>
                <w:spacing w:val="0"/>
                <w:sz w:val="18"/>
                <w:szCs w:val="18"/>
              </w:rPr>
              <w:br w:type="textWrapping"/>
            </w:r>
            <w:r>
              <w:rPr>
                <w:rFonts w:hint="eastAsia" w:ascii="宋体" w:hAnsi="宋体" w:eastAsia="宋体" w:cs="宋体"/>
                <w:b w:val="0"/>
                <w:i w:val="0"/>
                <w:caps w:val="0"/>
                <w:color w:val="000000"/>
                <w:spacing w:val="0"/>
                <w:sz w:val="18"/>
                <w:szCs w:val="18"/>
              </w:rPr>
              <w:t>5.事后监督责任：开展后续监督管理，跟踪取证企业变更事项处理；</w:t>
            </w:r>
            <w:r>
              <w:rPr>
                <w:rFonts w:hint="eastAsia" w:ascii="宋体" w:hAnsi="宋体" w:eastAsia="宋体" w:cs="宋体"/>
                <w:b w:val="0"/>
                <w:i w:val="0"/>
                <w:caps w:val="0"/>
                <w:color w:val="000000"/>
                <w:spacing w:val="0"/>
                <w:sz w:val="18"/>
                <w:szCs w:val="18"/>
              </w:rPr>
              <w:br w:type="textWrapping"/>
            </w:r>
            <w:r>
              <w:rPr>
                <w:rFonts w:hint="eastAsia" w:ascii="宋体" w:hAnsi="宋体" w:eastAsia="宋体" w:cs="宋体"/>
                <w:b w:val="0"/>
                <w:i w:val="0"/>
                <w:caps w:val="0"/>
                <w:color w:val="000000"/>
                <w:spacing w:val="0"/>
                <w:sz w:val="18"/>
                <w:szCs w:val="18"/>
              </w:rPr>
              <w:t>6.其他法律法规规章文件规定应履行的责任。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88"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cs="宋体"/>
                <w:szCs w:val="21"/>
              </w:rPr>
            </w:pPr>
            <w:r>
              <w:rPr>
                <w:rFonts w:hint="eastAsia" w:ascii="宋体" w:hAnsi="宋体" w:cs="宋体"/>
                <w:szCs w:val="21"/>
              </w:rPr>
              <w:t>责任事项依据</w:t>
            </w:r>
          </w:p>
        </w:tc>
        <w:tc>
          <w:tcPr>
            <w:tcW w:w="8212" w:type="dxa"/>
            <w:vAlign w:val="center"/>
          </w:tcPr>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keepNext w:val="0"/>
              <w:keepLines w:val="0"/>
              <w:suppressLineNumbers w:val="0"/>
              <w:spacing w:before="0" w:beforeAutospacing="0" w:after="0" w:afterAutospacing="0" w:line="240" w:lineRule="exact"/>
              <w:ind w:left="0" w:right="0"/>
              <w:jc w:val="left"/>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0" w:hRule="atLeast"/>
        </w:trPr>
        <w:tc>
          <w:tcPr>
            <w:tcW w:w="788"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eastAsia="宋体" w:cs="宋体"/>
                <w:szCs w:val="21"/>
                <w:lang w:eastAsia="zh-CN"/>
              </w:rPr>
            </w:pPr>
            <w:r>
              <w:rPr>
                <w:rFonts w:hint="eastAsia" w:ascii="宋体" w:hAnsi="宋体" w:cs="宋体"/>
                <w:szCs w:val="21"/>
                <w:lang w:eastAsia="zh-CN"/>
              </w:rPr>
              <w:t>追责情形</w:t>
            </w:r>
          </w:p>
        </w:tc>
        <w:tc>
          <w:tcPr>
            <w:tcW w:w="8212" w:type="dxa"/>
            <w:vAlign w:val="center"/>
          </w:tcPr>
          <w:p>
            <w:pPr>
              <w:keepNext w:val="0"/>
              <w:keepLines w:val="0"/>
              <w:suppressLineNumbers w:val="0"/>
              <w:spacing w:before="0" w:beforeAutospacing="0" w:after="0" w:afterAutospacing="0" w:line="240" w:lineRule="exact"/>
              <w:ind w:left="0" w:right="0"/>
              <w:jc w:val="left"/>
              <w:rPr>
                <w:rFonts w:hint="eastAsia" w:ascii="宋体" w:hAnsi="宋体" w:cs="宋体"/>
                <w:szCs w:val="21"/>
              </w:rPr>
            </w:pPr>
            <w:r>
              <w:rPr>
                <w:rFonts w:hint="eastAsia" w:ascii="宋体" w:hAnsi="宋体" w:eastAsia="宋体" w:cs="宋体"/>
                <w:sz w:val="18"/>
                <w:szCs w:val="18"/>
              </w:rPr>
              <w:t>对不履行或不正确履行行政职责的行政机关及其工作人员，依据《中华人民共和国监察法》、《中华人民共和国行政许可法》、《行政机关公务员处分条例》、</w:t>
            </w:r>
            <w:r>
              <w:rPr>
                <w:rFonts w:hint="eastAsia" w:ascii="宋体" w:hAnsi="宋体" w:cs="宋体"/>
                <w:sz w:val="18"/>
                <w:szCs w:val="18"/>
                <w:lang w:eastAsia="zh-CN"/>
              </w:rPr>
              <w:t>《四川省行政执法监督条例》、《四川省行政机关工作人员行政过错责任追究试行办法》</w:t>
            </w:r>
            <w:r>
              <w:rPr>
                <w:rFonts w:hint="eastAsia" w:ascii="宋体" w:hAnsi="宋体" w:eastAsia="宋体" w:cs="宋体"/>
                <w:sz w:val="18"/>
                <w:szCs w:val="18"/>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5" w:hRule="atLeast"/>
        </w:trPr>
        <w:tc>
          <w:tcPr>
            <w:tcW w:w="788"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cs="宋体"/>
                <w:szCs w:val="21"/>
              </w:rPr>
            </w:pPr>
            <w:r>
              <w:rPr>
                <w:rFonts w:hint="eastAsia" w:ascii="宋体" w:hAnsi="宋体" w:cs="宋体"/>
                <w:szCs w:val="21"/>
              </w:rPr>
              <w:t>监督电话</w:t>
            </w:r>
          </w:p>
        </w:tc>
        <w:tc>
          <w:tcPr>
            <w:tcW w:w="8212"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cs="宋体"/>
                <w:szCs w:val="21"/>
              </w:rPr>
            </w:pPr>
            <w:r>
              <w:rPr>
                <w:rFonts w:hint="eastAsia" w:ascii="宋体" w:hAnsi="宋体" w:cs="宋体"/>
                <w:szCs w:val="21"/>
              </w:rPr>
              <w:t>0837</w:t>
            </w:r>
            <w:r>
              <w:rPr>
                <w:rFonts w:hint="eastAsia" w:ascii="宋体" w:hAnsi="宋体" w:cs="宋体"/>
                <w:szCs w:val="21"/>
                <w:lang w:val="en-US" w:eastAsia="zh-CN"/>
              </w:rPr>
              <w:t>-2486623</w:t>
            </w:r>
          </w:p>
        </w:tc>
      </w:tr>
    </w:tbl>
    <w:p/>
    <w:p/>
    <w:p/>
    <w:p/>
    <w:p/>
    <w:p/>
    <w:p/>
    <w:p/>
    <w:p/>
    <w:p/>
    <w:p/>
    <w:tbl>
      <w:tblPr>
        <w:tblStyle w:val="3"/>
        <w:tblpPr w:leftFromText="180" w:rightFromText="180" w:vertAnchor="text" w:horzAnchor="margin" w:tblpX="175" w:tblpY="366"/>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8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7" w:hRule="atLeast"/>
        </w:trPr>
        <w:tc>
          <w:tcPr>
            <w:tcW w:w="788"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cs="宋体"/>
                <w:szCs w:val="21"/>
              </w:rPr>
            </w:pPr>
            <w:r>
              <w:rPr>
                <w:rFonts w:hint="eastAsia" w:ascii="宋体" w:hAnsi="宋体" w:cs="宋体"/>
                <w:szCs w:val="21"/>
              </w:rPr>
              <w:t>序号</w:t>
            </w:r>
          </w:p>
        </w:tc>
        <w:tc>
          <w:tcPr>
            <w:tcW w:w="8212"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eastAsia="宋体" w:cs="宋体"/>
                <w:szCs w:val="21"/>
                <w:lang w:eastAsia="zh-CN"/>
              </w:rPr>
            </w:pPr>
            <w:r>
              <w:rPr>
                <w:rFonts w:hint="eastAsia" w:ascii="宋体" w:hAnsi="宋体" w:cs="宋体"/>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6" w:hRule="atLeast"/>
        </w:trPr>
        <w:tc>
          <w:tcPr>
            <w:tcW w:w="788"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cs="宋体"/>
                <w:szCs w:val="21"/>
              </w:rPr>
            </w:pPr>
            <w:r>
              <w:rPr>
                <w:rFonts w:hint="eastAsia" w:ascii="宋体" w:hAnsi="宋体" w:cs="宋体"/>
                <w:szCs w:val="21"/>
              </w:rPr>
              <w:t>权力类型</w:t>
            </w:r>
          </w:p>
        </w:tc>
        <w:tc>
          <w:tcPr>
            <w:tcW w:w="8212"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cs="宋体"/>
                <w:szCs w:val="21"/>
              </w:rPr>
            </w:pPr>
            <w:r>
              <w:rPr>
                <w:rFonts w:hint="eastAsia" w:ascii="宋体" w:hAnsi="宋体" w:cs="宋体"/>
                <w:szCs w:val="21"/>
              </w:rPr>
              <w:t>行政许可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788"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cs="宋体"/>
                <w:szCs w:val="21"/>
              </w:rPr>
            </w:pPr>
            <w:r>
              <w:rPr>
                <w:rFonts w:hint="eastAsia" w:ascii="宋体" w:hAnsi="宋体" w:cs="宋体"/>
                <w:szCs w:val="21"/>
              </w:rPr>
              <w:t>权力项目名称</w:t>
            </w:r>
          </w:p>
        </w:tc>
        <w:tc>
          <w:tcPr>
            <w:tcW w:w="8212"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cs="宋体"/>
                <w:szCs w:val="21"/>
              </w:rPr>
            </w:pPr>
            <w:r>
              <w:rPr>
                <w:rFonts w:hint="eastAsia" w:ascii="宋体" w:hAnsi="宋体" w:cs="宋体"/>
                <w:kern w:val="0"/>
                <w:szCs w:val="21"/>
              </w:rPr>
              <w:t>固定资产投资项目节能审查</w:t>
            </w:r>
            <w:r>
              <w:rPr>
                <w:rFonts w:hint="eastAsia" w:ascii="宋体" w:hAnsi="宋体" w:cs="宋体"/>
                <w:kern w:val="0"/>
                <w:szCs w:val="21"/>
                <w:lang w:eastAsia="zh-CN"/>
              </w:rPr>
              <w:t>（企业技术改造项目除外）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20" w:hRule="atLeast"/>
        </w:trPr>
        <w:tc>
          <w:tcPr>
            <w:tcW w:w="788"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cs="宋体"/>
                <w:szCs w:val="21"/>
              </w:rPr>
            </w:pPr>
            <w:r>
              <w:rPr>
                <w:rFonts w:hint="eastAsia" w:ascii="宋体" w:hAnsi="宋体" w:cs="宋体"/>
                <w:szCs w:val="21"/>
              </w:rPr>
              <w:t>实施依据</w:t>
            </w:r>
          </w:p>
        </w:tc>
        <w:tc>
          <w:tcPr>
            <w:tcW w:w="8212" w:type="dxa"/>
            <w:vAlign w:val="center"/>
          </w:tcPr>
          <w:p>
            <w:pPr>
              <w:keepNext w:val="0"/>
              <w:keepLines w:val="0"/>
              <w:suppressLineNumbers w:val="0"/>
              <w:spacing w:before="0" w:beforeAutospacing="0" w:after="0" w:afterAutospacing="0" w:line="240" w:lineRule="exact"/>
              <w:ind w:left="0" w:right="0"/>
              <w:jc w:val="left"/>
              <w:rPr>
                <w:rFonts w:hint="eastAsia" w:ascii="宋体" w:hAnsi="宋体" w:cs="宋体"/>
                <w:szCs w:val="21"/>
              </w:rPr>
            </w:pPr>
            <w:r>
              <w:rPr>
                <w:rFonts w:hint="eastAsia" w:ascii="宋体" w:hAnsi="宋体" w:cs="宋体"/>
                <w:szCs w:val="21"/>
              </w:rPr>
              <w:t>（一）《中华人民共和国节约能源法》第十五条：国家实行固定资产投资项目节能评估和审查制度。不符合强制性节能标准的项目，依法负责项目审批或者核准的机关不得批准或者核准建设；建设单位不得开工建设；已经建成的，不得投入生产、使用。具体办法由国务院管理节能工作的部门会同国务院有关部门制定。（2007年主席令第77号）；</w:t>
            </w:r>
          </w:p>
          <w:p>
            <w:pPr>
              <w:keepNext w:val="0"/>
              <w:keepLines w:val="0"/>
              <w:suppressLineNumbers w:val="0"/>
              <w:spacing w:before="0" w:beforeAutospacing="0" w:after="0" w:afterAutospacing="0" w:line="240" w:lineRule="exact"/>
              <w:ind w:left="0" w:right="0"/>
              <w:jc w:val="left"/>
              <w:rPr>
                <w:rFonts w:hint="eastAsia" w:ascii="宋体" w:hAnsi="宋体" w:cs="宋体"/>
                <w:szCs w:val="21"/>
              </w:rPr>
            </w:pPr>
            <w:r>
              <w:rPr>
                <w:rFonts w:hint="eastAsia" w:ascii="宋体" w:hAnsi="宋体" w:cs="宋体"/>
                <w:szCs w:val="21"/>
              </w:rPr>
              <w:t>（二）《国务院办公厅关于加强和规范新开工项目管理的通知》（国办发〔2007〕64号）</w:t>
            </w:r>
          </w:p>
          <w:p>
            <w:pPr>
              <w:keepNext w:val="0"/>
              <w:keepLines w:val="0"/>
              <w:suppressLineNumbers w:val="0"/>
              <w:spacing w:before="0" w:beforeAutospacing="0" w:after="0" w:afterAutospacing="0" w:line="240" w:lineRule="exact"/>
              <w:ind w:left="0" w:right="0"/>
              <w:jc w:val="left"/>
              <w:rPr>
                <w:rFonts w:hint="eastAsia" w:ascii="宋体" w:hAnsi="宋体" w:cs="宋体"/>
                <w:szCs w:val="21"/>
              </w:rPr>
            </w:pPr>
            <w:r>
              <w:rPr>
                <w:rFonts w:hint="eastAsia" w:ascii="宋体" w:hAnsi="宋体" w:cs="宋体"/>
                <w:szCs w:val="21"/>
              </w:rPr>
              <w:t>（三）《国务院批转节能减排统计监测及考核实施方案和办法的通知》（国发〔2007〕36号）；</w:t>
            </w:r>
          </w:p>
          <w:p>
            <w:pPr>
              <w:keepNext w:val="0"/>
              <w:keepLines w:val="0"/>
              <w:suppressLineNumbers w:val="0"/>
              <w:spacing w:before="0" w:beforeAutospacing="0" w:after="0" w:afterAutospacing="0" w:line="240" w:lineRule="exact"/>
              <w:ind w:left="0" w:right="0"/>
              <w:jc w:val="left"/>
              <w:rPr>
                <w:rFonts w:hint="eastAsia" w:ascii="宋体" w:hAnsi="宋体" w:cs="宋体"/>
                <w:szCs w:val="21"/>
              </w:rPr>
            </w:pPr>
            <w:r>
              <w:rPr>
                <w:rFonts w:hint="eastAsia" w:ascii="宋体" w:hAnsi="宋体" w:cs="宋体"/>
                <w:szCs w:val="21"/>
              </w:rPr>
              <w:t>（四）《固定资产投资项目节能评估和审查暂行办法》（国家发展改革委令2010年第6号）第九条：固定资产投资项目节能审查按照项目管理权限实行分级管理。由国家发展改革委核报国务院审批或核准的项目以及由国家发展改革委审批或核准的项目，其节能审查由国家发展改革委负责；由地方人民政府发展改革部门审批、核准、备案或核报本级人民政府审批、核准的项目，其节能审查由地方人民政府发展改革部门负责。</w:t>
            </w:r>
          </w:p>
          <w:p>
            <w:pPr>
              <w:keepNext w:val="0"/>
              <w:keepLines w:val="0"/>
              <w:suppressLineNumbers w:val="0"/>
              <w:spacing w:before="0" w:beforeAutospacing="0" w:after="0" w:afterAutospacing="0" w:line="240" w:lineRule="exact"/>
              <w:ind w:left="0" w:right="0"/>
              <w:jc w:val="left"/>
              <w:rPr>
                <w:rFonts w:hint="eastAsia" w:ascii="宋体" w:hAnsi="宋体" w:cs="宋体"/>
                <w:szCs w:val="21"/>
              </w:rPr>
            </w:pPr>
            <w:r>
              <w:rPr>
                <w:rFonts w:hint="eastAsia" w:ascii="宋体" w:hAnsi="宋体" w:cs="宋体"/>
                <w:szCs w:val="21"/>
              </w:rPr>
              <w:t>（五）《四川省基本建设项目节能评估和审查实施暂行办法》（川发改环资〔2011〕82号）。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788"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cs="宋体"/>
                <w:szCs w:val="21"/>
              </w:rPr>
            </w:pPr>
            <w:r>
              <w:rPr>
                <w:rFonts w:hint="eastAsia" w:ascii="宋体" w:hAnsi="宋体" w:cs="宋体"/>
                <w:szCs w:val="21"/>
              </w:rPr>
              <w:t>责任主体</w:t>
            </w:r>
          </w:p>
        </w:tc>
        <w:tc>
          <w:tcPr>
            <w:tcW w:w="8212"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cs="宋体"/>
                <w:szCs w:val="21"/>
              </w:rPr>
            </w:pPr>
            <w:r>
              <w:rPr>
                <w:rFonts w:hint="eastAsia" w:ascii="宋体" w:hAnsi="宋体" w:cs="宋体"/>
                <w:szCs w:val="21"/>
                <w:lang w:eastAsia="zh-CN"/>
              </w:rPr>
              <w:t>阿坝</w:t>
            </w:r>
            <w:r>
              <w:rPr>
                <w:rFonts w:hint="eastAsia" w:ascii="宋体" w:hAnsi="宋体" w:cs="宋体"/>
                <w:szCs w:val="21"/>
              </w:rPr>
              <w:t>县发展改革和经济商务信息化局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82" w:hRule="atLeast"/>
        </w:trPr>
        <w:tc>
          <w:tcPr>
            <w:tcW w:w="788"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cs="宋体"/>
                <w:szCs w:val="21"/>
              </w:rPr>
            </w:pPr>
            <w:r>
              <w:rPr>
                <w:rFonts w:hint="eastAsia" w:ascii="宋体" w:hAnsi="宋体" w:cs="宋体"/>
                <w:szCs w:val="21"/>
              </w:rPr>
              <w:t>责任事项</w:t>
            </w:r>
          </w:p>
        </w:tc>
        <w:tc>
          <w:tcPr>
            <w:tcW w:w="8212" w:type="dxa"/>
            <w:vAlign w:val="center"/>
          </w:tcPr>
          <w:p>
            <w:pPr>
              <w:keepNext w:val="0"/>
              <w:keepLines w:val="0"/>
              <w:suppressLineNumbers w:val="0"/>
              <w:spacing w:before="0" w:beforeAutospacing="0" w:after="0" w:afterAutospacing="0" w:line="240" w:lineRule="exact"/>
              <w:ind w:left="0" w:right="0"/>
              <w:jc w:val="left"/>
              <w:rPr>
                <w:rFonts w:hint="eastAsia" w:ascii="宋体" w:hAnsi="宋体" w:cs="宋体"/>
                <w:szCs w:val="21"/>
              </w:rPr>
            </w:pPr>
            <w:r>
              <w:rPr>
                <w:rFonts w:hint="eastAsia" w:ascii="宋体" w:hAnsi="宋体" w:cs="宋体"/>
                <w:szCs w:val="21"/>
              </w:rPr>
              <w:t>1.受理责任：公示应当提交的材料，一次性告知补正材料，依法受理或不予受理（不予受理应当告知理由）。</w:t>
            </w:r>
          </w:p>
          <w:p>
            <w:pPr>
              <w:keepNext w:val="0"/>
              <w:keepLines w:val="0"/>
              <w:suppressLineNumbers w:val="0"/>
              <w:spacing w:before="0" w:beforeAutospacing="0" w:after="0" w:afterAutospacing="0" w:line="240" w:lineRule="exact"/>
              <w:ind w:left="0" w:right="0"/>
              <w:jc w:val="left"/>
              <w:rPr>
                <w:rFonts w:hint="eastAsia" w:ascii="宋体" w:hAnsi="宋体" w:cs="宋体"/>
                <w:szCs w:val="21"/>
              </w:rPr>
            </w:pPr>
            <w:r>
              <w:rPr>
                <w:rFonts w:hint="eastAsia" w:ascii="宋体" w:hAnsi="宋体" w:cs="宋体"/>
                <w:szCs w:val="21"/>
              </w:rPr>
              <w:t>2.审查责任：按照</w:t>
            </w:r>
            <w:r>
              <w:rPr>
                <w:rFonts w:hint="eastAsia" w:ascii="宋体" w:hAnsi="宋体" w:cs="宋体"/>
                <w:kern w:val="0"/>
                <w:szCs w:val="21"/>
              </w:rPr>
              <w:t>固定资产投资项目（新建、扩建）节能评估和审查</w:t>
            </w:r>
            <w:r>
              <w:rPr>
                <w:rFonts w:hint="eastAsia" w:ascii="宋体" w:hAnsi="宋体" w:cs="宋体"/>
                <w:szCs w:val="21"/>
              </w:rPr>
              <w:t>政策，对书面申请材料进行审查，提出是否同意筹建的审核意见，组织现场检查验收，告知申请人、利害相关人享有听证权利；涉及公共利益的重大许可，向社会公告并举行听证。</w:t>
            </w:r>
          </w:p>
          <w:p>
            <w:pPr>
              <w:keepNext w:val="0"/>
              <w:keepLines w:val="0"/>
              <w:suppressLineNumbers w:val="0"/>
              <w:spacing w:before="0" w:beforeAutospacing="0" w:after="0" w:afterAutospacing="0" w:line="240" w:lineRule="exact"/>
              <w:ind w:left="0" w:right="0"/>
              <w:jc w:val="left"/>
              <w:rPr>
                <w:rFonts w:hint="eastAsia" w:ascii="宋体" w:hAnsi="宋体" w:cs="宋体"/>
                <w:szCs w:val="21"/>
              </w:rPr>
            </w:pPr>
            <w:r>
              <w:rPr>
                <w:rFonts w:hint="eastAsia" w:ascii="宋体" w:hAnsi="宋体" w:cs="宋体"/>
                <w:szCs w:val="21"/>
              </w:rPr>
              <w:t>3.决定责任：作出行政许可或者不予行政许可决定，法定告知（不予许可的应当书面告知理由）。</w:t>
            </w:r>
          </w:p>
          <w:p>
            <w:pPr>
              <w:keepNext w:val="0"/>
              <w:keepLines w:val="0"/>
              <w:suppressLineNumbers w:val="0"/>
              <w:spacing w:before="0" w:beforeAutospacing="0" w:after="0" w:afterAutospacing="0" w:line="240" w:lineRule="exact"/>
              <w:ind w:left="0" w:right="0"/>
              <w:jc w:val="left"/>
              <w:rPr>
                <w:rFonts w:hint="eastAsia" w:ascii="宋体" w:hAnsi="宋体" w:cs="宋体"/>
                <w:szCs w:val="21"/>
              </w:rPr>
            </w:pPr>
            <w:r>
              <w:rPr>
                <w:rFonts w:hint="eastAsia" w:ascii="宋体" w:hAnsi="宋体" w:cs="宋体"/>
                <w:szCs w:val="21"/>
              </w:rPr>
              <w:t>4.事后监管责任：建立实施监督检查的运行机制和管理制度，开展定期和不定期检查，依法采取相关处置措施。</w:t>
            </w:r>
          </w:p>
          <w:p>
            <w:pPr>
              <w:keepNext w:val="0"/>
              <w:keepLines w:val="0"/>
              <w:suppressLineNumbers w:val="0"/>
              <w:spacing w:before="0" w:beforeAutospacing="0" w:after="0" w:afterAutospacing="0" w:line="240" w:lineRule="exact"/>
              <w:ind w:left="0" w:right="0"/>
              <w:jc w:val="left"/>
              <w:rPr>
                <w:rFonts w:hint="eastAsia" w:ascii="宋体" w:hAnsi="宋体" w:cs="宋体"/>
                <w:b/>
                <w:szCs w:val="21"/>
              </w:rPr>
            </w:pPr>
            <w:r>
              <w:rPr>
                <w:rFonts w:hint="eastAsia" w:ascii="宋体" w:hAnsi="宋体" w:cs="宋体"/>
                <w:szCs w:val="21"/>
              </w:rPr>
              <w:t>5.其他责任：法律法规规章文件规定应履行的其他责任。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88"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cs="宋体"/>
                <w:szCs w:val="21"/>
              </w:rPr>
            </w:pPr>
            <w:r>
              <w:rPr>
                <w:rFonts w:hint="eastAsia" w:ascii="宋体" w:hAnsi="宋体" w:cs="宋体"/>
                <w:szCs w:val="21"/>
              </w:rPr>
              <w:t>责任事项依据</w:t>
            </w:r>
          </w:p>
        </w:tc>
        <w:tc>
          <w:tcPr>
            <w:tcW w:w="8212" w:type="dxa"/>
            <w:vAlign w:val="center"/>
          </w:tcPr>
          <w:p>
            <w:pPr>
              <w:keepNext w:val="0"/>
              <w:keepLines w:val="0"/>
              <w:suppressLineNumbers w:val="0"/>
              <w:spacing w:before="0" w:beforeAutospacing="0" w:after="0" w:afterAutospacing="0" w:line="240" w:lineRule="exact"/>
              <w:ind w:left="0" w:right="0"/>
              <w:jc w:val="left"/>
              <w:rPr>
                <w:rFonts w:hint="eastAsia" w:ascii="宋体" w:hAnsi="宋体" w:cs="宋体"/>
                <w:szCs w:val="21"/>
              </w:rPr>
            </w:pPr>
          </w:p>
          <w:p>
            <w:pPr>
              <w:spacing w:line="340" w:lineRule="exact"/>
              <w:ind w:firstLine="420" w:firstLineChars="200"/>
              <w:rPr>
                <w:rFonts w:ascii="宋体" w:hAnsi="宋体" w:cs="宋体"/>
                <w:szCs w:val="21"/>
              </w:rPr>
            </w:pPr>
            <w:r>
              <w:rPr>
                <w:rFonts w:ascii="宋体" w:hAnsi="宋体" w:cs="宋体"/>
                <w:szCs w:val="21"/>
              </w:rPr>
              <w:t>1.</w:t>
            </w:r>
            <w:r>
              <w:rPr>
                <w:rFonts w:hint="eastAsia" w:ascii="宋体" w:hAnsi="宋体" w:cs="宋体"/>
                <w:szCs w:val="21"/>
              </w:rPr>
              <w:t>《中华人民共和国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spacing w:line="340" w:lineRule="exact"/>
              <w:ind w:firstLine="420" w:firstLineChars="200"/>
              <w:rPr>
                <w:rFonts w:ascii="宋体" w:hAnsi="宋体" w:cs="宋体"/>
                <w:szCs w:val="21"/>
              </w:rPr>
            </w:pPr>
            <w:r>
              <w:rPr>
                <w:rFonts w:ascii="宋体" w:hAnsi="宋体" w:cs="宋体"/>
                <w:szCs w:val="21"/>
              </w:rPr>
              <w:t>2-1.</w:t>
            </w:r>
            <w:r>
              <w:rPr>
                <w:rFonts w:hint="eastAsia" w:ascii="宋体" w:hAnsi="宋体" w:cs="宋体"/>
                <w:szCs w:val="21"/>
              </w:rPr>
              <w:t>《中华人民共和国行政许可法》第三十四条：“行政机关应当对申请人提交的申请材料进行审查。申请人提交申请材料齐全、符合法定形式，行政机关能够当场作出决定的，应当场作出书面的行政许可决定。根据法定条件和程序，需要对申请材料实质内容进行核实的，行政机关应当指派两名以上工作人员进行核查。”</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2-2.</w:t>
            </w:r>
            <w:r>
              <w:rPr>
                <w:rFonts w:hint="eastAsia" w:ascii="宋体" w:hAnsi="宋体" w:cs="宋体"/>
                <w:szCs w:val="21"/>
              </w:rPr>
              <w:t>《中华人民共和国行政许可法》第三十六条：“行政机关对行政许可申请进行审查时，发现行政许可事项直接关系他人重大利益的，应当告知该利害关系人。申请人、利害关系人有权进行陈述和申辩。行政机关应当听取申请人、利害关系人的意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3-1.</w:t>
            </w:r>
            <w:r>
              <w:rPr>
                <w:rFonts w:hint="eastAsia" w:ascii="宋体" w:hAnsi="宋体" w:cs="宋体"/>
                <w:szCs w:val="21"/>
              </w:rPr>
              <w:t>《中华人民共和国行政许可法》第三十七条</w:t>
            </w:r>
            <w:r>
              <w:rPr>
                <w:rFonts w:ascii="宋体" w:hAnsi="宋体" w:cs="宋体"/>
                <w:szCs w:val="21"/>
              </w:rPr>
              <w:t>:</w:t>
            </w:r>
            <w:r>
              <w:rPr>
                <w:rFonts w:hint="eastAsia" w:ascii="宋体" w:hAnsi="宋体" w:cs="宋体"/>
                <w:szCs w:val="21"/>
              </w:rPr>
              <w:t>“行政机关对行政许可申请进行审查后，除当场作出行政许可决定的外，应当在法定期限内按照规定程序作出行政许可决定。”</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3-2.</w:t>
            </w:r>
            <w:r>
              <w:rPr>
                <w:rFonts w:hint="eastAsia" w:ascii="宋体" w:hAnsi="宋体" w:cs="宋体"/>
                <w:szCs w:val="21"/>
              </w:rPr>
              <w:t>《中华人民共和国行政许可法》第三十八条</w:t>
            </w:r>
            <w:r>
              <w:rPr>
                <w:rFonts w:ascii="宋体" w:hAnsi="宋体" w:cs="宋体"/>
                <w:szCs w:val="21"/>
              </w:rPr>
              <w:t>:</w:t>
            </w:r>
            <w:r>
              <w:rPr>
                <w:rFonts w:hint="eastAsia" w:ascii="宋体" w:hAnsi="宋体" w:cs="宋体"/>
                <w:szCs w:val="21"/>
              </w:rPr>
              <w:t>“申请人的申请符合法定条件、标准的，行政机关应当依法作出准予行政许可的书面决定。行政机关依法作出不予行政许可的书面决定的，应当说明理由，并告知申请人享有依法申请行政复议或者提起行政诉讼的权利。”；第四十六条：“法律、法规、规章规定实施行政许可应当听证的事项，或者行政机关认为需要听证的其他涉及公共利益的重大行政许可事项，行政机关应当向社会公告，并举行听证。”</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4-1.</w:t>
            </w:r>
            <w:r>
              <w:rPr>
                <w:rFonts w:hint="eastAsia" w:ascii="宋体" w:hAnsi="宋体" w:cs="宋体"/>
                <w:szCs w:val="21"/>
              </w:rPr>
              <w:t>《中华人民共和国行政许可法》第四十四条：“行政机关作出准予行政许可的决定，应当自作出决定之日起十日内向申请人颁发、送达行政许可证件，或者加贴标签、加盖检验、检测、检疫印章。”</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4-2.</w:t>
            </w:r>
            <w:r>
              <w:rPr>
                <w:rFonts w:hint="eastAsia" w:ascii="宋体" w:hAnsi="宋体" w:cs="宋体"/>
                <w:szCs w:val="21"/>
              </w:rPr>
              <w:t>《中华人民共和国行政许可法》第四十条：“行政机关作出的准予行政许可决定，应当予以公开，公众有权查阅。”</w:t>
            </w:r>
          </w:p>
          <w:p>
            <w:pPr>
              <w:spacing w:line="340" w:lineRule="exact"/>
              <w:rPr>
                <w:rFonts w:ascii="宋体" w:hAnsi="宋体" w:cs="宋体"/>
                <w:szCs w:val="21"/>
              </w:rPr>
            </w:pPr>
            <w:r>
              <w:rPr>
                <w:rFonts w:hint="eastAsia" w:ascii="宋体" w:hAnsi="宋体" w:cs="宋体"/>
                <w:szCs w:val="21"/>
              </w:rPr>
              <w:t>　　</w:t>
            </w:r>
            <w:r>
              <w:rPr>
                <w:rFonts w:ascii="宋体" w:hAnsi="宋体" w:cs="宋体"/>
                <w:szCs w:val="21"/>
              </w:rPr>
              <w:t>5.</w:t>
            </w:r>
            <w:r>
              <w:rPr>
                <w:rFonts w:hint="eastAsia" w:ascii="宋体" w:hAnsi="宋体" w:cs="宋体"/>
                <w:szCs w:val="21"/>
              </w:rPr>
              <w:t>《中华人民共和国行政许可法》第六十一条</w:t>
            </w:r>
            <w:r>
              <w:rPr>
                <w:rFonts w:ascii="宋体" w:hAnsi="宋体" w:cs="宋体"/>
                <w:szCs w:val="21"/>
              </w:rPr>
              <w:t>:"</w:t>
            </w:r>
            <w:r>
              <w:rPr>
                <w:rFonts w:hint="eastAsia" w:ascii="宋体" w:hAnsi="宋体" w:cs="宋体"/>
                <w:szCs w:val="21"/>
              </w:rPr>
              <w:t>行政机关应当建立健全监督制度，通过核查反映被许可人从事行政许可事项活动情况的有关材料，履行监督责任”</w:t>
            </w:r>
          </w:p>
          <w:p>
            <w:pPr>
              <w:keepNext w:val="0"/>
              <w:keepLines w:val="0"/>
              <w:suppressLineNumbers w:val="0"/>
              <w:spacing w:before="0" w:beforeAutospacing="0" w:after="0" w:afterAutospacing="0" w:line="240" w:lineRule="exact"/>
              <w:ind w:left="0" w:right="0"/>
              <w:jc w:val="left"/>
              <w:rPr>
                <w:rFonts w:hint="eastAsia" w:ascii="宋体" w:hAnsi="宋体" w:cs="宋体"/>
                <w:szCs w:val="21"/>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788"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eastAsia="宋体" w:cs="宋体"/>
                <w:szCs w:val="21"/>
                <w:lang w:eastAsia="zh-CN"/>
              </w:rPr>
            </w:pPr>
            <w:r>
              <w:rPr>
                <w:rFonts w:hint="eastAsia" w:ascii="宋体" w:hAnsi="宋体" w:cs="宋体"/>
                <w:szCs w:val="21"/>
                <w:lang w:eastAsia="zh-CN"/>
              </w:rPr>
              <w:t>追责情形</w:t>
            </w:r>
          </w:p>
        </w:tc>
        <w:tc>
          <w:tcPr>
            <w:tcW w:w="8212" w:type="dxa"/>
            <w:vAlign w:val="center"/>
          </w:tcPr>
          <w:p>
            <w:pPr>
              <w:keepNext w:val="0"/>
              <w:keepLines w:val="0"/>
              <w:suppressLineNumbers w:val="0"/>
              <w:spacing w:before="0" w:beforeAutospacing="0" w:after="0" w:afterAutospacing="0" w:line="240" w:lineRule="exact"/>
              <w:ind w:left="0" w:right="0"/>
              <w:jc w:val="left"/>
              <w:rPr>
                <w:rFonts w:hint="eastAsia" w:ascii="宋体" w:hAnsi="宋体" w:cs="宋体"/>
                <w:szCs w:val="21"/>
              </w:rPr>
            </w:pPr>
            <w:r>
              <w:rPr>
                <w:rFonts w:hint="eastAsia" w:ascii="宋体" w:hAnsi="宋体" w:eastAsia="宋体" w:cs="宋体"/>
                <w:sz w:val="18"/>
                <w:szCs w:val="18"/>
              </w:rPr>
              <w:t>对不履行或不正确履行行政职责的行政机关及其工作人员，依据《中华人民共和国监察法》、《中华人民共和国行政许可法》、《行政机关公务员处分条例》、</w:t>
            </w:r>
            <w:r>
              <w:rPr>
                <w:rFonts w:hint="eastAsia" w:ascii="宋体" w:hAnsi="宋体" w:cs="宋体"/>
                <w:sz w:val="18"/>
                <w:szCs w:val="18"/>
                <w:lang w:eastAsia="zh-CN"/>
              </w:rPr>
              <w:t>《四川省行政执法监督条例》、《四川省行政机关工作人员行政过错责任追究试行办法》</w:t>
            </w:r>
            <w:r>
              <w:rPr>
                <w:rFonts w:hint="eastAsia" w:ascii="宋体" w:hAnsi="宋体" w:eastAsia="宋体" w:cs="宋体"/>
                <w:sz w:val="18"/>
                <w:szCs w:val="18"/>
              </w:rPr>
              <w:t>等法律法规规章的相关规定追究相应的责任。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5" w:hRule="atLeast"/>
        </w:trPr>
        <w:tc>
          <w:tcPr>
            <w:tcW w:w="788"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cs="宋体"/>
                <w:szCs w:val="21"/>
              </w:rPr>
            </w:pPr>
            <w:r>
              <w:rPr>
                <w:rFonts w:hint="eastAsia" w:ascii="宋体" w:hAnsi="宋体" w:cs="宋体"/>
                <w:szCs w:val="21"/>
              </w:rPr>
              <w:t>监督电话</w:t>
            </w:r>
          </w:p>
        </w:tc>
        <w:tc>
          <w:tcPr>
            <w:tcW w:w="8212" w:type="dxa"/>
            <w:vAlign w:val="center"/>
          </w:tcPr>
          <w:p>
            <w:pPr>
              <w:keepNext w:val="0"/>
              <w:keepLines w:val="0"/>
              <w:suppressLineNumbers w:val="0"/>
              <w:spacing w:before="0" w:beforeAutospacing="0" w:after="0" w:afterAutospacing="0" w:line="240" w:lineRule="exact"/>
              <w:ind w:left="0" w:right="0"/>
              <w:jc w:val="center"/>
              <w:rPr>
                <w:rFonts w:hint="eastAsia" w:ascii="宋体" w:hAnsi="宋体" w:cs="宋体"/>
                <w:szCs w:val="21"/>
              </w:rPr>
            </w:pPr>
            <w:r>
              <w:rPr>
                <w:rFonts w:hint="eastAsia" w:ascii="宋体" w:hAnsi="宋体" w:cs="宋体"/>
                <w:szCs w:val="21"/>
              </w:rPr>
              <w:t>0837</w:t>
            </w:r>
            <w:r>
              <w:rPr>
                <w:rFonts w:hint="eastAsia" w:ascii="宋体" w:hAnsi="宋体" w:cs="宋体"/>
                <w:szCs w:val="21"/>
                <w:lang w:val="en-US" w:eastAsia="zh-CN"/>
              </w:rPr>
              <w:t>-2486623</w:t>
            </w:r>
          </w:p>
        </w:tc>
      </w:tr>
    </w:tbl>
    <w:p/>
    <w:p>
      <w:pPr>
        <w:ind w:firstLine="1280" w:firstLineChars="400"/>
        <w:jc w:val="both"/>
        <w:rPr>
          <w:rFonts w:hint="eastAsia" w:ascii="仿宋_GB2312" w:hAnsi="仿宋_GB2312" w:eastAsia="仿宋_GB2312" w:cs="仿宋_GB2312"/>
          <w:sz w:val="32"/>
          <w:szCs w:val="32"/>
          <w:u w:val="singl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3171B9"/>
    <w:rsid w:val="0B3171B9"/>
    <w:rsid w:val="3F6B7B23"/>
    <w:rsid w:val="4CD56C3D"/>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2018-05-04T03:19:00Z</dcterms:created>
  <dc:creator>Administrator</dc:creator>
  <cp:lastModifiedBy>Administrator</cp:lastModifiedBy>
  <cp:lastPrinted>2018-05-04T03:27:00Z</cp:lastPrinted>
  <dcterms:modified xsi:type="dcterms:W3CDTF">2018-05-09T03:52:40Z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