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阿坝县国土资源局</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行</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政</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许</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可</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事</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项</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责</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任</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清</w:t>
      </w:r>
    </w:p>
    <w:p>
      <w:pPr>
        <w:spacing w:line="1000" w:lineRule="exact"/>
        <w:jc w:val="center"/>
        <w:rPr>
          <w:rFonts w:ascii="楷体_GB2312" w:hAnsi="楷体_GB2312" w:eastAsia="楷体_GB2312" w:cs="楷体_GB2312"/>
          <w:b/>
          <w:bCs/>
          <w:sz w:val="44"/>
          <w:szCs w:val="44"/>
        </w:rPr>
      </w:pPr>
      <w:r>
        <w:rPr>
          <w:rFonts w:hint="eastAsia" w:ascii="楷体_GB2312" w:hAnsi="楷体_GB2312" w:eastAsia="楷体_GB2312" w:cs="楷体_GB2312"/>
          <w:b/>
          <w:bCs/>
          <w:sz w:val="84"/>
          <w:szCs w:val="84"/>
        </w:rPr>
        <w:t>单</w:t>
      </w:r>
    </w:p>
    <w:p>
      <w:pP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二0一八年制</w:t>
      </w:r>
    </w:p>
    <w:p>
      <w:pPr>
        <w:rPr>
          <w:rFonts w:hint="eastAsia"/>
        </w:rPr>
      </w:pPr>
    </w:p>
    <w:p>
      <w:pPr>
        <w:rPr>
          <w:rFonts w:hint="eastAsia"/>
        </w:rPr>
      </w:pPr>
    </w:p>
    <w:p>
      <w:pPr>
        <w:spacing w:line="580" w:lineRule="exact"/>
        <w:rPr>
          <w:rFonts w:ascii="方正仿宋简体" w:hAnsi="黑体" w:eastAsia="方正仿宋简体" w:cs="黑体"/>
          <w:b/>
          <w:bCs/>
          <w:sz w:val="32"/>
          <w:szCs w:val="32"/>
        </w:rPr>
      </w:pPr>
      <w:r>
        <w:rPr>
          <w:rFonts w:hint="eastAsia" w:ascii="黑体" w:hAnsi="黑体" w:eastAsia="黑体" w:cs="黑体"/>
          <w:sz w:val="32"/>
          <w:szCs w:val="32"/>
        </w:rPr>
        <w:t>附  件1</w:t>
      </w:r>
    </w:p>
    <w:p>
      <w:pPr>
        <w:spacing w:line="580" w:lineRule="exact"/>
        <w:jc w:val="center"/>
        <w:rPr>
          <w:rFonts w:ascii="宋体" w:cs="宋体"/>
          <w:b/>
          <w:sz w:val="44"/>
          <w:szCs w:val="44"/>
        </w:rPr>
      </w:pPr>
      <w:r>
        <w:rPr>
          <w:rFonts w:hint="eastAsia" w:ascii="宋体" w:hAnsi="宋体" w:cs="宋体"/>
          <w:b/>
          <w:sz w:val="44"/>
          <w:szCs w:val="44"/>
        </w:rPr>
        <w:t>阿坝县国土资源局责任清单</w:t>
      </w:r>
    </w:p>
    <w:p>
      <w:pPr>
        <w:rPr>
          <w:rFonts w:ascii="宋体" w:cs="仿宋_GB2312"/>
          <w:szCs w:val="21"/>
        </w:rPr>
      </w:pPr>
      <w:r>
        <w:rPr>
          <w:rFonts w:hint="eastAsia" w:ascii="宋体" w:hAnsi="宋体" w:cs="仿宋_GB2312"/>
          <w:szCs w:val="21"/>
        </w:rPr>
        <w:t>表1</w:t>
      </w:r>
    </w:p>
    <w:tbl>
      <w:tblPr>
        <w:tblStyle w:val="4"/>
        <w:tblW w:w="9048"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9"/>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30"/>
                <w:szCs w:val="30"/>
              </w:rPr>
            </w:pPr>
            <w:r>
              <w:rPr>
                <w:rFonts w:hint="eastAsia" w:ascii="仿宋" w:hAnsi="仿宋" w:eastAsia="仿宋" w:cs="仿宋"/>
                <w:sz w:val="30"/>
                <w:szCs w:val="30"/>
              </w:rPr>
              <w:t>主体责任</w:t>
            </w:r>
          </w:p>
        </w:tc>
        <w:tc>
          <w:tcPr>
            <w:tcW w:w="7109" w:type="dxa"/>
            <w:tcBorders>
              <w:top w:val="single" w:color="auto" w:sz="4" w:space="0"/>
              <w:left w:val="single" w:color="auto" w:sz="4" w:space="0"/>
              <w:bottom w:val="single" w:color="auto" w:sz="4" w:space="0"/>
              <w:right w:val="single" w:color="auto" w:sz="4" w:space="0"/>
            </w:tcBorders>
            <w:vAlign w:val="center"/>
          </w:tcPr>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一）负责贯彻执行国家、省、州关于土地，矿产等国土资源方面的方针、政策和法律、法规；依法负责拟定本县土地、矿产等自然资源管理的规章制度。研究拟定调查、规划、保护和合理利用我县土地、矿产资源等自然资源的政策；组织贯彻实施土地、矿产等自然资源的技术标准、规程、规范和办法。</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二）研究制定全县国土资源管理事业发展战略；组织编制和实施全县国土规划、土地利用总体规划、其他国土资源专项规划和土地利用年度计划实施方案；组织实施矿产资源的调查、评价，编制全县矿产资源遗迹保护规划，参与对城（镇）总体规划的审核；对建设项目用地进行预审。</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三）监督检查各乡（镇）、场国土资源行政执法情况；监督检查全县土地、矿产资源规划、计划执行情况；承办并组织调查处理县人民政府管辖的土地、矿产权属纠纷，查处土地、矿产违法案件，保护土地、矿产资源所有者和使用者的合法权益。</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（四）实施土地用途管制制度，拟定和贯彻实施耕地保护和耕地开发、复垦、整理政策；组织实施基本农田保护工作，负责未利用土地垢开发、土地整理、土地复垦工作，确保耕地占补平衡。</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五）承办国务院、省、州人民政府和县人民政府审批的各类用地的审查、报批工作，按规定拟定、审查、报秕批农用地转用方案、土地征用方案、补充耕地方案和供地方案；按规定负责土地补偿费、安置补助费、耕地开垦费、新增建设用地有偿使用费、土地闲置费等规费的征收管理，组织有关预算的执行。</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六）指导基准地价、标定地价评测，确认土地使用权价格，审批国有土地资产处置方案，并组织实施，拟定并按规定组织实施土地使用权出让、租赁、作价出资、转让、交易和政府收购、储备管理办法；按规定组织农村“三项建设”用地管理和农村非农土地使用权的流转管理。</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七）承担矿产资源储量管理工作，依法管理和汇交地质、地勘成果资料，依法管理矿产资源探矿权、采矿权的审批、登记、发证和转让；依法实施地质勘查行业管理；依法确认探矿权、采矿权评估结果；按规定实施矿产资源补偿费的征收和管理。</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八）承担统一管理全县土地和城乡地籍地政工作，制订并贯彻实施地籍管理办法；组织全县土地资源调查、统计、分等定级、统计和动态监测工作，依法负责土地确权、登记、发证等工作，并组织土地权属证书年度审核工作。</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九）依法保护地质环境，审核地质环境影响评价报告，组织监测、防治地质灾害；依法管理水文地质、工程地质、环境地质勘查和评价工作，组织认定和审查报批地质遗迹保护区；依法组织地质、矿泉水的鉴定和年度审理工作。</w:t>
            </w:r>
          </w:p>
          <w:p>
            <w:pPr>
              <w:pStyle w:val="10"/>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（十）行政审批事项。</w:t>
            </w:r>
          </w:p>
          <w:p>
            <w:pPr>
              <w:pStyle w:val="10"/>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农村集体土地建设用地审批、建设单位使用国有土地出让、划拨、租赁审批、建设项目施工和地质勘查需要临时使用国有土地或者农民集体需要使用土地的审批、农村村民住宅用地审批、转让房地产时划拨国有土地使用权申请出让或转让审批。</w:t>
            </w:r>
          </w:p>
          <w:p>
            <w:pPr>
              <w:pStyle w:val="10"/>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（十一）承办县人民政府交办的其他事项。</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p>
          <w:p>
            <w:pPr>
              <w:spacing w:line="360" w:lineRule="auto"/>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30"/>
                <w:szCs w:val="30"/>
              </w:rPr>
            </w:pPr>
            <w:r>
              <w:rPr>
                <w:rFonts w:hint="eastAsia" w:ascii="仿宋" w:hAnsi="仿宋" w:eastAsia="仿宋" w:cs="仿宋"/>
                <w:sz w:val="30"/>
                <w:szCs w:val="30"/>
              </w:rPr>
              <w:t>职责边界</w:t>
            </w:r>
          </w:p>
        </w:tc>
        <w:tc>
          <w:tcPr>
            <w:tcW w:w="710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s="仿宋"/>
                <w:sz w:val="30"/>
                <w:szCs w:val="30"/>
              </w:rPr>
            </w:pPr>
            <w:r>
              <w:rPr>
                <w:rFonts w:hint="eastAsia" w:ascii="仿宋" w:hAnsi="仿宋" w:eastAsia="仿宋" w:cs="仿宋"/>
                <w:sz w:val="30"/>
                <w:szCs w:val="30"/>
              </w:rPr>
              <w:t>所属事业单位的设置.职责和编制事项另行规定。</w:t>
            </w:r>
          </w:p>
        </w:tc>
      </w:tr>
    </w:tbl>
    <w:p>
      <w:pPr>
        <w:spacing w:line="360" w:lineRule="auto"/>
      </w:pPr>
      <w:r>
        <w:rPr>
          <w:rFonts w:hint="eastAsia"/>
        </w:rPr>
        <w:t>+</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rPr>
          <w:rFonts w:asci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hint="eastAsia"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建设项目用地预审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rPr>
                <w:rFonts w:hint="eastAsia"/>
              </w:rPr>
              <w:t>1.《中华人民共和国土地管理法》</w:t>
            </w:r>
          </w:p>
          <w:p>
            <w:r>
              <w:rPr>
                <w:rFonts w:hint="eastAsia"/>
              </w:rPr>
              <w:t>第五十二条：“建设项目可行性研究论证时，土地行政管理部门可以根据土地利用总体规划、土地利用年度计划和建设用地标准，对建设用地有关事项进行审查，并提出意见”；</w:t>
            </w:r>
          </w:p>
          <w:p>
            <w:pPr>
              <w:rPr>
                <w:rFonts w:hint="eastAsia"/>
              </w:rPr>
            </w:pPr>
            <w:r>
              <w:rPr>
                <w:rFonts w:hint="eastAsia"/>
              </w:rPr>
              <w:t>2.《中华人民共和国土地管理法实施条例》</w:t>
            </w:r>
          </w:p>
          <w:p>
            <w:pPr>
              <w:rPr>
                <w:rFonts w:hint="eastAsia"/>
              </w:rPr>
            </w:pPr>
            <w:r>
              <w:rPr>
                <w:rFonts w:hint="eastAsia"/>
              </w:rPr>
              <w:t>第二十二条具体建设项目需要占用土地利用总体规划确定的城市建设用地范围内的国有建设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p>
            <w:pPr>
              <w:rPr>
                <w:rFonts w:hint="eastAsia"/>
              </w:rPr>
            </w:pPr>
            <w:r>
              <w:rPr>
                <w:rFonts w:hint="eastAsia"/>
              </w:rPr>
              <w:t>第二十三条：具体建设项目需要使用土地的，必须依法申请使用土地利用总体规划确定的城市建设用地范围内的国有建设用地。能源、交通、水利、矿山、军事设施筹建设项目确需使用土地利用总体规划确定的城市建设用地范围外的土地，涉及农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p>
            <w:pPr>
              <w:rPr>
                <w:rFonts w:hint="eastAsia"/>
              </w:rPr>
            </w:pPr>
            <w:r>
              <w:rPr>
                <w:rFonts w:hint="eastAsia"/>
              </w:rPr>
              <w:t>3.《建设项目用地预审管理办法》</w:t>
            </w:r>
          </w:p>
          <w:p>
            <w:pPr>
              <w:rPr>
                <w:rFonts w:hint="eastAsia"/>
              </w:rPr>
            </w:pPr>
            <w:r>
              <w:t>第二条</w:t>
            </w:r>
            <w:r>
              <w:rPr>
                <w:rFonts w:hint="eastAsia"/>
              </w:rPr>
              <w:t>：</w:t>
            </w:r>
            <w:r>
              <w:t>本办法所称建设项目用地预审，是指国土资源管理部门在建设项目审批、核准、备案阶段，依法对建设项目涉及的土地利用事项进行的审查</w:t>
            </w:r>
            <w:r>
              <w:rPr>
                <w:rFonts w:hint="eastAsia"/>
              </w:rPr>
              <w:t>。</w:t>
            </w:r>
          </w:p>
          <w:p>
            <w:r>
              <w:t>第四条</w:t>
            </w:r>
            <w:r>
              <w:rPr>
                <w:rFonts w:hint="eastAsia"/>
              </w:rPr>
              <w:t>：</w:t>
            </w:r>
            <w:r>
              <w:t>建设项目用地实行分级预审。需人民政府或有批准权的人民政府发展和改革等部门审批的建设项目，由该人民政府的国土资源管理部门预审。需核准和备案的建设项目，由与核准、备案机关同级的国土资源管理部门预审。</w:t>
            </w:r>
          </w:p>
          <w:p>
            <w:pPr>
              <w:rPr>
                <w:rFonts w:hint="eastAsia"/>
              </w:rPr>
            </w:pPr>
            <w:r>
              <w:t>第五条 需审批的建设项目在可行性研究阶段，由建设用地单位提出预审申请。需核准的建设项目在项目申请报告核准前，由建设单位提出用地预审申请。需备案的建设项目在办理备案手续后，由建设单位提出用地预审申请。</w:t>
            </w:r>
          </w:p>
          <w:p>
            <w:r>
              <w:t>第六条 依照本办法第四条规定应当由国土资源部预审的建设项目，国土资源部委托项目所在地的省级国土资源管理部门受理，但建设项目占用规划确定的城市建设用地范围内土地的，委托市级国土资源管理部门受理。受理后，提出初审意见，转报国土资源部。涉密军事项目和国务院批准的特殊建设项目</w:t>
            </w:r>
            <w:r>
              <w:rPr>
                <w:rFonts w:hint="eastAsia"/>
              </w:rPr>
              <w:t xml:space="preserve"> </w:t>
            </w:r>
            <w:r>
              <w:t>用地，建设用地单位可直接向国土资源部提出预审申请。应当由国土资源部负责预审的输电线塔基、钻探井位、通讯基站等小面积零星分散建设项目用地，由省级国土资源管理部门预审，并报国土资源部备案。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（1）受理责任：公开依法应提交的材料，审查资料是否齐全，一次性告知补正材料，依法受理或不予受理（不予受理应当告知理由）。</w:t>
            </w:r>
          </w:p>
          <w:p>
            <w:pPr>
              <w:rPr>
                <w:rFonts w:hint="eastAsia"/>
              </w:rPr>
            </w:pPr>
            <w:r>
              <w:rPr>
                <w:rFonts w:hint="eastAsia"/>
              </w:rPr>
              <w:t>（2）审查责任：按照</w:t>
            </w:r>
            <w:bookmarkStart w:id="0" w:name="_GoBack"/>
            <w:bookmarkEnd w:id="0"/>
            <w:r>
              <w:rPr>
                <w:rFonts w:hint="eastAsia"/>
                <w:lang w:eastAsia="zh-CN"/>
              </w:rPr>
              <w:t>《中华人民共和国土地管理法》</w:t>
            </w:r>
            <w:r>
              <w:rPr>
                <w:rFonts w:hint="eastAsia"/>
              </w:rPr>
              <w:t>相关规定，对书面申请材料进行审查，提出是否符合预审要求意见，并告知申请人，组织有关人员对申请土地现场勘察。</w:t>
            </w:r>
          </w:p>
          <w:p>
            <w:pPr>
              <w:rPr>
                <w:rFonts w:hint="eastAsia"/>
              </w:rPr>
            </w:pPr>
            <w:r>
              <w:rPr>
                <w:rFonts w:hint="eastAsia"/>
              </w:rPr>
              <w:t>（3）决定责任：作出同意用地预审的意见或者退件并告知理由。</w:t>
            </w:r>
          </w:p>
          <w:p>
            <w:pPr>
              <w:rPr>
                <w:rFonts w:hint="eastAsia"/>
              </w:rPr>
            </w:pPr>
            <w:r>
              <w:rPr>
                <w:rFonts w:hint="eastAsia"/>
              </w:rPr>
              <w:t>（4）事后监督责任：建立实施监督检查的运行机制和管理制度，开展定期和不定期检查，依法采取相关处置措施。</w:t>
            </w:r>
          </w:p>
          <w:p>
            <w:r>
              <w:rPr>
                <w:rFonts w:hint="eastAsia"/>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2-23.《建设项目用地预审管理办法》第三条：“预审应当遵循下列原则：（一）符合土地利用总体规划；（二）保护耕地，特别是基本农田；（三）合理和集约节约利用土地；（四）符合国家产业政策。”</w:t>
            </w:r>
          </w:p>
          <w:p>
            <w:pPr>
              <w:rPr>
                <w:rFonts w:hint="eastAsia"/>
              </w:rPr>
            </w:pPr>
            <w:r>
              <w:rPr>
                <w:rFonts w:hint="eastAsia"/>
              </w:rPr>
              <w:t>2-3.《建设项目用地预审管理办法》第十一条：“预审应当审查以下内容：（一）项目选址是否符合土地利用总体规划，是否符合国家供地政策和土地管理法律、法规规定的条件；（二）建设项目用地规模是否符合有关建设用地指标的规定；（三）建设项目占用耕地的，补充耕地初步方案是否可行；（四）征地补偿费用和矿山项目土地复垦资金的拟安排情况；（五）属</w:t>
            </w:r>
            <w:r>
              <w:rPr>
                <w:rFonts w:hint="eastAsia"/>
                <w:lang w:eastAsia="zh-CN"/>
              </w:rPr>
              <w:t>《中华人民共和国土地管理法》</w:t>
            </w:r>
            <w:r>
              <w:rPr>
                <w:rFonts w:hint="eastAsia"/>
              </w:rPr>
              <w:t>第二十六条规定情形，建设项目用地需修改土地利用总体规划的，规划的修改方案、规划修改对规划实施影响评估报告等是否符合法律、法规的规定。”</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4-1.</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Pr>
        <w:spacing w:line="500" w:lineRule="exact"/>
        <w:rPr>
          <w:rFonts w:ascii="宋体" w:cs="仿宋_GB2312"/>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hint="eastAsia"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采矿权新立、延续、变更登记发证与注销登记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根据《中华人民共和国矿产资源法》、《矿产资源开采登记管理办法》、《国土资源部关于进一步完善采矿权登记管理有关问题的通知》（国土资发[2011]14号）、《关于矿产资源勘查登记、开采登记有关规定的通知》（国土资发[1998]7号）、《关于报部审查的部分等下许可事项电子申报有关事项的通知 》（国土资发[2007]280号）、《矿产资源规定编制实施办法》，本事项需符合以下条件：</w:t>
            </w:r>
          </w:p>
          <w:p>
            <w:r>
              <w:rPr>
                <w:rFonts w:hint="eastAsia"/>
              </w:rPr>
              <w:t>（一）符合本级矿产资源总体规划和采矿权出让计划；</w:t>
            </w:r>
          </w:p>
          <w:p>
            <w:r>
              <w:rPr>
                <w:rFonts w:hint="eastAsia"/>
              </w:rPr>
              <w:t>（二）符合国家当前产业政策；</w:t>
            </w:r>
          </w:p>
          <w:p>
            <w:r>
              <w:rPr>
                <w:rFonts w:hint="eastAsia"/>
              </w:rPr>
              <w:t>（三）不属于开采国家或自治区明确禁止或暂停设立采矿权的矿种；</w:t>
            </w:r>
          </w:p>
          <w:p>
            <w:r>
              <w:rPr>
                <w:rFonts w:hint="eastAsia"/>
              </w:rPr>
              <w:t>（四）拟设采矿权矿区范围内保有与拟建矿山生产建设规模和矿山服务年限相适应的矿产资源储量；</w:t>
            </w:r>
          </w:p>
          <w:p>
            <w:r>
              <w:rPr>
                <w:rFonts w:hint="eastAsia"/>
              </w:rPr>
              <w:t>（五）拟建矿山生产建设规模达到国家和自治区规定的最低生产建设规模要求；</w:t>
            </w:r>
          </w:p>
          <w:p>
            <w:r>
              <w:rPr>
                <w:rFonts w:hint="eastAsia"/>
              </w:rPr>
              <w:t>（六）符合《中华人民共和国矿产资源法》第20条规定：“非经国务院授权的有关主管部门同意，不得在下列地区开采矿产资源：1、港口、机场、国防工程设施圈定地区以内；2、重要工业区、大型水利工程设施、城镇市政工程设施附近一定距离以内；3、铁路、重要公路两侧一定距离以内；4、重要河流、堤坝两侧一定距离以内；5、国家划定的自然保护区、重要风景区，国家重点保护的不能移动的历史文物和名胜古迹所在地；6、国家规定不得开采矿产资源的其他地区”；        </w:t>
            </w:r>
          </w:p>
          <w:p>
            <w:r>
              <w:rPr>
                <w:rFonts w:hint="eastAsia"/>
              </w:rPr>
              <w:t>（七）露天采矿在铁路、国道、省道、旅游公路两侧直观可视范围以外；</w:t>
            </w:r>
          </w:p>
          <w:p>
            <w:r>
              <w:rPr>
                <w:rFonts w:hint="eastAsia"/>
              </w:rPr>
              <w:t>（八）申请人（或投标人、竞买人）具备采矿权申请人的资质条件；</w:t>
            </w:r>
          </w:p>
          <w:p>
            <w:r>
              <w:rPr>
                <w:rFonts w:hint="eastAsia"/>
              </w:rPr>
              <w:t>（九）采矿权申请人具有与矿山建设相适应的资金、技术和设备；</w:t>
            </w:r>
          </w:p>
          <w:p>
            <w:r>
              <w:rPr>
                <w:rFonts w:hint="eastAsia"/>
              </w:rPr>
              <w:t>（十）申请采矿权范围地质勘查报告或矿产资源储量核实地质报告经评审机构审查通过并备案；</w:t>
            </w:r>
          </w:p>
          <w:p>
            <w:r>
              <w:rPr>
                <w:rFonts w:hint="eastAsia"/>
              </w:rPr>
              <w:t>（十一）矿山开采设计或矿产资源开发利用方案经采矿权审批机关或其委托的评审机构审查通过；</w:t>
            </w:r>
          </w:p>
          <w:p>
            <w:r>
              <w:rPr>
                <w:rFonts w:hint="eastAsia"/>
              </w:rPr>
              <w:t>（十二）开采矿产资源的环境影响报告经环保部门审查合格；</w:t>
            </w:r>
          </w:p>
          <w:p>
            <w:r>
              <w:rPr>
                <w:rFonts w:hint="eastAsia"/>
              </w:rPr>
              <w:t>（十三）矿山地质环境恢复治理方案经国土资源行政主管部门审查通过并备案；</w:t>
            </w:r>
          </w:p>
          <w:p>
            <w:r>
              <w:rPr>
                <w:rFonts w:hint="eastAsia"/>
              </w:rPr>
              <w:t>（十四）已进行矿业权价款处置。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tcPr>
          <w:p>
            <w:r>
              <w:rPr>
                <w:rFonts w:hint="eastAsia"/>
              </w:rPr>
              <w:t>1.征收责任：征收采矿权价款。</w:t>
            </w:r>
          </w:p>
          <w:p>
            <w:r>
              <w:rPr>
                <w:rFonts w:hint="eastAsia"/>
              </w:rPr>
              <w:t>    2.受理责任：公示应当提交的材料；一次性告知补正材料；依法受理或不予受理（不予受理应当告知理由）。</w:t>
            </w:r>
          </w:p>
          <w:p>
            <w:r>
              <w:rPr>
                <w:rFonts w:hint="eastAsia"/>
              </w:rPr>
              <w:t>    3.审查责任：按照政策规定对书面材料进行审查，提出是否同意审批的初步意见，告知申请人、利害相关人享有听证权利；涉及公共利益的重大许可，向社会公告，并举行听证。</w:t>
            </w:r>
          </w:p>
          <w:p>
            <w:r>
              <w:rPr>
                <w:rFonts w:hint="eastAsia"/>
              </w:rPr>
              <w:t>    4.征收责任：征收采矿权使用费。</w:t>
            </w:r>
          </w:p>
          <w:p>
            <w:r>
              <w:rPr>
                <w:rFonts w:hint="eastAsia"/>
              </w:rPr>
              <w:t>    5.决定责任：作出行政许可或者不予行政许可决定,法定告知（不予许可的应当书面告知理由）。</w:t>
            </w:r>
          </w:p>
          <w:p>
            <w:r>
              <w:rPr>
                <w:rFonts w:hint="eastAsia"/>
              </w:rPr>
              <w:t>    6.送达责任：准予许可的制发送达审批决定，并信息公开。</w:t>
            </w:r>
          </w:p>
          <w:p>
            <w:r>
              <w:rPr>
                <w:rFonts w:hint="eastAsia"/>
              </w:rPr>
              <w:t>    7.事后监管环节责任：对审批后的相关事宜实施监督管理。</w:t>
            </w:r>
          </w:p>
          <w:p>
            <w:r>
              <w:rPr>
                <w:rFonts w:hint="eastAsia"/>
              </w:rPr>
              <w:t>    8.其他法律法规规章文件规定应履行的责任。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rPr>
          <w:rFonts w:asci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rPr>
                <w:rFonts w:hint="eastAsia"/>
              </w:rP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采矿权转让审批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rPr>
                <w:rFonts w:hint="eastAsia"/>
              </w:rPr>
              <w:t>1.《矿产资源开采登记管理办法》第三条第四、五、六款开采本条第一款、第二款、第三款规定以外的矿产资源，由县级以上地方人民政府负责地质矿产管理工作的部门，按照省、自治区、直辖市人民代表大会常务委员会制定的管理办法审批登记，颁发采矿许可证。矿区范围跨县级以上行政区域的，由所涉及行政区域的共同上一级登记管理机关审批登记，颁发采矿许可证。</w:t>
            </w:r>
          </w:p>
          <w:p>
            <w:pPr>
              <w:rPr>
                <w:rFonts w:hint="eastAsia"/>
              </w:rPr>
            </w:pPr>
            <w:r>
              <w:rPr>
                <w:rFonts w:hint="eastAsia"/>
              </w:rPr>
              <w:t>2.《阿坝藏族羌族自治州矿产资源管理条例》第三章第十三条 开采《矿产资源法》第十六条第一、二款规定、锂矿以及省规划矿区和对全省国民经济具有重要价值的矿种以外的中型以下的矿产资源，由州地矿部门审批，颁发采矿许可证。开采前款规定的小型矿产资源，由州地矿部门授权具备条件的县地矿部门审批，颁发采矿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pPr>
              <w:rPr>
                <w:rFonts w:hint="eastAsia"/>
              </w:rPr>
            </w:pPr>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w:t>
            </w:r>
            <w:r>
              <w:t>1</w:t>
            </w:r>
            <w:r>
              <w:rPr>
                <w:rFonts w:hint="eastAsia"/>
              </w:rPr>
              <w:t>）受理责任：公示应当提交的材料，一次性告知补正材料，依法受理或不予受理（不予受理应当告知理由）。</w:t>
            </w:r>
          </w:p>
          <w:p>
            <w:pPr>
              <w:rPr>
                <w:rFonts w:hint="eastAsia"/>
              </w:rPr>
            </w:pPr>
            <w:r>
              <w:rPr>
                <w:rFonts w:hint="eastAsia"/>
              </w:rPr>
              <w:t>（2）审查责任：按照矿产资源规划和产业政策，对书面申请材料进行审查，提出是否同意筹建的审核意见，组织现场检查验收，告知申请人、利害相关人享有听证权利；涉及公共利益的重大许可，向社会公告并举行听证。</w:t>
            </w:r>
          </w:p>
          <w:p>
            <w:pPr>
              <w:rPr>
                <w:rFonts w:hint="eastAsia"/>
              </w:rPr>
            </w:pPr>
            <w:r>
              <w:rPr>
                <w:rFonts w:hint="eastAsia"/>
              </w:rPr>
              <w:t>（3）决定责任：作出行政许可或者不予行政许可决定，法定告知（不予许可的应当书面告知理由）。</w:t>
            </w:r>
          </w:p>
          <w:p>
            <w:pPr>
              <w:rPr>
                <w:rFonts w:hint="eastAsia"/>
              </w:rPr>
            </w:pPr>
            <w:r>
              <w:rPr>
                <w:rFonts w:hint="eastAsia"/>
              </w:rPr>
              <w:t>（4）事后监管责任：建立实施监督检查的运行机制和管理制度，开展定期和不定期检查，依法采取相关处置措施。</w:t>
            </w:r>
          </w:p>
          <w:p>
            <w:r>
              <w:rPr>
                <w:rFonts w:hint="eastAsia"/>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rPr>
          <w:rFonts w:asci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rPr>
                <w:rFonts w:hint="eastAsia"/>
              </w:rP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开采矿产资源划定矿区范围批准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《中华人民共和国矿产资源法》（1996年8月29日通过，2009年08月27日第十一届全国人民代表大会常务委员会第十次会议;《全国人民代表大会常务委员会关于修改部分法律的决定》第一次修正。）第十六条  开采下列矿产资源，由国务院地质矿产主管部门审批登记，颁发采矿许可证：</w:t>
            </w:r>
          </w:p>
          <w:p>
            <w:pPr>
              <w:rPr>
                <w:rFonts w:hint="eastAsia"/>
              </w:rPr>
            </w:pPr>
            <w:r>
              <w:rPr>
                <w:rFonts w:hint="eastAsia"/>
              </w:rPr>
              <w:t>(一)国家规划矿区和对国民经济具有重要价值的矿区内的矿产资源；</w:t>
            </w:r>
          </w:p>
          <w:p>
            <w:pPr>
              <w:rPr>
                <w:rFonts w:hint="eastAsia"/>
              </w:rPr>
            </w:pPr>
            <w:r>
              <w:rPr>
                <w:rFonts w:hint="eastAsia"/>
              </w:rPr>
              <w:t>(二)领海及中国管辖的其他海域的矿产资源；</w:t>
            </w:r>
          </w:p>
          <w:p>
            <w:pPr>
              <w:rPr>
                <w:rFonts w:hint="eastAsia"/>
              </w:rPr>
            </w:pPr>
            <w:r>
              <w:rPr>
                <w:rFonts w:hint="eastAsia"/>
              </w:rPr>
              <w:t>(三)外商投资开采的矿产资源；</w:t>
            </w:r>
          </w:p>
          <w:p>
            <w:pPr>
              <w:rPr>
                <w:rFonts w:hint="eastAsia"/>
              </w:rPr>
            </w:pPr>
            <w:r>
              <w:rPr>
                <w:rFonts w:hint="eastAsia"/>
              </w:rPr>
              <w:t>(四)本办法附录所列的矿产资源。</w:t>
            </w:r>
          </w:p>
          <w:p>
            <w:pPr>
              <w:rPr>
                <w:rFonts w:hint="eastAsia"/>
              </w:rPr>
            </w:pPr>
            <w:r>
              <w:rPr>
                <w:rFonts w:hint="eastAsia"/>
              </w:rPr>
              <w:t>第15条：设立矿山企业，必须符合国家规定的资质条件，并依据法律和国家有关规定，由审批机关对其矿区范围、矿山设计或开发利用方案、生产技术条件、安全措施和环境保护措施等进行审查；审查合格的，方予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pPr>
              <w:rPr>
                <w:rFonts w:hint="eastAsia"/>
              </w:rPr>
            </w:pPr>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t>1.受理责任:公示依法应当提交的材料；按照规定清理申请人提交的划定矿区范围申请资料，一次性告知补正材料；依法受理或不予受理划定矿区范围申请(不予受理应当告知理由)。</w:t>
            </w:r>
            <w:r>
              <w:br w:type="textWrapping"/>
            </w:r>
            <w:r>
              <w:t>2.审查责任:对申请材料进行审查，提出审查意见；必要时组织人员实地考察。</w:t>
            </w:r>
            <w:r>
              <w:br w:type="textWrapping"/>
            </w:r>
            <w:r>
              <w:t>3.决定责任:作出行政许可或者不予行政许可决定，法定告知（不予批准的要说明理由并告知享有依法申请行政复议或者提起行政诉讼的权利）。</w:t>
            </w:r>
            <w:r>
              <w:br w:type="textWrapping"/>
            </w:r>
            <w:r>
              <w:t>4.送达责任:依法制作同意划定矿区范围的函并送达；</w:t>
            </w:r>
            <w:r>
              <w:br w:type="textWrapping"/>
            </w:r>
            <w:r>
              <w:t>5.事后监管责任：对采矿权人合理开发利用矿产资源及其他应当履行矿产资源法律法规规定义务等情况进行监督检查，依法采取相关处置措施。</w:t>
            </w:r>
            <w:r>
              <w:br w:type="textWrapping"/>
            </w:r>
            <w: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Pr>
        <w:spacing w:line="500" w:lineRule="exact"/>
        <w:rPr>
          <w:rFonts w:ascii="宋体" w:hAnsi="宋体"/>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矿山地质环境保护及治理恢复方案审查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rPr>
                <w:rFonts w:hint="eastAsia"/>
              </w:rPr>
              <w:t>《中华人民共和国矿产资源法》（1986年3月19日主席令第三十六号，2009年8月27日予以修改）第十五条   设立矿山企业，必须符合国家规定的资质条件，并依照法律和国家有关规定，由审批机关对其矿区范围、矿山设计或者开采方案、生产技术条件、安全措施和环境保护措施等进行审查：审查合格的，予以批准。</w:t>
            </w:r>
          </w:p>
          <w:p>
            <w:pPr>
              <w:rPr>
                <w:rFonts w:hint="eastAsia"/>
              </w:rPr>
            </w:pPr>
            <w:r>
              <w:rPr>
                <w:rFonts w:hint="eastAsia"/>
              </w:rPr>
              <w:t>第二十一条    关于矿山，必须提出矿山闭坑报告及有关采掘工程、不安稳患、土地复垦利用、环境保护的资料，并按照国家规定报请审查批准。</w:t>
            </w:r>
          </w:p>
          <w:p>
            <w:pPr>
              <w:rPr>
                <w:rFonts w:hint="eastAsia"/>
              </w:rPr>
            </w:pPr>
            <w:r>
              <w:rPr>
                <w:rFonts w:hint="eastAsia"/>
              </w:rPr>
              <w:t>2、《矿山地质环境保护规定》（2009年3月2日国土资源部令第44号，2016年1月8日予以修改）第十二条  采矿权申请人申请办理采矿许可证时，应当编制矿山地质黄金保护与治理恢复方案，报有批准权的国土资源行政主管部门批准</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1）受理责任：按照矿山地质环境保护与恢复治理方案审查事项条件、标准、审核申请材料是否齐全、符合法定形式，申请事项是否属于矿山地质环境保护与恢复治理方案审查是否在法律、法规规定的期限内提出，申请矿山企业是否具备申请条件，决定是否受理</w:t>
            </w:r>
          </w:p>
          <w:p>
            <w:pPr>
              <w:rPr>
                <w:rFonts w:hint="eastAsia"/>
              </w:rPr>
            </w:pPr>
            <w:r>
              <w:rPr>
                <w:rFonts w:hint="eastAsia"/>
              </w:rPr>
              <w:t>（2）审查责任：按照办理条件和标准，对符合条件的，提出同意的审查意见；对不符合条件的，提出不同意见及理由。</w:t>
            </w:r>
          </w:p>
          <w:p>
            <w:pPr>
              <w:rPr>
                <w:rFonts w:hint="eastAsia"/>
              </w:rPr>
            </w:pPr>
            <w:r>
              <w:rPr>
                <w:rFonts w:hint="eastAsia"/>
              </w:rPr>
              <w:t>（3）决定责任：对准许办理矿山地质环境保护与恢复治理方案审查的矿山企业，乡申请矿山企业出具同意办理的书面文件。</w:t>
            </w:r>
          </w:p>
          <w:p>
            <w:r>
              <w:rPr>
                <w:rFonts w:hint="eastAsia"/>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Pr>
        <w:spacing w:line="500" w:lineRule="exact"/>
        <w:rPr>
          <w:rFonts w:ascii="宋体" w:cs="仿宋_GB2312"/>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eastAsia="宋体" w:cs="宋体"/>
          <w:b/>
          <w:sz w:val="44"/>
          <w:szCs w:val="44"/>
        </w:rPr>
      </w:pPr>
      <w:r>
        <w:rPr>
          <w:rFonts w:hint="eastAsia" w:ascii="宋体" w:hAnsi="宋体" w:eastAsia="宋体" w:cs="宋体"/>
          <w:b/>
          <w:sz w:val="44"/>
          <w:szCs w:val="44"/>
        </w:rPr>
        <w:t>国土资源局责任清单</w:t>
      </w:r>
    </w:p>
    <w:p>
      <w:pPr>
        <w:rPr>
          <w:rFonts w:ascii="宋体" w:eastAsia="宋体" w:cs="仿宋_GB231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序号</w:t>
            </w:r>
          </w:p>
        </w:tc>
        <w:tc>
          <w:tcPr>
            <w:tcW w:w="7109" w:type="dxa"/>
            <w:vAlign w:val="center"/>
          </w:tcPr>
          <w:p>
            <w:pPr>
              <w:jc w:val="center"/>
              <w:rPr>
                <w:rFonts w:eastAsia="宋体" w:cs="Times New Roman"/>
              </w:rPr>
            </w:pPr>
            <w:r>
              <w:rPr>
                <w:rFonts w:hint="eastAsia" w:eastAsia="宋体"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权力类型</w:t>
            </w:r>
          </w:p>
        </w:tc>
        <w:tc>
          <w:tcPr>
            <w:tcW w:w="7109" w:type="dxa"/>
            <w:vAlign w:val="center"/>
          </w:tcPr>
          <w:p>
            <w:pPr>
              <w:jc w:val="center"/>
              <w:rPr>
                <w:rFonts w:eastAsia="宋体" w:cs="Times New Roman"/>
              </w:rPr>
            </w:pPr>
            <w:r>
              <w:rPr>
                <w:rFonts w:hint="eastAsia" w:eastAsia="宋体" w:cs="Times New Roma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权力项目名称</w:t>
            </w:r>
          </w:p>
        </w:tc>
        <w:tc>
          <w:tcPr>
            <w:tcW w:w="7109" w:type="dxa"/>
            <w:vAlign w:val="center"/>
          </w:tcPr>
          <w:p>
            <w:pPr>
              <w:jc w:val="center"/>
              <w:rPr>
                <w:rFonts w:eastAsia="宋体" w:cs="Times New Roman"/>
              </w:rPr>
            </w:pPr>
            <w:r>
              <w:rPr>
                <w:rFonts w:hint="eastAsia" w:eastAsia="宋体" w:cs="Times New Roman"/>
              </w:rPr>
              <w:t>政府投资的地质灾害治理工程竣工验收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hint="eastAsia" w:eastAsia="宋体" w:cs="Times New Roman"/>
              </w:rPr>
            </w:pPr>
            <w:r>
              <w:rPr>
                <w:rFonts w:hint="eastAsia" w:eastAsia="宋体" w:cs="Times New Roman"/>
              </w:rPr>
              <w:t>《地质灾害防治条例》（2003年11月24日国务院令第394号）第三十八条政府投资的地质灾害治理工程竣工后，由县级以上人民政府国土资源主管部门组织竣工验收。其他地质灾害治理工程竣工后，由责任单位组织竣工验收；竣工验收时，应当有国土资源主管部门参加。</w:t>
            </w:r>
          </w:p>
          <w:p>
            <w:pPr>
              <w:rPr>
                <w:rFonts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vAlign w:val="center"/>
          </w:tcPr>
          <w:p>
            <w:pPr>
              <w:rPr>
                <w:rFonts w:hint="eastAsia" w:eastAsia="宋体" w:cs="Times New Roman"/>
              </w:rPr>
            </w:pPr>
            <w:r>
              <w:rPr>
                <w:rFonts w:hint="eastAsia" w:eastAsia="宋体" w:cs="Times New Roman"/>
              </w:rPr>
              <w:t>（1）受理责任：公示依法应当提交的材料，一次性告知补正材料，依法受理或不予受理（不予受理应当告知理由）</w:t>
            </w:r>
          </w:p>
          <w:p>
            <w:pPr>
              <w:rPr>
                <w:rFonts w:hint="eastAsia" w:eastAsia="宋体" w:cs="Times New Roman"/>
              </w:rPr>
            </w:pPr>
            <w:r>
              <w:rPr>
                <w:rFonts w:hint="eastAsia" w:eastAsia="宋体" w:cs="Times New Roman"/>
              </w:rPr>
              <w:t>（2）审查责任：对申请材料进行审查、提出审查意见。</w:t>
            </w:r>
          </w:p>
          <w:p>
            <w:pPr>
              <w:rPr>
                <w:rFonts w:hint="eastAsia" w:eastAsia="宋体" w:cs="Times New Roman"/>
              </w:rPr>
            </w:pPr>
            <w:r>
              <w:rPr>
                <w:rFonts w:hint="eastAsia" w:eastAsia="宋体" w:cs="Times New Roman"/>
              </w:rPr>
              <w:t>（3）决定责任：作出行政许可或者不予行政许可决定，法定告知（不予批准的要说明理由）。</w:t>
            </w:r>
          </w:p>
          <w:p>
            <w:pPr>
              <w:rPr>
                <w:rFonts w:hint="eastAsia" w:eastAsia="宋体" w:cs="Times New Roman"/>
              </w:rPr>
            </w:pPr>
            <w:r>
              <w:rPr>
                <w:rFonts w:hint="eastAsia" w:eastAsia="宋体" w:cs="Times New Roman"/>
              </w:rPr>
              <w:t>（4）送达责任：依法制止相关证书、通知等材料并送达；</w:t>
            </w:r>
          </w:p>
          <w:p>
            <w:pPr>
              <w:rPr>
                <w:rFonts w:hint="eastAsia" w:eastAsia="宋体" w:cs="Times New Roman"/>
              </w:rPr>
            </w:pPr>
            <w:r>
              <w:rPr>
                <w:rFonts w:hint="eastAsia" w:eastAsia="宋体" w:cs="Times New Roman"/>
              </w:rPr>
              <w:t>（5）事后监管责任：开展定期和不定期检查，依据检查情况，依法采取相关处置措施。</w:t>
            </w:r>
          </w:p>
          <w:p>
            <w:pPr>
              <w:rPr>
                <w:rFonts w:eastAsia="宋体" w:cs="Times New Roman"/>
              </w:rPr>
            </w:pPr>
            <w:r>
              <w:rPr>
                <w:rFonts w:hint="eastAsia" w:eastAsia="宋体" w:cs="Times New Roman"/>
              </w:rPr>
              <w:t>（6）其他责任：法律法规规章文件规定应履行的其他责任。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vAlign w:val="center"/>
          </w:tcPr>
          <w:p>
            <w:pPr>
              <w:rPr>
                <w:rFonts w:hint="eastAsia"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rPr>
          <w:rFonts w:eastAsia="宋体" w:cs="Times New Roma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eastAsia="宋体" w:cs="宋体"/>
          <w:b/>
          <w:sz w:val="44"/>
          <w:szCs w:val="44"/>
        </w:rPr>
      </w:pPr>
      <w:r>
        <w:rPr>
          <w:rFonts w:hint="eastAsia" w:ascii="宋体" w:hAnsi="宋体" w:eastAsia="宋体" w:cs="宋体"/>
          <w:b/>
          <w:sz w:val="44"/>
          <w:szCs w:val="44"/>
        </w:rPr>
        <w:t>国土资源局责任清单</w:t>
      </w:r>
    </w:p>
    <w:p>
      <w:pPr>
        <w:jc w:val="center"/>
        <w:rPr>
          <w:rFonts w:ascii="宋体" w:eastAsia="宋体" w:cs="仿宋_GB2312"/>
          <w:sz w:val="2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eastAsia="宋体" w:cs="Times New Roman"/>
                <w:sz w:val="22"/>
              </w:rPr>
            </w:pPr>
            <w:r>
              <w:rPr>
                <w:rFonts w:hint="eastAsia" w:eastAsia="宋体" w:cs="Times New Roman"/>
                <w:sz w:val="22"/>
              </w:rPr>
              <w:t>序号</w:t>
            </w:r>
          </w:p>
        </w:tc>
        <w:tc>
          <w:tcPr>
            <w:tcW w:w="7109" w:type="dxa"/>
            <w:vAlign w:val="center"/>
          </w:tcPr>
          <w:p>
            <w:pPr>
              <w:jc w:val="center"/>
              <w:rPr>
                <w:rFonts w:eastAsia="宋体" w:cs="Times New Roman"/>
                <w:sz w:val="22"/>
              </w:rPr>
            </w:pPr>
            <w:r>
              <w:rPr>
                <w:rFonts w:hint="eastAsia" w:eastAsia="宋体" w:cs="Times New Roman"/>
                <w:sz w:val="2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eastAsia="宋体" w:cs="Times New Roman"/>
                <w:sz w:val="22"/>
              </w:rPr>
            </w:pPr>
            <w:r>
              <w:rPr>
                <w:rFonts w:hint="eastAsia" w:eastAsia="宋体" w:cs="Times New Roman"/>
                <w:sz w:val="22"/>
              </w:rPr>
              <w:t>权力类型</w:t>
            </w:r>
          </w:p>
        </w:tc>
        <w:tc>
          <w:tcPr>
            <w:tcW w:w="7109" w:type="dxa"/>
            <w:vAlign w:val="center"/>
          </w:tcPr>
          <w:p>
            <w:pPr>
              <w:jc w:val="center"/>
              <w:rPr>
                <w:rFonts w:eastAsia="宋体" w:cs="Times New Roman"/>
                <w:sz w:val="22"/>
              </w:rPr>
            </w:pPr>
            <w:r>
              <w:rPr>
                <w:rFonts w:hint="eastAsia" w:eastAsia="宋体" w:cs="Times New Roman"/>
                <w:sz w:val="22"/>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eastAsia="宋体" w:cs="Times New Roman"/>
                <w:sz w:val="22"/>
              </w:rPr>
            </w:pPr>
            <w:r>
              <w:rPr>
                <w:rFonts w:hint="eastAsia" w:eastAsia="宋体" w:cs="Times New Roman"/>
                <w:sz w:val="22"/>
              </w:rPr>
              <w:t>权力项目名称</w:t>
            </w:r>
          </w:p>
        </w:tc>
        <w:tc>
          <w:tcPr>
            <w:tcW w:w="7109" w:type="dxa"/>
            <w:vAlign w:val="center"/>
          </w:tcPr>
          <w:p>
            <w:pPr>
              <w:jc w:val="center"/>
              <w:rPr>
                <w:rFonts w:eastAsia="宋体" w:cs="Times New Roman"/>
                <w:sz w:val="22"/>
              </w:rPr>
            </w:pPr>
            <w:r>
              <w:rPr>
                <w:rFonts w:hint="eastAsia" w:eastAsia="宋体" w:cs="Times New Roman"/>
                <w:sz w:val="22"/>
              </w:rPr>
              <w:t>建设用地改变用途审批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eastAsia="宋体" w:cs="Times New Roman"/>
              </w:rPr>
            </w:pPr>
            <w:r>
              <w:rPr>
                <w:rFonts w:hint="eastAsia" w:eastAsia="宋体" w:cs="Times New Roman"/>
              </w:rPr>
              <w:t>《中华人民共和国土地管理法》第56条：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其中，在城市规划区内改变土地用途的，在报批前，应当先经有关城市规划行政主管部门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vAlign w:val="center"/>
          </w:tcPr>
          <w:p>
            <w:pPr>
              <w:rPr>
                <w:rFonts w:eastAsia="宋体" w:cs="Times New Roman"/>
              </w:rPr>
            </w:pPr>
            <w:r>
              <w:rPr>
                <w:rFonts w:hint="eastAsia" w:eastAsia="宋体" w:cs="Times New Roman"/>
              </w:rPr>
              <w:t>1.受理责任:公示改变用途建设项目用地申报资料清单；审查改变用途建设项目用地报件类型和申报渠道是否正确、资料是否齐全规范等，一次性告知补正材料，依法受理或不予受理(不予受理应当告知理由)。</w:t>
            </w:r>
            <w:r>
              <w:rPr>
                <w:rFonts w:hint="eastAsia" w:eastAsia="宋体" w:cs="Times New Roman"/>
              </w:rPr>
              <w:br w:type="textWrapping"/>
            </w:r>
            <w:r>
              <w:rPr>
                <w:rFonts w:hint="eastAsia" w:eastAsia="宋体" w:cs="Times New Roman"/>
              </w:rPr>
              <w:t>2.审查责任:对改变用途建设项目用地申请材料进行审查，要一次性提出审查意见，意见要准确、全面，表述要明确、具体。</w:t>
            </w:r>
            <w:r>
              <w:rPr>
                <w:rFonts w:hint="eastAsia" w:eastAsia="宋体" w:cs="Times New Roman"/>
              </w:rPr>
              <w:br w:type="textWrapping"/>
            </w:r>
            <w:r>
              <w:rPr>
                <w:rFonts w:hint="eastAsia" w:eastAsia="宋体" w:cs="Times New Roman"/>
              </w:rPr>
              <w:t>3.决定责任:符合条件的改变用途建设项目用地，报市政府审批。</w:t>
            </w:r>
            <w:r>
              <w:rPr>
                <w:rFonts w:hint="eastAsia" w:eastAsia="宋体" w:cs="Times New Roman"/>
              </w:rPr>
              <w:br w:type="textWrapping"/>
            </w:r>
            <w:r>
              <w:rPr>
                <w:rFonts w:hint="eastAsia" w:eastAsia="宋体" w:cs="Times New Roman"/>
              </w:rPr>
              <w:t>4.送达责任：经市政府批准后，及时下达有关批准文件，并送达申请人。</w:t>
            </w:r>
            <w:r>
              <w:rPr>
                <w:rFonts w:hint="eastAsia" w:eastAsia="宋体" w:cs="Times New Roman"/>
              </w:rPr>
              <w:br w:type="textWrapping"/>
            </w:r>
            <w:r>
              <w:rPr>
                <w:rFonts w:hint="eastAsia" w:eastAsia="宋体" w:cs="Times New Roman"/>
              </w:rPr>
              <w:t>5.监管责任：对改变用途建设项目用地的土地征收进行监督管理。</w:t>
            </w:r>
            <w:r>
              <w:rPr>
                <w:rFonts w:hint="eastAsia" w:eastAsia="宋体" w:cs="Times New Roman"/>
              </w:rPr>
              <w:br w:type="textWrapping"/>
            </w:r>
            <w:r>
              <w:rPr>
                <w:rFonts w:hint="eastAsia" w:eastAsia="宋体" w:cs="Times New Roman"/>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vAlign w:val="center"/>
          </w:tcPr>
          <w:p>
            <w:pPr>
              <w:rPr>
                <w:rFonts w:hint="eastAsia"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rPr>
          <w:rFonts w:eastAsia="宋体" w:cs="Times New Roma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划拨土地使用权和地上建筑物及附着物所有权转让、出租审批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t>《中华人民共和国土地管理法》（1986年6月25日通过，2004年8月28日第三次修改）第五十六条  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w:t>
            </w:r>
          </w:p>
          <w:p>
            <w:pPr>
              <w:rPr>
                <w:rFonts w:hint="eastAsia"/>
              </w:rPr>
            </w:pPr>
            <w:r>
              <w:t>《中华人民共和国城市房地产管理法》（1994年7月5日通过，2007年8月30日修改）第四十条第一款  以划拨方式取得土地使用权的，转让房地产时，应当按照国务院规定，报有批准权的人民政府审批。有批准权的人民政府准予转让的，应当由受让方办理土地使用权出让手续，并依照国家有关规定缴纳土地使用权出让金。</w:t>
            </w:r>
          </w:p>
          <w:p>
            <w:r>
              <w:t>《城镇国有土地使用权出让和转让暂行条例》（1990年5月19日国务院令第55号）第四十五条第一款  符合下列条件的，经市、县人民政府土地管理部门和房产管理部门批准，其划拨土地使用权和地上建筑物，其他附着物所有权可以转让、出租、抵押：（一）土地使用者为公司、企业、其他经济组织和个人；（二）领有国有土地使用证；（三）具有地上建筑物、其他附着物合法的产权证明；（四）依照本条例第二章的规定签订土地使用权出让合同，向当地市、县人民政府补交土地使用权出让金或者以转让、出租、抵押所获收益抵交土地使用权出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t>1.受理责任：行政机关对申请人提出的行政许可申请，应当根据情况分别作出受理或不予受理的决定；允许申请人当场更正错误；申请材料不齐全或者不符合法定形式的，应当当场或者在五日内一次告知申请人需要补正的全部内容。</w:t>
            </w:r>
            <w:r>
              <w:br w:type="textWrapping"/>
            </w:r>
            <w:r>
              <w:t>2.审查责任：行政机关应当对申请人提交的申请材料进行审查，根据法定条件和程序，需要对申请材料的实质内容进行核实的，行政机关应当指派两名以上工作人员进行核查。</w:t>
            </w:r>
            <w:r>
              <w:br w:type="textWrapping"/>
            </w:r>
            <w:r>
              <w:t>3.批准责任：申请人的申请符合法定条件、标准的，行政机关应当依法作出准予行政许可的书面决定。行政机关依法作出不予行政许可的书面决定的，应当说明理由，并告知申请人享有依法申请行政复议或者提起行政诉讼的权利。</w:t>
            </w:r>
            <w:r>
              <w:br w:type="textWrapping"/>
            </w:r>
            <w:r>
              <w:t>4.监督责任：上级行政机关应当加强对下级行政机关实施行政许可的监督检查，及时纠正行政许可实施中的违法行为。</w:t>
            </w:r>
            <w:r>
              <w:br w:type="textWrapping"/>
            </w:r>
            <w:r>
              <w:t>5.其他法律法规规章文件规定应履行的责任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黑体" w:hAnsi="黑体" w:eastAsia="黑体" w:cs="黑体"/>
          <w:sz w:val="32"/>
          <w:szCs w:val="32"/>
        </w:rPr>
      </w:pPr>
      <w:r>
        <w:rPr>
          <w:rFonts w:hint="eastAsia" w:ascii="黑体" w:hAnsi="黑体" w:eastAsia="黑体" w:cs="黑体"/>
          <w:sz w:val="32"/>
          <w:szCs w:val="32"/>
        </w:rPr>
        <w:t>附  件2</w:t>
      </w:r>
    </w:p>
    <w:p>
      <w:pPr>
        <w:spacing w:line="580" w:lineRule="exact"/>
        <w:rPr>
          <w:rFonts w:hint="eastAsia" w:ascii="方正仿宋简体" w:hAnsi="黑体" w:eastAsia="方正仿宋简体" w:cs="黑体"/>
          <w:b/>
          <w:bCs/>
          <w:sz w:val="32"/>
          <w:szCs w:val="32"/>
        </w:rPr>
      </w:pPr>
    </w:p>
    <w:p>
      <w:pPr>
        <w:spacing w:line="580" w:lineRule="exact"/>
        <w:jc w:val="center"/>
        <w:rPr>
          <w:rFonts w:hint="eastAsia" w:ascii="宋体" w:hAnsi="宋体" w:eastAsia="宋体" w:cs="宋体"/>
          <w:b/>
          <w:sz w:val="44"/>
          <w:szCs w:val="44"/>
        </w:rPr>
      </w:pPr>
      <w:r>
        <w:rPr>
          <w:rFonts w:hint="eastAsia" w:ascii="宋体" w:hAnsi="宋体" w:eastAsia="宋体" w:cs="宋体"/>
          <w:b/>
          <w:sz w:val="44"/>
          <w:szCs w:val="44"/>
        </w:rPr>
        <w:t>国土资源局责任清单</w:t>
      </w:r>
    </w:p>
    <w:p>
      <w:pPr>
        <w:spacing w:line="580" w:lineRule="exact"/>
        <w:jc w:val="center"/>
        <w:rPr>
          <w:rFonts w:ascii="宋体" w:eastAsia="宋体" w:cs="宋体"/>
          <w:b/>
          <w:sz w:val="44"/>
          <w:szCs w:val="44"/>
        </w:rPr>
      </w:pPr>
    </w:p>
    <w:p>
      <w:pPr>
        <w:rPr>
          <w:rFonts w:ascii="宋体" w:eastAsia="宋体" w:cs="仿宋_GB231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序号</w:t>
            </w:r>
          </w:p>
        </w:tc>
        <w:tc>
          <w:tcPr>
            <w:tcW w:w="7109" w:type="dxa"/>
            <w:vAlign w:val="center"/>
          </w:tcPr>
          <w:p>
            <w:pPr>
              <w:jc w:val="center"/>
              <w:rPr>
                <w:rFonts w:eastAsia="宋体" w:cs="Times New Roman"/>
              </w:rPr>
            </w:pPr>
            <w:r>
              <w:rPr>
                <w:rFonts w:hint="eastAsia" w:eastAsia="宋体" w:cs="Times New Roma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权力类型</w:t>
            </w:r>
          </w:p>
        </w:tc>
        <w:tc>
          <w:tcPr>
            <w:tcW w:w="7109" w:type="dxa"/>
            <w:vAlign w:val="center"/>
          </w:tcPr>
          <w:p>
            <w:pPr>
              <w:jc w:val="center"/>
              <w:rPr>
                <w:rFonts w:eastAsia="宋体" w:cs="Times New Roman"/>
              </w:rPr>
            </w:pPr>
            <w:r>
              <w:rPr>
                <w:rFonts w:hint="eastAsia" w:eastAsia="宋体" w:cs="Times New Roma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权力项目名称</w:t>
            </w:r>
          </w:p>
        </w:tc>
        <w:tc>
          <w:tcPr>
            <w:tcW w:w="7109" w:type="dxa"/>
            <w:vAlign w:val="center"/>
          </w:tcPr>
          <w:p>
            <w:pPr>
              <w:jc w:val="center"/>
              <w:rPr>
                <w:rFonts w:eastAsia="宋体" w:cs="Times New Roman"/>
              </w:rPr>
            </w:pPr>
            <w:r>
              <w:rPr>
                <w:rFonts w:hint="eastAsia" w:eastAsia="宋体" w:cs="Times New Roman"/>
              </w:rPr>
              <w:t>农村居民宅基地审批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eastAsia="宋体" w:cs="Times New Roman"/>
              </w:rPr>
            </w:pPr>
            <w:r>
              <w:rPr>
                <w:rFonts w:hint="eastAsia" w:eastAsia="宋体" w:cs="Times New Roman"/>
                <w:lang w:eastAsia="zh-CN"/>
              </w:rPr>
              <w:t>《中华人民共和国土地管理法》</w:t>
            </w:r>
            <w:r>
              <w:rPr>
                <w:rFonts w:eastAsia="宋体" w:cs="Times New Roman"/>
              </w:rPr>
              <w:t>第六十二条 农村村民一户只能拥有一处宅基地，其宅基地的面积不得超过省、自治区、直辖市规定的标准。</w:t>
            </w:r>
          </w:p>
          <w:p>
            <w:pPr>
              <w:rPr>
                <w:rFonts w:eastAsia="宋体" w:cs="Times New Roman"/>
              </w:rPr>
            </w:pPr>
            <w:r>
              <w:rPr>
                <w:rFonts w:eastAsia="宋体" w:cs="Times New Roman"/>
              </w:rPr>
              <w:t>农村村民建住宅，应当符合乡（镇）土地利用总体规划，并尽量使用原有的宅基地和村内空闲地。</w:t>
            </w:r>
          </w:p>
          <w:p>
            <w:pPr>
              <w:rPr>
                <w:rFonts w:hint="eastAsia" w:eastAsia="宋体" w:cs="Times New Roman"/>
              </w:rPr>
            </w:pPr>
            <w:r>
              <w:rPr>
                <w:rFonts w:eastAsia="宋体" w:cs="Times New Roman"/>
              </w:rPr>
              <w:t>农村村民住宅用地，经乡（镇）人民政府审核，由县级人民政府批准；</w:t>
            </w:r>
          </w:p>
          <w:p>
            <w:pPr>
              <w:rPr>
                <w:rFonts w:eastAsia="宋体" w:cs="Times New Roman"/>
              </w:rPr>
            </w:pPr>
            <w:r>
              <w:rPr>
                <w:rFonts w:hint="eastAsia" w:eastAsia="宋体" w:cs="Times New Roman"/>
              </w:rPr>
              <w:t>四川省《中华人民共和国土地管理法》实施办法第五十二条农村村民一户只能拥有一处不超过规定标准面积的宅基地。宅基地面积标准为每人20至30平方米；3人以下的户按3人计算，4人的户按4人计算，5人以上的户按5人计算。其中，民族自治地方农村村民的宅基地面积标准可以适当增加，具体标准由民族自治州或自治县人民政府制定。</w:t>
            </w:r>
            <w:r>
              <w:rPr>
                <w:rFonts w:eastAsia="宋体" w:cs="Times New Roman"/>
              </w:rPr>
              <w:t xml:space="preserve"> </w:t>
            </w:r>
            <w:r>
              <w:rPr>
                <w:rFonts w:hint="eastAsia" w:eastAsia="宋体" w:cs="Times New Roman"/>
              </w:rPr>
              <w:t>第五十三条农村村民建住宅，应当符合乡（镇）土地利用总体规划。凡能利用旧宅基地的，不得新占土地；确需新占土地的，由村民提出申请，经农村集体经济组织同意，乡（镇）人民政府审核，报县级人民政府批准；其中，涉及占用农用地的，依照本实施办法第三十五条的规定办理审批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tcPr>
          <w:p>
            <w:pPr>
              <w:rPr>
                <w:rFonts w:hint="eastAsia" w:eastAsia="宋体" w:cs="Times New Roman"/>
              </w:rPr>
            </w:pPr>
            <w:r>
              <w:rPr>
                <w:rFonts w:hint="eastAsia" w:eastAsia="宋体" w:cs="Times New Roman"/>
              </w:rPr>
              <w:t>（1）受理责任：公示应当提交的材料，一次性告知补正材料，依法受理或不予受理（不予受理应当告知理由）。</w:t>
            </w:r>
          </w:p>
          <w:p>
            <w:pPr>
              <w:rPr>
                <w:rFonts w:hint="eastAsia" w:eastAsia="宋体" w:cs="Times New Roman"/>
              </w:rPr>
            </w:pPr>
            <w:r>
              <w:rPr>
                <w:rFonts w:hint="eastAsia" w:eastAsia="宋体" w:cs="Times New Roman"/>
              </w:rPr>
              <w:t>（2）审查责任：按照土地管理法律法规，对书面申请材料进行审查并进行现场踏勘。申请材料齐全、符合法定形式的予以受理，材料不齐全或者不符合法定形式的，当场返回材料，告知补正。</w:t>
            </w:r>
          </w:p>
          <w:p>
            <w:pPr>
              <w:rPr>
                <w:rFonts w:hint="eastAsia" w:eastAsia="宋体" w:cs="Times New Roman"/>
              </w:rPr>
            </w:pPr>
            <w:r>
              <w:rPr>
                <w:rFonts w:hint="eastAsia" w:eastAsia="宋体" w:cs="Times New Roman"/>
              </w:rPr>
              <w:t>（3）决定责任：作出行政许可或者不予行政许可决定，法定告知（不予许可的应当书面告知理由）。</w:t>
            </w:r>
          </w:p>
          <w:p>
            <w:pPr>
              <w:rPr>
                <w:rFonts w:hint="eastAsia" w:eastAsia="宋体" w:cs="Times New Roman"/>
              </w:rPr>
            </w:pPr>
            <w:r>
              <w:rPr>
                <w:rFonts w:hint="eastAsia" w:eastAsia="宋体" w:cs="Times New Roman"/>
              </w:rPr>
              <w:t>（4）事后监管责任：进行日常监管，农村居民出卖出租住房后再申请宅基地不予批准。</w:t>
            </w:r>
          </w:p>
          <w:p>
            <w:pPr>
              <w:rPr>
                <w:rFonts w:eastAsia="宋体" w:cs="Times New Roman"/>
              </w:rPr>
            </w:pPr>
            <w:r>
              <w:rPr>
                <w:rFonts w:hint="eastAsia" w:eastAsia="宋体" w:cs="Times New Roman"/>
              </w:rPr>
              <w:t>（5）其他责任：其他法律法规规章文件规定应履行的责任。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tcPr>
          <w:p>
            <w:pPr>
              <w:rPr>
                <w:rFonts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4-1.</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p>
            <w:pPr>
              <w:rPr>
                <w:rFonts w:hint="eastAsia" w:eastAsia="宋体" w:cs="Times New Roman"/>
              </w:rPr>
            </w:pPr>
            <w:r>
              <w:rPr>
                <w:rFonts w:hint="eastAsia" w:eastAsia="宋体" w:cs="Times New Roman"/>
              </w:rPr>
              <w:t>4-2.</w:t>
            </w:r>
            <w:r>
              <w:rPr>
                <w:rFonts w:hint="eastAsia" w:eastAsia="宋体" w:cs="Times New Roman"/>
                <w:lang w:eastAsia="zh-CN"/>
              </w:rPr>
              <w:t>《中华人民共和国行政许可法》</w:t>
            </w:r>
            <w:r>
              <w:rPr>
                <w:rFonts w:hint="eastAsia" w:eastAsia="宋体" w:cs="Times New Roman"/>
              </w:rPr>
              <w:t>第六十六条“被许可人未依法履行开发利用自然资源义务或者未依法履行利用公共资源义务的，行政机关应当责令限期改正；被许可人在规定期限内不改正的，行政机关应当依照有关法律、行政法规的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乡（镇）村企业使用集体建设用地审批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《中华人民共和国土地管理法》（1986年中华人民共和国主席令第41号公布，2004年中华人民共和国主席令第28号第二次修正）第六十条第一款 农村集体经济组织使用乡（镇）土地利用总体规划确定的建设用地兴办企业或者与其他单位、个人以土地使用权入股、联营等形式共同举办企业的，应当持有关批准文件，向县级以上地方人民政府土地行政主管部门提出申请，按照省、自治区、直辖市规定的批准权限，由县级以上地方人民政府批准；其中，涉及占用农用地的，依照本法第四十四条的规定办理审批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2.审查责任：按照政策规定对书面材料进行审查，提出是否同意审批的初步意见，告知申请人、利害相关人享有听证权利；涉及公共利益的重大许可，向社会公告，并举行听证。</w:t>
            </w:r>
          </w:p>
          <w:p>
            <w:r>
              <w:rPr>
                <w:rFonts w:hint="eastAsia"/>
              </w:rPr>
              <w:t>3.决定责任：作出行政许可或者不予行政许可决定,法定告知（不予许可的应当书面告知理由）。</w:t>
            </w:r>
          </w:p>
          <w:p>
            <w:r>
              <w:rPr>
                <w:rFonts w:hint="eastAsia"/>
              </w:rPr>
              <w:t>4.送达责任：准予许可的制发送达审批决定，并信息公开。</w:t>
            </w:r>
          </w:p>
          <w:p>
            <w:r>
              <w:rPr>
                <w:rFonts w:hint="eastAsia"/>
              </w:rPr>
              <w:t>5.事后监管环节责任：对审批后的相关事宜实施监督管理。</w:t>
            </w:r>
          </w:p>
          <w:p>
            <w:r>
              <w:rPr>
                <w:rFonts w:hint="eastAsia"/>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序号</w:t>
            </w:r>
          </w:p>
        </w:tc>
        <w:tc>
          <w:tcPr>
            <w:tcW w:w="7109" w:type="dxa"/>
            <w:vAlign w:val="center"/>
          </w:tcPr>
          <w:p>
            <w:pPr>
              <w:jc w:val="center"/>
              <w:rPr>
                <w:rFonts w:ascii="宋体" w:hAnsi="宋体" w:cs="仿宋_GB2312"/>
                <w:szCs w:val="21"/>
              </w:rPr>
            </w:pPr>
            <w:r>
              <w:rPr>
                <w:rFonts w:hint="eastAsia" w:ascii="宋体" w:hAnsi="宋体" w:cs="仿宋_GB2312"/>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权力类型</w:t>
            </w:r>
          </w:p>
        </w:tc>
        <w:tc>
          <w:tcPr>
            <w:tcW w:w="7109" w:type="dxa"/>
            <w:vAlign w:val="center"/>
          </w:tcPr>
          <w:p>
            <w:pPr>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权力项目名称</w:t>
            </w:r>
          </w:p>
        </w:tc>
        <w:tc>
          <w:tcPr>
            <w:tcW w:w="7109" w:type="dxa"/>
            <w:vAlign w:val="center"/>
          </w:tcPr>
          <w:p>
            <w:pPr>
              <w:jc w:val="center"/>
              <w:rPr>
                <w:szCs w:val="21"/>
              </w:rPr>
            </w:pPr>
            <w:r>
              <w:rPr>
                <w:rFonts w:hint="eastAsia"/>
                <w:szCs w:val="21"/>
              </w:rPr>
              <w:t>乡（镇）村公共设施，公益事业使用企业使用集体建设用地审批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实施依据</w:t>
            </w:r>
          </w:p>
        </w:tc>
        <w:tc>
          <w:tcPr>
            <w:tcW w:w="7109" w:type="dxa"/>
            <w:vAlign w:val="center"/>
          </w:tcPr>
          <w:p>
            <w:r>
              <w:rPr>
                <w:rFonts w:hint="eastAsia"/>
              </w:rPr>
              <w:t>1.《中华人民共和国土地管理法》（1986年6月25日第六届全国人民代表大会常务委员会第十六次会议通过，1987年1月1日起施行，2004年8月28日第二次修正，2004年8月28日中华人民共和国主席令第29号公布）第六十一条 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责任事项</w:t>
            </w:r>
          </w:p>
        </w:tc>
        <w:tc>
          <w:tcPr>
            <w:tcW w:w="7109" w:type="dxa"/>
            <w:vAlign w:val="center"/>
          </w:tcPr>
          <w:tbl>
            <w:tblPr>
              <w:tblStyle w:val="4"/>
              <w:tblW w:w="0" w:type="auto"/>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5"/>
              <w:gridCol w:w="6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7260" w:type="dxa"/>
                  <w:gridSpan w:val="2"/>
                  <w:tcBorders>
                    <w:top w:val="outset" w:color="000000" w:sz="6" w:space="0"/>
                    <w:left w:val="outset" w:color="000000" w:sz="6" w:space="0"/>
                    <w:bottom w:val="outset" w:color="000000" w:sz="6" w:space="0"/>
                    <w:right w:val="outset" w:color="000000" w:sz="6" w:space="0"/>
                  </w:tcBorders>
                </w:tcPr>
                <w:p>
                  <w:pPr>
                    <w:rPr>
                      <w:rFonts w:hint="eastAsia"/>
                    </w:rPr>
                  </w:pPr>
                  <w:r>
                    <w:rPr>
                      <w:rFonts w:hint="eastAsia"/>
                    </w:rPr>
                    <w:t>1. 受理责任：公示应当提交的材料，当场一次性告知补正材料，依法受理或不予受理（不予受理应当告知理由）。</w:t>
                  </w:r>
                </w:p>
                <w:p>
                  <w:r>
                    <w:rPr>
                      <w:rFonts w:hint="eastAsia"/>
                    </w:rPr>
                    <w:t>2. 审查责任：审查申请材料。</w:t>
                  </w:r>
                </w:p>
                <w:p>
                  <w:r>
                    <w:rPr>
                      <w:rFonts w:hint="eastAsia"/>
                    </w:rPr>
                    <w:t>3. 决定责任：作出行政许可或者不予行政许可决定，法定告知（不予许可的应当书面告知理由）。</w:t>
                  </w:r>
                </w:p>
                <w:p>
                  <w:r>
                    <w:rPr>
                      <w:rFonts w:hint="eastAsia"/>
                    </w:rPr>
                    <w:t>4. 送达责任：准予许可的，制发林业采伐许可证书，送达并信息公开；不予许可的，送达不予许可决定书。</w:t>
                  </w:r>
                </w:p>
                <w:p>
                  <w:r>
                    <w:rPr>
                      <w:rFonts w:hint="eastAsia"/>
                    </w:rPr>
                    <w:t>5. 监管责任：建立实施监督检查的运行机制和管理制度，开展定期和不定期检查，依法采取相关处置措施。</w:t>
                  </w:r>
                </w:p>
                <w:p>
                  <w:r>
                    <w:rPr>
                      <w:rFonts w:hint="eastAsia"/>
                    </w:rPr>
                    <w:t>6. 其他法律法规规章文件规定应履行的责任。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615" w:type="dxa"/>
                  <w:tcBorders>
                    <w:top w:val="outset" w:color="000000" w:sz="6" w:space="0"/>
                    <w:left w:val="outset" w:color="000000" w:sz="6" w:space="0"/>
                    <w:bottom w:val="outset" w:color="000000" w:sz="6" w:space="0"/>
                    <w:right w:val="outset" w:color="000000" w:sz="6" w:space="0"/>
                  </w:tcBorders>
                  <w:vAlign w:val="center"/>
                </w:tcPr>
                <w:p/>
              </w:tc>
              <w:tc>
                <w:tcPr>
                  <w:tcW w:w="6645" w:type="dxa"/>
                  <w:tcBorders>
                    <w:top w:val="single" w:color="auto" w:sz="0" w:space="0"/>
                    <w:left w:val="single" w:color="auto" w:sz="0" w:space="0"/>
                    <w:bottom w:val="triple" w:color="auto" w:sz="0" w:space="0"/>
                  </w:tcBorders>
                  <w:vAlign w:val="center"/>
                </w:tc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ascii="宋体" w:hAnsi="宋体" w:cs="仿宋_GB2312"/>
                <w:szCs w:val="21"/>
              </w:rPr>
            </w:pPr>
            <w:r>
              <w:rPr>
                <w:rFonts w:hint="eastAsia" w:ascii="宋体" w:hAnsi="宋体" w:cs="仿宋_GB2312"/>
                <w:szCs w:val="21"/>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hint="eastAsia" w:ascii="宋体" w:cs="仿宋_GB2312"/>
                <w:szCs w:val="21"/>
              </w:rPr>
            </w:pPr>
            <w:r>
              <w:rPr>
                <w:rFonts w:hint="eastAsia" w:ascii="宋体" w:hAnsi="宋体" w:cs="仿宋_GB2312"/>
                <w:szCs w:val="21"/>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监督电话</w:t>
            </w:r>
          </w:p>
        </w:tc>
        <w:tc>
          <w:tcPr>
            <w:tcW w:w="7109" w:type="dxa"/>
            <w:vAlign w:val="center"/>
          </w:tcPr>
          <w:p>
            <w:pPr>
              <w:jc w:val="center"/>
              <w:rPr>
                <w:rFonts w:hint="eastAsia" w:ascii="宋体" w:cs="仿宋_GB2312"/>
                <w:szCs w:val="21"/>
              </w:rPr>
            </w:pPr>
            <w:r>
              <w:rPr>
                <w:rFonts w:hint="eastAsia" w:ascii="宋体" w:cs="仿宋_GB2312"/>
                <w:szCs w:val="21"/>
              </w:rPr>
              <w:t>2486569</w:t>
            </w:r>
          </w:p>
        </w:tc>
      </w:tr>
    </w:tbl>
    <w:p>
      <w:pPr>
        <w:spacing w:line="500" w:lineRule="exact"/>
        <w:rPr>
          <w:rFonts w:ascii="宋体" w:cs="仿宋_GB2312"/>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序号</w:t>
            </w:r>
          </w:p>
        </w:tc>
        <w:tc>
          <w:tcPr>
            <w:tcW w:w="7109" w:type="dxa"/>
            <w:vAlign w:val="center"/>
          </w:tcPr>
          <w:p>
            <w:pPr>
              <w:jc w:val="center"/>
              <w:rPr>
                <w:rFonts w:ascii="宋体" w:hAnsi="宋体" w:cs="仿宋_GB2312"/>
                <w:szCs w:val="21"/>
              </w:rPr>
            </w:pPr>
            <w:r>
              <w:rPr>
                <w:rFonts w:hint="eastAsia" w:ascii="宋体" w:hAnsi="宋体" w:cs="仿宋_GB2312"/>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权力类型</w:t>
            </w:r>
          </w:p>
        </w:tc>
        <w:tc>
          <w:tcPr>
            <w:tcW w:w="7109" w:type="dxa"/>
            <w:vAlign w:val="center"/>
          </w:tcPr>
          <w:p>
            <w:pPr>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权力项目名称</w:t>
            </w:r>
          </w:p>
        </w:tc>
        <w:tc>
          <w:tcPr>
            <w:tcW w:w="7109" w:type="dxa"/>
            <w:vAlign w:val="center"/>
          </w:tcPr>
          <w:p>
            <w:pPr>
              <w:jc w:val="center"/>
              <w:rPr>
                <w:rFonts w:ascii="宋体" w:hAnsi="宋体" w:cs="仿宋_GB2312"/>
                <w:szCs w:val="21"/>
              </w:rPr>
            </w:pPr>
            <w:r>
              <w:rPr>
                <w:rFonts w:hint="eastAsia" w:ascii="宋体" w:hAnsi="宋体" w:cs="仿宋_GB2312"/>
                <w:szCs w:val="21"/>
              </w:rPr>
              <w:t>临时用地审批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实施依据</w:t>
            </w:r>
          </w:p>
        </w:tc>
        <w:tc>
          <w:tcPr>
            <w:tcW w:w="7109" w:type="dxa"/>
            <w:vAlign w:val="center"/>
          </w:tcPr>
          <w:p>
            <w:pPr>
              <w:widowControl/>
              <w:shd w:val="clear" w:color="auto" w:fill="FFFFFF"/>
              <w:spacing w:line="360" w:lineRule="atLeast"/>
              <w:jc w:val="left"/>
              <w:rPr>
                <w:rFonts w:ascii="宋体" w:hAnsi="宋体" w:cs="Arial"/>
                <w:color w:val="333333"/>
                <w:kern w:val="0"/>
                <w:szCs w:val="21"/>
              </w:rPr>
            </w:pPr>
            <w:r>
              <w:rPr>
                <w:rFonts w:hint="eastAsia" w:ascii="宋体" w:hAnsi="宋体" w:cs="Arial"/>
                <w:color w:val="333333"/>
                <w:kern w:val="0"/>
                <w:szCs w:val="21"/>
                <w:lang w:eastAsia="zh-CN"/>
              </w:rPr>
              <w:t>《中华人民共和国土地管理法》</w:t>
            </w:r>
            <w:r>
              <w:rPr>
                <w:rFonts w:ascii="宋体" w:hAnsi="宋体" w:cs="Arial"/>
                <w:color w:val="333333"/>
                <w:kern w:val="0"/>
                <w:szCs w:val="21"/>
              </w:rPr>
              <w:t>第五十七条 建设项目施工和地质勘查需要临时使用国有土地或者农民集体所有的土地的，由县级以上人民政府土地行政主管部门批准。其中，在城市规划区内的临时用地，在报批前，应当先经有关城市规划行政主管部门同意。土地使用者应当根据土地权属，与有关土地行政主管部门或者农村集体经济组织、村民委员会签订</w:t>
            </w:r>
            <w:r>
              <w:fldChar w:fldCharType="begin"/>
            </w:r>
            <w:r>
              <w:instrText xml:space="preserve"> HYPERLINK "http://baike.baidu.com/view/788623.htm" \t "_blank" </w:instrText>
            </w:r>
            <w:r>
              <w:fldChar w:fldCharType="separate"/>
            </w:r>
            <w:r>
              <w:rPr>
                <w:rFonts w:ascii="宋体" w:hAnsi="宋体" w:cs="Arial"/>
                <w:color w:val="333333"/>
                <w:kern w:val="0"/>
                <w:szCs w:val="21"/>
              </w:rPr>
              <w:t>临时使用土地合同</w:t>
            </w:r>
            <w:r>
              <w:rPr>
                <w:rFonts w:ascii="宋体" w:hAnsi="宋体" w:cs="Arial"/>
                <w:color w:val="333333"/>
                <w:kern w:val="0"/>
                <w:szCs w:val="21"/>
              </w:rPr>
              <w:fldChar w:fldCharType="end"/>
            </w:r>
            <w:r>
              <w:rPr>
                <w:rFonts w:ascii="宋体" w:hAnsi="宋体" w:cs="Arial"/>
                <w:color w:val="333333"/>
                <w:kern w:val="0"/>
                <w:szCs w:val="21"/>
              </w:rPr>
              <w:t>，并按照合同的约定支付</w:t>
            </w:r>
            <w:r>
              <w:fldChar w:fldCharType="begin"/>
            </w:r>
            <w:r>
              <w:instrText xml:space="preserve"> HYPERLINK "http://baike.baidu.com/view/788633.htm" \t "_blank" </w:instrText>
            </w:r>
            <w:r>
              <w:fldChar w:fldCharType="separate"/>
            </w:r>
            <w:r>
              <w:rPr>
                <w:rFonts w:ascii="宋体" w:hAnsi="宋体" w:cs="Arial"/>
                <w:color w:val="333333"/>
                <w:kern w:val="0"/>
                <w:szCs w:val="21"/>
              </w:rPr>
              <w:t>临时使用土地补偿费</w:t>
            </w:r>
            <w:r>
              <w:rPr>
                <w:rFonts w:ascii="宋体" w:hAnsi="宋体" w:cs="Arial"/>
                <w:color w:val="333333"/>
                <w:kern w:val="0"/>
                <w:szCs w:val="21"/>
              </w:rPr>
              <w:fldChar w:fldCharType="end"/>
            </w:r>
            <w:r>
              <w:rPr>
                <w:rFonts w:ascii="宋体" w:hAnsi="宋体" w:cs="Arial"/>
                <w:color w:val="333333"/>
                <w:kern w:val="0"/>
                <w:szCs w:val="21"/>
              </w:rPr>
              <w:t>。</w:t>
            </w:r>
          </w:p>
          <w:p>
            <w:pPr>
              <w:widowControl/>
              <w:shd w:val="clear" w:color="auto" w:fill="FFFFFF"/>
              <w:spacing w:line="360" w:lineRule="atLeast"/>
              <w:jc w:val="left"/>
              <w:rPr>
                <w:rFonts w:ascii="宋体" w:hAnsi="宋体" w:cs="Arial"/>
                <w:color w:val="333333"/>
                <w:kern w:val="0"/>
                <w:szCs w:val="21"/>
              </w:rPr>
            </w:pPr>
            <w:r>
              <w:rPr>
                <w:rFonts w:ascii="宋体" w:hAnsi="宋体" w:cs="Arial"/>
                <w:color w:val="333333"/>
                <w:kern w:val="0"/>
                <w:szCs w:val="21"/>
              </w:rPr>
              <w:t>临时使用土地的使用者应当按照临时使用土地合同约定的用途使用土地，并不得修建永久性建筑物。</w:t>
            </w:r>
          </w:p>
          <w:p>
            <w:pPr>
              <w:widowControl/>
              <w:shd w:val="clear" w:color="auto" w:fill="FFFFFF"/>
              <w:spacing w:line="360" w:lineRule="atLeast"/>
              <w:jc w:val="left"/>
              <w:rPr>
                <w:rFonts w:ascii="宋体" w:hAnsi="宋体" w:cs="Arial"/>
                <w:color w:val="333333"/>
                <w:kern w:val="0"/>
                <w:szCs w:val="21"/>
              </w:rPr>
            </w:pPr>
            <w:r>
              <w:rPr>
                <w:rFonts w:ascii="宋体" w:hAnsi="宋体" w:cs="Arial"/>
                <w:color w:val="333333"/>
                <w:kern w:val="0"/>
                <w:szCs w:val="21"/>
              </w:rPr>
              <w:t>临时使用土地期限一般不超过二年。</w:t>
            </w:r>
          </w:p>
          <w:p>
            <w:pPr>
              <w:widowControl/>
              <w:shd w:val="clear" w:color="auto" w:fill="FFFFFF"/>
              <w:spacing w:line="360" w:lineRule="atLeast"/>
              <w:jc w:val="left"/>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责任主体</w:t>
            </w:r>
          </w:p>
        </w:tc>
        <w:tc>
          <w:tcPr>
            <w:tcW w:w="7109" w:type="dxa"/>
            <w:vAlign w:val="center"/>
          </w:tcPr>
          <w:p>
            <w:pPr>
              <w:jc w:val="center"/>
              <w:rPr>
                <w:rFonts w:ascii="宋体" w:hAnsi="宋体" w:cs="仿宋_GB2312"/>
                <w:szCs w:val="21"/>
              </w:rPr>
            </w:pPr>
            <w:r>
              <w:rPr>
                <w:rFonts w:hint="eastAsia" w:ascii="宋体" w:cs="仿宋_GB2312"/>
                <w:szCs w:val="21"/>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ascii="宋体" w:hAnsi="宋体"/>
              </w:rPr>
            </w:pPr>
            <w:r>
              <w:rPr>
                <w:rFonts w:hint="eastAsia" w:ascii="宋体" w:hAnsi="宋体"/>
              </w:rPr>
              <w:t>责任事项</w:t>
            </w:r>
          </w:p>
        </w:tc>
        <w:tc>
          <w:tcPr>
            <w:tcW w:w="7109" w:type="dxa"/>
          </w:tcPr>
          <w:p>
            <w:pPr>
              <w:rPr>
                <w:rFonts w:hint="eastAsia" w:ascii="宋体" w:hAnsi="宋体"/>
                <w:kern w:val="0"/>
              </w:rPr>
            </w:pPr>
            <w:r>
              <w:rPr>
                <w:rFonts w:hint="eastAsia" w:ascii="宋体" w:hAnsi="宋体"/>
                <w:kern w:val="0"/>
              </w:rPr>
              <w:t>（1）受理责任：公示应当提交的材料，一次性告知补正材料，依法受理或不予受理（不予受理应当告知理由）。</w:t>
            </w:r>
          </w:p>
          <w:p>
            <w:pPr>
              <w:rPr>
                <w:rFonts w:hint="eastAsia" w:ascii="宋体" w:hAnsi="宋体"/>
                <w:kern w:val="0"/>
              </w:rPr>
            </w:pPr>
            <w:r>
              <w:rPr>
                <w:rFonts w:hint="eastAsia" w:ascii="宋体" w:hAnsi="宋体"/>
                <w:kern w:val="0"/>
              </w:rPr>
              <w:t>（2）审查责任：按照土地管理法律法规，对书面申请材料进行审查并进行实地踏勘。申请材料齐全、符合法定形式的予以受理，材料不齐全或者不符合法定形式的，当场返回材料，告知补正。</w:t>
            </w:r>
          </w:p>
          <w:p>
            <w:pPr>
              <w:rPr>
                <w:rFonts w:hint="eastAsia" w:ascii="宋体" w:hAnsi="宋体"/>
                <w:kern w:val="0"/>
              </w:rPr>
            </w:pPr>
            <w:r>
              <w:rPr>
                <w:rFonts w:hint="eastAsia" w:ascii="宋体" w:hAnsi="宋体"/>
                <w:kern w:val="0"/>
              </w:rPr>
              <w:t>（3）决定责任：作出行政许可或者不予行政许可决定，法定告知（不予许可的应当书面告知理由）。</w:t>
            </w:r>
          </w:p>
          <w:p>
            <w:pPr>
              <w:rPr>
                <w:rFonts w:hint="eastAsia" w:ascii="宋体" w:hAnsi="宋体" w:cs="宋体"/>
                <w:kern w:val="0"/>
              </w:rPr>
            </w:pPr>
            <w:r>
              <w:rPr>
                <w:rFonts w:hint="eastAsia" w:ascii="宋体" w:hAnsi="宋体" w:cs="宋体"/>
                <w:kern w:val="0"/>
              </w:rPr>
              <w:t>（4）事后监管责任：县国土局进行日常监管，到期复耕由县局验收。</w:t>
            </w:r>
          </w:p>
          <w:p>
            <w:pPr>
              <w:rPr>
                <w:rFonts w:ascii="宋体" w:hAnsi="宋体"/>
              </w:rPr>
            </w:pPr>
            <w:r>
              <w:rPr>
                <w:rFonts w:hint="eastAsia" w:ascii="宋体" w:hAnsi="宋体" w:cs="宋体"/>
                <w:kern w:val="0"/>
              </w:rPr>
              <w:t>（5）其他责任：其他法律法规规章文件规定应履行的责任。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ascii="宋体" w:hAnsi="宋体"/>
              </w:rPr>
            </w:pPr>
            <w:r>
              <w:rPr>
                <w:rFonts w:hint="eastAsia" w:ascii="宋体" w:hAnsi="宋体"/>
              </w:rPr>
              <w:t>责任事项依据</w:t>
            </w:r>
          </w:p>
        </w:tc>
        <w:tc>
          <w:tcPr>
            <w:tcW w:w="7109" w:type="dxa"/>
            <w:vAlign w:val="center"/>
          </w:tcPr>
          <w:p>
            <w:pPr>
              <w:spacing w:line="240" w:lineRule="exact"/>
              <w:jc w:val="left"/>
              <w:rPr>
                <w:rFonts w:hint="eastAsia" w:ascii="宋体" w:hAnsi="宋体" w:cs="仿宋_GB2312"/>
                <w:szCs w:val="21"/>
              </w:rPr>
            </w:pPr>
            <w:r>
              <w:rPr>
                <w:rFonts w:hint="eastAsia" w:ascii="宋体" w:hAnsi="宋体" w:cs="仿宋_GB2312"/>
                <w:szCs w:val="21"/>
              </w:rPr>
              <w:t>1-1.</w:t>
            </w:r>
            <w:r>
              <w:rPr>
                <w:rFonts w:hint="eastAsia" w:ascii="宋体" w:hAnsi="宋体" w:cs="仿宋_GB2312"/>
                <w:szCs w:val="21"/>
                <w:lang w:eastAsia="zh-CN"/>
              </w:rPr>
              <w:t>《中华人民共和国行政许可法》</w:t>
            </w:r>
            <w:r>
              <w:rPr>
                <w:rFonts w:hint="eastAsia" w:ascii="宋体" w:hAnsi="宋体" w:cs="仿宋_GB2312"/>
                <w:szCs w:val="21"/>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240" w:lineRule="exact"/>
              <w:jc w:val="left"/>
              <w:rPr>
                <w:rFonts w:hint="eastAsia" w:ascii="宋体" w:hAnsi="宋体" w:cs="仿宋_GB2312"/>
                <w:szCs w:val="21"/>
              </w:rPr>
            </w:pPr>
            <w:r>
              <w:rPr>
                <w:rFonts w:hint="eastAsia" w:ascii="宋体" w:hAnsi="宋体" w:cs="仿宋_GB2312"/>
                <w:szCs w:val="21"/>
              </w:rPr>
              <w:t>1-2.</w:t>
            </w:r>
            <w:r>
              <w:rPr>
                <w:rFonts w:hint="eastAsia" w:ascii="宋体" w:hAnsi="宋体" w:cs="仿宋_GB2312"/>
                <w:szCs w:val="21"/>
                <w:lang w:eastAsia="zh-CN"/>
              </w:rPr>
              <w:t>《中华人民共和国行政许可法》</w:t>
            </w:r>
            <w:r>
              <w:rPr>
                <w:rFonts w:hint="eastAsia" w:ascii="宋体" w:hAnsi="宋体" w:cs="仿宋_GB2312"/>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spacing w:line="240" w:lineRule="exact"/>
              <w:jc w:val="left"/>
              <w:rPr>
                <w:rFonts w:hint="eastAsia" w:ascii="宋体" w:hAnsi="宋体" w:cs="仿宋_GB2312"/>
                <w:szCs w:val="21"/>
              </w:rPr>
            </w:pPr>
            <w:r>
              <w:rPr>
                <w:rFonts w:hint="eastAsia" w:ascii="宋体" w:hAnsi="宋体" w:cs="仿宋_GB2312"/>
                <w:szCs w:val="21"/>
              </w:rPr>
              <w:t>2-1.</w:t>
            </w:r>
            <w:r>
              <w:rPr>
                <w:rFonts w:hint="eastAsia" w:ascii="宋体" w:hAnsi="宋体" w:cs="仿宋_GB2312"/>
                <w:szCs w:val="21"/>
                <w:lang w:eastAsia="zh-CN"/>
              </w:rPr>
              <w:t>《中华人民共和国行政许可法》</w:t>
            </w:r>
            <w:r>
              <w:rPr>
                <w:rFonts w:hint="eastAsia" w:ascii="宋体" w:hAnsi="宋体" w:cs="仿宋_GB2312"/>
                <w:szCs w:val="21"/>
              </w:rPr>
              <w:t>第三十四条：“行政机关应当对申请人提交的申请材料进行审查。申请人提交的申请材料齐全、符合法定形式，行政机关能够当场作出决定的，应当当场作出书面的行政许可决定。</w:t>
            </w:r>
          </w:p>
          <w:p>
            <w:pPr>
              <w:spacing w:line="240" w:lineRule="exact"/>
              <w:jc w:val="left"/>
              <w:rPr>
                <w:rFonts w:hint="eastAsia" w:ascii="宋体" w:hAnsi="宋体" w:cs="仿宋_GB2312"/>
                <w:szCs w:val="21"/>
              </w:rPr>
            </w:pPr>
            <w:r>
              <w:rPr>
                <w:rFonts w:hint="eastAsia" w:ascii="宋体" w:hAnsi="宋体" w:cs="仿宋_GB2312"/>
                <w:szCs w:val="21"/>
              </w:rPr>
              <w:t>根据法定条件和程序，需要对申请材料的实质内容进行核实的，行政机关应当指派两名以上工作人员进行核查。”</w:t>
            </w:r>
          </w:p>
          <w:p>
            <w:pPr>
              <w:spacing w:line="240" w:lineRule="exact"/>
              <w:jc w:val="left"/>
              <w:rPr>
                <w:rFonts w:hint="eastAsia" w:ascii="宋体" w:hAnsi="宋体" w:cs="仿宋_GB2312"/>
                <w:szCs w:val="21"/>
              </w:rPr>
            </w:pPr>
            <w:r>
              <w:rPr>
                <w:rFonts w:hint="eastAsia" w:ascii="宋体" w:hAnsi="宋体" w:cs="仿宋_GB2312"/>
                <w:szCs w:val="21"/>
              </w:rPr>
              <w:t>2-2.</w:t>
            </w:r>
            <w:r>
              <w:rPr>
                <w:rFonts w:hint="eastAsia" w:ascii="宋体" w:hAnsi="宋体" w:cs="仿宋_GB2312"/>
                <w:szCs w:val="21"/>
                <w:lang w:eastAsia="zh-CN"/>
              </w:rPr>
              <w:t>《中华人民共和国行政许可法》</w:t>
            </w:r>
            <w:r>
              <w:rPr>
                <w:rFonts w:hint="eastAsia" w:ascii="宋体" w:hAnsi="宋体" w:cs="仿宋_GB2312"/>
                <w:szCs w:val="21"/>
              </w:rPr>
              <w:t>第四十六条：“法律、法规、规章规定实施行政许可应当听证的事项，或者行政机关认为需要听证的其他涉及公共利益的重大行政许可事项，行政机关应当向社会公告，并举行听证。”</w:t>
            </w:r>
          </w:p>
          <w:p>
            <w:pPr>
              <w:spacing w:line="240" w:lineRule="exact"/>
              <w:jc w:val="left"/>
              <w:rPr>
                <w:rFonts w:hint="eastAsia" w:ascii="宋体" w:hAnsi="宋体" w:cs="仿宋_GB2312"/>
                <w:szCs w:val="21"/>
              </w:rPr>
            </w:pPr>
            <w:r>
              <w:rPr>
                <w:rFonts w:hint="eastAsia" w:ascii="宋体" w:hAnsi="宋体" w:cs="仿宋_GB2312"/>
                <w:szCs w:val="21"/>
              </w:rPr>
              <w:t>2-3.</w:t>
            </w:r>
            <w:r>
              <w:rPr>
                <w:rFonts w:hint="eastAsia" w:ascii="宋体" w:hAnsi="宋体" w:cs="仿宋_GB2312"/>
                <w:szCs w:val="21"/>
                <w:lang w:eastAsia="zh-CN"/>
              </w:rPr>
              <w:t>《中华人民共和国行政许可法》</w:t>
            </w:r>
            <w:r>
              <w:rPr>
                <w:rFonts w:hint="eastAsia" w:ascii="宋体" w:hAnsi="宋体" w:cs="仿宋_GB2312"/>
                <w:szCs w:val="21"/>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spacing w:line="240" w:lineRule="exact"/>
              <w:jc w:val="left"/>
              <w:rPr>
                <w:rFonts w:hint="eastAsia" w:ascii="宋体" w:hAnsi="宋体" w:cs="仿宋_GB2312"/>
                <w:szCs w:val="21"/>
              </w:rPr>
            </w:pPr>
            <w:r>
              <w:rPr>
                <w:rFonts w:hint="eastAsia" w:ascii="宋体" w:hAnsi="宋体" w:cs="仿宋_GB2312"/>
                <w:szCs w:val="21"/>
              </w:rPr>
              <w:t>3-1.</w:t>
            </w:r>
            <w:r>
              <w:rPr>
                <w:rFonts w:hint="eastAsia" w:ascii="宋体" w:hAnsi="宋体" w:cs="仿宋_GB2312"/>
                <w:szCs w:val="21"/>
                <w:lang w:eastAsia="zh-CN"/>
              </w:rPr>
              <w:t>《中华人民共和国行政许可法》</w:t>
            </w:r>
            <w:r>
              <w:rPr>
                <w:rFonts w:hint="eastAsia" w:ascii="宋体" w:hAnsi="宋体" w:cs="仿宋_GB2312"/>
                <w:szCs w:val="21"/>
              </w:rPr>
              <w:t>第三十七条：“行政机关对行政许可申请进行审查后，除当场作出行政许可决定的外，应当在法定期限内按照规定程序作出行政许可决定。”</w:t>
            </w:r>
          </w:p>
          <w:p>
            <w:pPr>
              <w:spacing w:line="240" w:lineRule="exact"/>
              <w:jc w:val="left"/>
              <w:rPr>
                <w:rFonts w:hint="eastAsia" w:ascii="宋体" w:hAnsi="宋体" w:cs="仿宋_GB2312"/>
                <w:szCs w:val="21"/>
              </w:rPr>
            </w:pPr>
            <w:r>
              <w:rPr>
                <w:rFonts w:hint="eastAsia" w:ascii="宋体" w:hAnsi="宋体" w:cs="仿宋_GB2312"/>
                <w:szCs w:val="21"/>
              </w:rPr>
              <w:t>3-2.</w:t>
            </w:r>
            <w:r>
              <w:rPr>
                <w:rFonts w:hint="eastAsia" w:ascii="宋体" w:hAnsi="宋体" w:cs="仿宋_GB2312"/>
                <w:szCs w:val="21"/>
                <w:lang w:eastAsia="zh-CN"/>
              </w:rPr>
              <w:t>《中华人民共和国行政许可法》</w:t>
            </w:r>
            <w:r>
              <w:rPr>
                <w:rFonts w:hint="eastAsia" w:ascii="宋体" w:hAnsi="宋体" w:cs="仿宋_GB2312"/>
                <w:szCs w:val="21"/>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spacing w:line="240" w:lineRule="exact"/>
              <w:jc w:val="left"/>
              <w:rPr>
                <w:rFonts w:hint="eastAsia" w:ascii="宋体" w:hAnsi="宋体" w:cs="仿宋_GB2312"/>
                <w:color w:val="0000FF"/>
                <w:szCs w:val="21"/>
              </w:rPr>
            </w:pPr>
            <w:r>
              <w:rPr>
                <w:rFonts w:hint="eastAsia" w:ascii="宋体" w:hAnsi="宋体" w:cs="仿宋_GB2312"/>
                <w:szCs w:val="21"/>
              </w:rPr>
              <w:t>4.</w:t>
            </w:r>
            <w:r>
              <w:rPr>
                <w:rFonts w:hint="eastAsia" w:ascii="宋体" w:hAnsi="宋体" w:cs="仿宋_GB2312"/>
                <w:szCs w:val="21"/>
                <w:lang w:eastAsia="zh-CN"/>
              </w:rPr>
              <w:t>《中华人民共和国行政许可法》</w:t>
            </w:r>
            <w:r>
              <w:rPr>
                <w:rFonts w:hint="eastAsia" w:ascii="宋体" w:hAnsi="宋体" w:cs="仿宋_GB2312"/>
                <w:szCs w:val="21"/>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hint="eastAsia" w:ascii="宋体" w:hAnsi="宋体" w:cs="仿宋_GB2312"/>
                <w:szCs w:val="21"/>
              </w:rPr>
            </w:pPr>
            <w:r>
              <w:rPr>
                <w:rFonts w:hint="eastAsia" w:ascii="宋体" w:hAnsi="宋体" w:cs="仿宋_GB2312"/>
                <w:szCs w:val="21"/>
              </w:rPr>
              <w:t>问责依据</w:t>
            </w:r>
          </w:p>
        </w:tc>
        <w:tc>
          <w:tcPr>
            <w:tcW w:w="7109" w:type="dxa"/>
            <w:vAlign w:val="center"/>
          </w:tcPr>
          <w:p>
            <w:pPr>
              <w:rPr>
                <w:rFonts w:ascii="宋体" w:hAns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监督电话</w:t>
            </w:r>
          </w:p>
        </w:tc>
        <w:tc>
          <w:tcPr>
            <w:tcW w:w="7109" w:type="dxa"/>
            <w:vAlign w:val="center"/>
          </w:tcPr>
          <w:p>
            <w:pPr>
              <w:jc w:val="center"/>
              <w:rPr>
                <w:rFonts w:hint="eastAsia" w:ascii="宋体" w:hAnsi="宋体" w:cs="仿宋_GB2312"/>
                <w:szCs w:val="21"/>
              </w:rPr>
            </w:pPr>
            <w:r>
              <w:rPr>
                <w:rFonts w:hint="eastAsia" w:ascii="宋体" w:cs="仿宋_GB2312"/>
                <w:szCs w:val="21"/>
              </w:rPr>
              <w:t>2486569</w:t>
            </w:r>
          </w:p>
        </w:tc>
      </w:tr>
    </w:tbl>
    <w:p>
      <w:pPr>
        <w:spacing w:line="500" w:lineRule="exact"/>
        <w:rPr>
          <w:rFonts w:ascii="宋体" w:hAnsi="宋体"/>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土地复垦验收确认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　　1.《土地复垦条例》（2011年2月22日国务院第145次常务会议通过，2011年3月5日起施行。）第二十八条土地复垦义务人按照土地复垦方案的要求完成土地复垦任务后，应当按照国务院国土资源主管部门的规定向所在地县级以上地方人民政府国土资源主管部门申请验收，接到申请的国土资源主管部门应当会同同级农业、林业、环境保护等有关部门进行验收。</w:t>
            </w:r>
          </w:p>
          <w:p>
            <w:pPr>
              <w:rPr>
                <w:rFonts w:hint="eastAsia"/>
              </w:rPr>
            </w:pPr>
            <w:r>
              <w:rPr>
                <w:rFonts w:hint="eastAsia"/>
              </w:rPr>
              <w:t>第二十九条负责组织验收的国土资源主管部门应当会同有关部门在接到土地复垦验收申请之日起60个工作日内完成验收，经验收合格的，向土地复垦义务人出具验收合格确认书。</w:t>
            </w:r>
          </w:p>
          <w:p>
            <w:pPr>
              <w:rPr>
                <w:rFonts w:hint="eastAsia"/>
              </w:rPr>
            </w:pPr>
            <w:r>
              <w:rPr>
                <w:rFonts w:hint="eastAsia"/>
              </w:rPr>
              <w:t>　　2.《土地复垦条例实施办法》（2012年12月11日国土资源部第4次部务会议审议通过， 2013年3月1日起施行。）第三十七条土地复垦工程经阶段验收或者总体验收合格的，负责验收的国土资源主管部门应当依照条例第二十九条规定出具阶段或者总体验收合格确认书。验收合格确认书应当载明下列事项：（一）土地复垦工程概况；（二）损毁土地情况；（三）土地复垦完成情况；（四）土地复垦中存在的问题和整改建议、处理意见；（五）验收结论</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tbl>
            <w:tblPr>
              <w:tblStyle w:val="4"/>
              <w:tblW w:w="0" w:type="auto"/>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5"/>
              <w:gridCol w:w="6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7260" w:type="dxa"/>
                  <w:gridSpan w:val="2"/>
                  <w:tcBorders>
                    <w:top w:val="outset" w:color="000000" w:sz="6" w:space="0"/>
                    <w:left w:val="outset" w:color="000000" w:sz="6" w:space="0"/>
                    <w:bottom w:val="outset" w:color="000000" w:sz="6" w:space="0"/>
                    <w:right w:val="outset" w:color="000000" w:sz="6" w:space="0"/>
                  </w:tcBorders>
                </w:tcPr>
                <w:p>
                  <w:pPr>
                    <w:rPr>
                      <w:rFonts w:hint="eastAsia"/>
                    </w:rPr>
                  </w:pPr>
                  <w:r>
                    <w:rPr>
                      <w:rFonts w:hint="eastAsia"/>
                    </w:rPr>
                    <w:t>1. 受理责任：审查申请人或单位的验收申请材料是否齐全，是否在规定的时间内提交验收材料。材料不全的，通知验收申请个人或者单位一次性补齐。</w:t>
                  </w:r>
                </w:p>
                <w:p>
                  <w:r>
                    <w:rPr>
                      <w:rFonts w:hint="eastAsia"/>
                    </w:rPr>
                    <w:t>2. 审查责任：根据验收确认规定，对材料齐全，且符合要求的申请材料，予以审查通过。</w:t>
                  </w:r>
                </w:p>
                <w:p>
                  <w:r>
                    <w:rPr>
                      <w:rFonts w:hint="eastAsia"/>
                    </w:rPr>
                    <w:t>3. 决定责任：对审查通过的申请材料予以确认。</w:t>
                  </w:r>
                </w:p>
                <w:p>
                  <w:r>
                    <w:rPr>
                      <w:rFonts w:hint="eastAsia"/>
                    </w:rPr>
                    <w:t>4. 送达责任：印发土地复垦验收合格确认书，并通知申请人或者单位。</w:t>
                  </w:r>
                </w:p>
                <w:p>
                  <w:r>
                    <w:rPr>
                      <w:rFonts w:hint="eastAsia"/>
                    </w:rPr>
                    <w:t>6. 其他法律法规规章文件规定应履行的责任。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615" w:type="dxa"/>
                  <w:tcBorders>
                    <w:top w:val="outset" w:color="000000" w:sz="6" w:space="0"/>
                    <w:left w:val="outset" w:color="000000" w:sz="6" w:space="0"/>
                    <w:bottom w:val="outset" w:color="000000" w:sz="6" w:space="0"/>
                    <w:right w:val="outset" w:color="000000" w:sz="6" w:space="0"/>
                  </w:tcBorders>
                  <w:vAlign w:val="center"/>
                </w:tcPr>
                <w:p/>
              </w:tc>
              <w:tc>
                <w:tcPr>
                  <w:tcW w:w="6645" w:type="dxa"/>
                  <w:tcBorders>
                    <w:top w:val="single" w:color="auto" w:sz="0" w:space="0"/>
                    <w:left w:val="single" w:color="auto" w:sz="0" w:space="0"/>
                    <w:bottom w:val="triple" w:color="auto" w:sz="0" w:space="0"/>
                  </w:tcBorders>
                  <w:vAlign w:val="center"/>
                </w:tc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eastAsia="宋体" w:cs="宋体"/>
          <w:b/>
          <w:sz w:val="44"/>
          <w:szCs w:val="44"/>
        </w:rPr>
      </w:pPr>
      <w:r>
        <w:rPr>
          <w:rFonts w:hint="eastAsia" w:ascii="宋体" w:hAnsi="宋体" w:eastAsia="宋体" w:cs="宋体"/>
          <w:b/>
          <w:sz w:val="44"/>
          <w:szCs w:val="44"/>
        </w:rPr>
        <w:t>国土资源局责任清单</w:t>
      </w:r>
    </w:p>
    <w:p>
      <w:pPr>
        <w:rPr>
          <w:rFonts w:ascii="宋体" w:eastAsia="宋体" w:cs="仿宋_GB231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序号</w:t>
            </w:r>
          </w:p>
        </w:tc>
        <w:tc>
          <w:tcPr>
            <w:tcW w:w="7109" w:type="dxa"/>
            <w:vAlign w:val="center"/>
          </w:tcPr>
          <w:p>
            <w:pPr>
              <w:jc w:val="center"/>
              <w:rPr>
                <w:rFonts w:eastAsia="宋体" w:cs="Times New Roman"/>
              </w:rPr>
            </w:pPr>
            <w:r>
              <w:rPr>
                <w:rFonts w:hint="eastAsia" w:eastAsia="宋体" w:cs="Times New Roma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权力类型</w:t>
            </w:r>
          </w:p>
        </w:tc>
        <w:tc>
          <w:tcPr>
            <w:tcW w:w="7109" w:type="dxa"/>
            <w:vAlign w:val="center"/>
          </w:tcPr>
          <w:p>
            <w:pPr>
              <w:jc w:val="center"/>
              <w:rPr>
                <w:rFonts w:eastAsia="宋体" w:cs="Times New Roman"/>
              </w:rPr>
            </w:pPr>
            <w:r>
              <w:rPr>
                <w:rFonts w:hint="eastAsia" w:eastAsia="宋体" w:cs="Times New Roma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权力项目名称</w:t>
            </w:r>
          </w:p>
        </w:tc>
        <w:tc>
          <w:tcPr>
            <w:tcW w:w="7109" w:type="dxa"/>
            <w:vAlign w:val="center"/>
          </w:tcPr>
          <w:p>
            <w:pPr>
              <w:jc w:val="center"/>
              <w:rPr>
                <w:rFonts w:eastAsia="宋体" w:cs="Times New Roman"/>
              </w:rPr>
            </w:pPr>
            <w:r>
              <w:rPr>
                <w:rFonts w:hint="eastAsia" w:eastAsia="宋体" w:cs="Times New Roman"/>
              </w:rPr>
              <w:t>土地开垦区内开发未确认使用权的国有土地从事生产审查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eastAsia="宋体" w:cs="Times New Roman"/>
              </w:rPr>
            </w:pPr>
            <w:r>
              <w:rPr>
                <w:rFonts w:eastAsia="宋体" w:cs="Times New Roman"/>
              </w:rPr>
              <w:t>《中华人民共和国土地管理法》（中华人民共和国主席令第28号）第40条：开发未确定使用权的国有荒山、荒地、荒滩从事种植业、林业、畜牧业、渔业生产的，经县级以上人民政府依法批准，可以确定给开发单位或者个人长期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vAlign w:val="center"/>
          </w:tcPr>
          <w:tbl>
            <w:tblPr>
              <w:tblStyle w:val="4"/>
              <w:tblW w:w="0" w:type="auto"/>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5"/>
              <w:gridCol w:w="6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7260" w:type="dxa"/>
                  <w:gridSpan w:val="2"/>
                  <w:tcBorders>
                    <w:top w:val="outset" w:color="000000" w:sz="6" w:space="0"/>
                    <w:left w:val="outset" w:color="000000" w:sz="6" w:space="0"/>
                    <w:bottom w:val="outset" w:color="000000" w:sz="6" w:space="0"/>
                    <w:right w:val="outset" w:color="000000" w:sz="6" w:space="0"/>
                  </w:tcBorders>
                </w:tcPr>
                <w:p>
                  <w:pPr>
                    <w:rPr>
                      <w:rFonts w:hint="eastAsia" w:eastAsia="宋体" w:cs="Times New Roman"/>
                    </w:rPr>
                  </w:pPr>
                  <w:r>
                    <w:rPr>
                      <w:rFonts w:hint="eastAsia" w:eastAsia="宋体" w:cs="Times New Roman"/>
                    </w:rPr>
                    <w:t>1. 受理责任：公示应当提交的材料，当场一次性告知补正材料，依法受理或不予受理（不予受理应当告知理由）。</w:t>
                  </w:r>
                </w:p>
                <w:p>
                  <w:pPr>
                    <w:rPr>
                      <w:rFonts w:eastAsia="宋体" w:cs="Times New Roman"/>
                    </w:rPr>
                  </w:pPr>
                  <w:r>
                    <w:rPr>
                      <w:rFonts w:hint="eastAsia" w:eastAsia="宋体" w:cs="Times New Roman"/>
                    </w:rPr>
                    <w:t>2. 审查责任：审查申请材料。</w:t>
                  </w:r>
                </w:p>
                <w:p>
                  <w:pPr>
                    <w:rPr>
                      <w:rFonts w:eastAsia="宋体" w:cs="Times New Roman"/>
                    </w:rPr>
                  </w:pPr>
                  <w:r>
                    <w:rPr>
                      <w:rFonts w:hint="eastAsia" w:eastAsia="宋体" w:cs="Times New Roman"/>
                    </w:rPr>
                    <w:t>3. 决定责任：作出行政许可或者不予行政许可决定，法定告知（不予许可的应当书面告知理由）。</w:t>
                  </w:r>
                </w:p>
                <w:p>
                  <w:pPr>
                    <w:rPr>
                      <w:rFonts w:eastAsia="宋体" w:cs="Times New Roman"/>
                    </w:rPr>
                  </w:pPr>
                  <w:r>
                    <w:rPr>
                      <w:rFonts w:hint="eastAsia" w:eastAsia="宋体" w:cs="Times New Roman"/>
                    </w:rPr>
                    <w:t>4. 送达责任：准予许可的，制发林业采伐许可证书，送达并信息公开；不予许可的，送达不予许可决定书。</w:t>
                  </w:r>
                </w:p>
                <w:p>
                  <w:pPr>
                    <w:rPr>
                      <w:rFonts w:eastAsia="宋体" w:cs="Times New Roman"/>
                    </w:rPr>
                  </w:pPr>
                  <w:r>
                    <w:rPr>
                      <w:rFonts w:hint="eastAsia" w:eastAsia="宋体" w:cs="Times New Roman"/>
                    </w:rPr>
                    <w:t>5. 监管责任：建立实施监督检查的运行机制和管理制度，开展定期和不定期检查，依法采取相关处置措施。</w:t>
                  </w:r>
                </w:p>
                <w:p>
                  <w:pPr>
                    <w:rPr>
                      <w:rFonts w:eastAsia="宋体" w:cs="Times New Roman"/>
                    </w:rPr>
                  </w:pPr>
                  <w:r>
                    <w:rPr>
                      <w:rFonts w:hint="eastAsia" w:eastAsia="宋体" w:cs="Times New Roman"/>
                    </w:rPr>
                    <w:t>6. 其他法律法规规章文件规定应履行的责任。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615" w:type="dxa"/>
                  <w:tcBorders>
                    <w:top w:val="outset" w:color="000000" w:sz="6" w:space="0"/>
                    <w:left w:val="outset" w:color="000000" w:sz="6" w:space="0"/>
                    <w:bottom w:val="outset" w:color="000000" w:sz="6" w:space="0"/>
                    <w:right w:val="outset" w:color="000000" w:sz="6" w:space="0"/>
                  </w:tcBorders>
                  <w:vAlign w:val="center"/>
                </w:tcPr>
                <w:p>
                  <w:pPr>
                    <w:rPr>
                      <w:rFonts w:eastAsia="宋体" w:cs="Times New Roman"/>
                    </w:rPr>
                  </w:pPr>
                </w:p>
              </w:tc>
              <w:tc>
                <w:tcPr>
                  <w:tcW w:w="6645" w:type="dxa"/>
                  <w:tcBorders>
                    <w:top w:val="single" w:color="auto" w:sz="0" w:space="0"/>
                    <w:left w:val="single" w:color="auto" w:sz="0" w:space="0"/>
                    <w:bottom w:val="triple" w:color="auto" w:sz="0" w:space="0"/>
                  </w:tcBorders>
                  <w:vAlign w:val="center"/>
                </w:tcPr>
                <w:p>
                  <w:pPr>
                    <w:rPr>
                      <w:rFonts w:eastAsia="宋体" w:cs="Times New Roman"/>
                    </w:rPr>
                  </w:pPr>
                </w:p>
              </w:tc>
            </w:tr>
          </w:tbl>
          <w:p>
            <w:pPr>
              <w:rPr>
                <w:rFonts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vAlign w:val="center"/>
          </w:tcPr>
          <w:p>
            <w:pPr>
              <w:rPr>
                <w:rFonts w:hint="eastAsia"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rPr>
          <w:rFonts w:eastAsia="宋体" w:cs="Times New Roma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国有土地建设用地使用权划拨批准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《中华人民共和国土地管理法》（1986年中华人民共和国主席令第41号公布  2004年中华人民共和国主席令第28号第二次修正）第五十四条 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法律、行政法规规定的其他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    2.审查责任：按照政策规定对书面材料进行审查，提出是否同意审批的初步意见，告知申请人、利害相关人享有听证权利；涉及公共利益的重大许可，向社会公告，并举行听证。</w:t>
            </w:r>
          </w:p>
          <w:p>
            <w:r>
              <w:rPr>
                <w:rFonts w:hint="eastAsia"/>
              </w:rPr>
              <w:t>    3.决定责任：作出行政许可或者不予行政许可决定,法定告知（不予许可的应当书面告知理由）。</w:t>
            </w:r>
          </w:p>
          <w:p>
            <w:r>
              <w:rPr>
                <w:rFonts w:hint="eastAsia"/>
              </w:rPr>
              <w:t>    4.征收责任：征收划拨价款。</w:t>
            </w:r>
          </w:p>
          <w:p>
            <w:r>
              <w:rPr>
                <w:rFonts w:hint="eastAsia"/>
              </w:rPr>
              <w:t>    5.送达责任：准予许可的制发送达审批决定，并信息公开。</w:t>
            </w:r>
          </w:p>
          <w:p>
            <w:r>
              <w:rPr>
                <w:rFonts w:hint="eastAsia"/>
              </w:rPr>
              <w:t>    6.事后监管环节责任：对审批后的相关事宜实施监督管理。</w:t>
            </w:r>
          </w:p>
          <w:p>
            <w:r>
              <w:rPr>
                <w:rFonts w:hint="eastAsia"/>
              </w:rPr>
              <w:t>    7.其他法律法规规章文件规定应履行的责任。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国有土地建设用地使用权出让后土地使用权分割转让批准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《中华人民共和国城镇国有土地使用权出让和转让暂行条例》（国务院令第55号）第二十五条第二款 土地使用权和地上建筑物、其他附着物所有权分割转让的，应当经市、县人民政府土地管理部门和房产管理部门批准，并依照规定办理过户登记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2.审查责任：按照政策规定对书面材料进行审查，提出是否同意审批的初步意见，告知申请人、利害相关人享有听证权利；涉及公共利益的重大许可，向社会公告，并举行听证。</w:t>
            </w:r>
          </w:p>
          <w:p>
            <w:r>
              <w:rPr>
                <w:rFonts w:hint="eastAsia"/>
              </w:rPr>
              <w:t>3.决定责任：作出行政许可或者不予行政许可决定,法定告知（不予许可的应当书面告知理由）。</w:t>
            </w:r>
          </w:p>
          <w:p>
            <w:r>
              <w:rPr>
                <w:rFonts w:hint="eastAsia"/>
              </w:rPr>
              <w:t>4.送达责任：准予许可的制发送达审批决定，并信息公开。</w:t>
            </w:r>
          </w:p>
          <w:p>
            <w:r>
              <w:rPr>
                <w:rFonts w:hint="eastAsia"/>
              </w:rPr>
              <w:t>5.事后监管环节责任：对审批后的相关事宜实施监督管理。</w:t>
            </w:r>
          </w:p>
          <w:p>
            <w:r>
              <w:rPr>
                <w:rFonts w:hint="eastAsia"/>
              </w:rPr>
              <w:t>6.其他法律法规规章文件规定应履行的责任。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矿山闭坑地质报告审批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1、《中华人民共和国矿产资源法》(1986年3月19日第六届全国人民代表大会常务委员会第十五次会议通过,1986年3月19日中华人民共和国主席令第36号公布,自1986年10月1日起施行)</w:t>
            </w:r>
          </w:p>
          <w:p>
            <w:pPr>
              <w:rPr>
                <w:rFonts w:hint="eastAsia"/>
              </w:rPr>
            </w:pPr>
            <w:r>
              <w:rPr>
                <w:rFonts w:hint="eastAsia"/>
              </w:rPr>
              <w:t>第二十一条：关闭矿山，必须提出矿山闭坑报告及有关采掘工程、不安全隐患、土地复垦利用、环境保护的资料，并按照国家规定报请审查批准。</w:t>
            </w:r>
          </w:p>
          <w:p>
            <w:pPr>
              <w:rPr>
                <w:rFonts w:hint="eastAsia"/>
              </w:rPr>
            </w:pPr>
            <w:r>
              <w:rPr>
                <w:rFonts w:hint="eastAsia"/>
              </w:rPr>
              <w:t>2、《中华人民共和国矿产资源法实施细则》 （1994年3月26日国务院令第152号发布，自发布之日起施行）</w:t>
            </w:r>
          </w:p>
          <w:p>
            <w:pPr>
              <w:rPr>
                <w:rFonts w:hint="eastAsia"/>
              </w:rPr>
            </w:pPr>
            <w:r>
              <w:rPr>
                <w:rFonts w:hint="eastAsia"/>
              </w:rPr>
              <w:t>第三十三条：矿山企业关闭矿山，应当按照下列程序办理审批手续:(一)开采活动结束的前一年，向原批准开办矿山的主管部门提出关闭矿山申请，并提交闭坑地质报告;(二)闭坑地质报告经原批准开办矿山的主管部门审核同意后，报地质矿产主管部门会同矿产储量审批机构批准;(三)闭坑地质报告批准后，采矿权人应当编写关闭矿山报告，报请原批准开办矿山的主管部门会同同级地质矿产主管部门和有关主管部门按照有关行业规定批准。</w:t>
            </w:r>
          </w:p>
          <w:p>
            <w:pPr>
              <w:rPr>
                <w:rFonts w:hint="eastAsia"/>
              </w:rPr>
            </w:pPr>
            <w:r>
              <w:rPr>
                <w:rFonts w:hint="eastAsia"/>
              </w:rPr>
              <w:t>第三十四条：关闭矿山报告批准后，矿山企业应当完成下列工作:(一)按照国家有关规定将地质、测量、采矿资料整理归档，并汇交闭坑地质报告、关闭矿山报告及其他有关资料;(二)按照批准的关闭矿山报告，完成有关劳动安全、水土保持、土地复垦和环境保护工作，或者缴清土地复垦和环境保护的有关费用。</w:t>
            </w:r>
          </w:p>
          <w:p>
            <w:pPr>
              <w:rPr>
                <w:rFonts w:hint="eastAsia"/>
              </w:rPr>
            </w:pPr>
            <w:r>
              <w:rPr>
                <w:rFonts w:hint="eastAsia"/>
              </w:rPr>
              <w:t>矿山企业凭关闭矿山报告批准文件和有关部门对完成上述工作提供的证明，报请原颁发采矿许可证的机关办理采矿许可证注销手续。</w:t>
            </w:r>
          </w:p>
          <w:p>
            <w:pPr>
              <w:rPr>
                <w:rFonts w:hint="eastAsia"/>
              </w:rPr>
            </w:pPr>
            <w:r>
              <w:rPr>
                <w:rFonts w:hint="eastAsia"/>
              </w:rPr>
              <w:t>3、《矿山闭坑地质报告审批办法》(1995年3月11日全国矿产储量委员会储发40号通过并颁布，自颁布之日起施行)</w:t>
            </w:r>
          </w:p>
          <w:p>
            <w:pPr>
              <w:rPr>
                <w:rFonts w:hint="eastAsia"/>
              </w:rPr>
            </w:pPr>
            <w:r>
              <w:rPr>
                <w:rFonts w:hint="eastAsia"/>
              </w:rPr>
              <w:t>第六条：矿山闭坑地质报告应经矿山主管部门审核同意，并提出审核意见。报告送审单位应将主管部门审核意见及矿山闭坑地质报告(一式三份)一并报送矿产储量委员会</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1.受理阶段：受理闭坑单位上报矿山闭坑地质等相关材料，并对材料的齐全性、内容的完整性进行查验，符合要求的，直接受理，不符合要求的，一次性告之原因及补正材料；</w:t>
            </w:r>
          </w:p>
          <w:p>
            <w:pPr>
              <w:rPr>
                <w:rFonts w:hint="eastAsia"/>
              </w:rPr>
            </w:pPr>
            <w:r>
              <w:rPr>
                <w:rFonts w:hint="eastAsia"/>
              </w:rPr>
              <w:t>2.审查阶段：自受理之日起20日内完成审查工作，提出审查意见；</w:t>
            </w:r>
          </w:p>
          <w:p>
            <w:pPr>
              <w:rPr>
                <w:rFonts w:hint="eastAsia"/>
              </w:rPr>
            </w:pPr>
            <w:r>
              <w:rPr>
                <w:rFonts w:hint="eastAsia"/>
              </w:rPr>
              <w:t>3.决定阶段：作出行政许可、上报或者不予许可、上报决定（不予许可、上报的应当告知理由）；</w:t>
            </w:r>
          </w:p>
          <w:p>
            <w:pPr>
              <w:rPr>
                <w:rFonts w:hint="eastAsia"/>
              </w:rPr>
            </w:pPr>
            <w:r>
              <w:rPr>
                <w:rFonts w:hint="eastAsia"/>
              </w:rPr>
              <w:t>4.送达阶段：制发送达文书；</w:t>
            </w:r>
          </w:p>
          <w:p>
            <w:pPr>
              <w:rPr>
                <w:rFonts w:hint="eastAsia"/>
              </w:rPr>
            </w:pPr>
            <w:r>
              <w:rPr>
                <w:rFonts w:hint="eastAsia"/>
              </w:rPr>
              <w:t>5.事后监管阶段：材料归档，信息公开；</w:t>
            </w:r>
          </w:p>
          <w:p>
            <w:pPr>
              <w:rPr>
                <w:rFonts w:hint="eastAsia"/>
              </w:rPr>
            </w:pPr>
            <w:r>
              <w:rPr>
                <w:rFonts w:hint="eastAsia"/>
              </w:rPr>
              <w:t>6.其他法律法规规章文件规定应履行的责任。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建设占用耕地补充审核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t>《中华人民共和国土地管理法》(中华人民共和国主席令第28号)第44条：建设占用土地，涉及农用地转为建设用地的，应当办理农用地转用审批手续。省、自治区、直辖市人民政府批准的道路、管线工程和大型基础设施建设项目、国务院批准的建设项目占用土地，涉及农用地转为建设用地的，由国务院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2.审查责任：对项目立项、规划设计等申请材料进行审查，提出审查意见，必要时组织人员实地考察。告知申请人、利害关系相对人享有听证权利；涉及公共利益的重大许可，向社会公告并举行听证。</w:t>
            </w:r>
          </w:p>
          <w:p>
            <w:r>
              <w:rPr>
                <w:rFonts w:hint="eastAsia"/>
              </w:rPr>
              <w:t>3.决定责任：作出行政许可或者不予行政许可决定，法定告知（不予批准的要说明理由并告知享有依法申请行政复议或者提出行政诉讼的权利）。</w:t>
            </w:r>
          </w:p>
          <w:p>
            <w:r>
              <w:rPr>
                <w:rFonts w:hint="eastAsia"/>
              </w:rPr>
              <w:t>4.事后监管责任：建立实施监督检查的运行机制和管理制度，对耕地补充和未利用地开发情况进行跟踪检查，并依法采取相关处置措施。</w:t>
            </w:r>
          </w:p>
          <w:p>
            <w:r>
              <w:rPr>
                <w:rFonts w:hint="eastAsia"/>
              </w:rPr>
              <w:t>5.其他责任：法律法规规章文件规定应履行的其他责任。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划拨土地转出让审核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t>1990年5月19日国务院令第55号发布，自发布之日起施行。为了改革城镇国有土地使用制度，合理开发、利用、经营土地，加强土地管理，促进城市建设和经济发展，制定本条例。中华人民共和国境内外的公司、企业、其他组织和个人，除法律另有规定者外，均可依照本条例的规定取得土地使用权，进行土地开发、利用、经营。本条例由国家土地管理局负责解释;实施办法由省、自治区、直辖市人民政府制定。全文共八章五十四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1）受理责任：经批准的建设项目需要使用国有建设用地的，建设单位应当持法律、行政法规规定的有关文件，向有批准权的县级以上人民政府土地行政主管部门提出建设用地申请，国土资源局收到申请材料后完成受理工作，材料可当场更正的，允许当场更正。</w:t>
            </w:r>
          </w:p>
          <w:p>
            <w:r>
              <w:rPr>
                <w:rFonts w:hint="eastAsia"/>
              </w:rPr>
              <w:t>（2）审查责任：申请材料齐全、符合法定形式的受理；材料不齐全或者不符合法定形式的，当场返回材料，发回补正。</w:t>
            </w:r>
          </w:p>
          <w:p>
            <w:r>
              <w:rPr>
                <w:rFonts w:hint="eastAsia"/>
              </w:rPr>
              <w:t>（3）决定责任：予以办理的，应当将办理结果及时通知申请人；不予办理的，应当通知申请人并说明理由。</w:t>
            </w:r>
          </w:p>
          <w:p>
            <w:r>
              <w:rPr>
                <w:rFonts w:hint="eastAsia"/>
              </w:rPr>
              <w:t>（4）事后监管责任：依照相关法律法规规章文件规定进行事后监管。</w:t>
            </w:r>
          </w:p>
          <w:p>
            <w:r>
              <w:rPr>
                <w:rFonts w:hint="eastAsia"/>
              </w:rPr>
              <w:t>（5）其他责任：其他法律法规规章规定应履行的责任。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E391D53"/>
    <w:rsid w:val="002368BD"/>
    <w:rsid w:val="006810B9"/>
    <w:rsid w:val="00B600DF"/>
    <w:rsid w:val="276E083F"/>
    <w:rsid w:val="4E391D53"/>
    <w:rsid w:val="5FDEF66B"/>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kern w:val="2"/>
      <w:sz w:val="18"/>
      <w:szCs w:val="18"/>
    </w:rPr>
  </w:style>
  <w:style w:type="character" w:customStyle="1" w:styleId="7">
    <w:name w:val="页脚 Char"/>
    <w:basedOn w:val="5"/>
    <w:link w:val="2"/>
    <w:qFormat/>
    <w:uiPriority w:val="0"/>
    <w:rPr>
      <w:rFonts w:ascii="Times New Roman" w:hAnsi="Times New Roman"/>
      <w:kern w:val="2"/>
      <w:sz w:val="18"/>
      <w:szCs w:val="18"/>
    </w:rPr>
  </w:style>
  <w:style w:type="paragraph" w:customStyle="1" w:styleId="8">
    <w:name w:val="Normal_1"/>
    <w:qFormat/>
    <w:uiPriority w:val="0"/>
    <w:pPr>
      <w:spacing w:before="120" w:after="240"/>
      <w:jc w:val="both"/>
    </w:pPr>
    <w:rPr>
      <w:rFonts w:ascii="Calibri" w:hAnsi="Calibri" w:eastAsia="Calibri" w:cstheme="minorBidi"/>
      <w:sz w:val="22"/>
      <w:szCs w:val="22"/>
      <w:lang w:val="ru-RU" w:eastAsia="en-US" w:bidi="ar-SA"/>
    </w:rPr>
  </w:style>
  <w:style w:type="paragraph" w:customStyle="1" w:styleId="9">
    <w:name w:val="Normal_2"/>
    <w:qFormat/>
    <w:uiPriority w:val="0"/>
    <w:pPr>
      <w:spacing w:before="120" w:after="240"/>
      <w:jc w:val="both"/>
    </w:pPr>
    <w:rPr>
      <w:rFonts w:ascii="Calibri" w:hAnsi="Calibri" w:eastAsia="Calibri" w:cstheme="minorBidi"/>
      <w:sz w:val="22"/>
      <w:szCs w:val="22"/>
      <w:lang w:val="ru-RU" w:eastAsia="en-US" w:bidi="ar-SA"/>
    </w:rPr>
  </w:style>
  <w:style w:type="paragraph" w:customStyle="1" w:styleId="10">
    <w:name w:val="Normal_3"/>
    <w:qFormat/>
    <w:uiPriority w:val="0"/>
    <w:pPr>
      <w:spacing w:before="120" w:after="240"/>
      <w:jc w:val="both"/>
    </w:pPr>
    <w:rPr>
      <w:rFonts w:ascii="Calibri" w:hAnsi="Calibri" w:eastAsia="Calibri" w:cstheme="minorBidi"/>
      <w:sz w:val="22"/>
      <w:szCs w:val="22"/>
      <w:lang w:val="ru-RU"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46</Pages>
  <Words>38040</Words>
  <Characters>2356</Characters>
  <Lines>19</Lines>
  <Paragraphs>80</Paragraphs>
  <TotalTime>6</TotalTime>
  <ScaleCrop>false</ScaleCrop>
  <LinksUpToDate>false</LinksUpToDate>
  <CharactersWithSpaces>40316</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2018-04-24T23:17:00Z</dcterms:created>
  <dc:creator>Administrator</dc:creator>
  <cp:lastModifiedBy>user</cp:lastModifiedBy>
  <cp:lastPrinted>2018-04-24T23:18:00Z</cp:lastPrinted>
  <dcterms:modified xsi:type="dcterms:W3CDTF">2024-01-02T10:35:13Z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D72B8C7309773A25A175936543272C70</vt:lpwstr>
  </property>
</Properties>
</file>