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_GB2312" w:hAnsi="楷体_GB2312" w:eastAsia="楷体_GB2312" w:cs="楷体_GB2312"/>
          <w:sz w:val="52"/>
          <w:szCs w:val="52"/>
        </w:rPr>
      </w:pPr>
      <w:bookmarkStart w:id="0" w:name="_GoBack"/>
      <w:bookmarkEnd w:id="0"/>
    </w:p>
    <w:p>
      <w:pPr>
        <w:jc w:val="center"/>
        <w:rPr>
          <w:rFonts w:ascii="楷体_GB2312" w:hAnsi="楷体_GB2312" w:eastAsia="楷体_GB2312" w:cs="楷体_GB2312"/>
          <w:sz w:val="52"/>
          <w:szCs w:val="52"/>
        </w:rPr>
      </w:pPr>
      <w:r>
        <w:rPr>
          <w:rFonts w:hint="eastAsia" w:ascii="楷体_GB2312" w:hAnsi="楷体_GB2312" w:eastAsia="楷体_GB2312" w:cs="楷体_GB2312"/>
          <w:sz w:val="52"/>
          <w:szCs w:val="52"/>
          <w:lang w:eastAsia="zh-CN"/>
        </w:rPr>
        <w:t>阿坝</w:t>
      </w:r>
      <w:r>
        <w:rPr>
          <w:rFonts w:hint="eastAsia" w:ascii="楷体_GB2312" w:hAnsi="楷体_GB2312" w:eastAsia="楷体_GB2312" w:cs="楷体_GB2312"/>
          <w:sz w:val="52"/>
          <w:szCs w:val="52"/>
        </w:rPr>
        <w:t>县民政局</w:t>
      </w:r>
    </w:p>
    <w:p>
      <w:pPr>
        <w:jc w:val="center"/>
        <w:rPr>
          <w:rFonts w:ascii="楷体_GB2312" w:hAnsi="楷体_GB2312" w:eastAsia="楷体_GB2312" w:cs="楷体_GB2312"/>
          <w:b/>
          <w:bCs/>
          <w:sz w:val="72"/>
          <w:szCs w:val="72"/>
        </w:rPr>
      </w:pPr>
      <w:r>
        <w:rPr>
          <w:rFonts w:hint="eastAsia" w:ascii="楷体_GB2312" w:hAnsi="楷体_GB2312" w:eastAsia="楷体_GB2312" w:cs="楷体_GB2312"/>
          <w:b/>
          <w:bCs/>
          <w:sz w:val="72"/>
          <w:szCs w:val="72"/>
        </w:rPr>
        <w:t>行</w:t>
      </w:r>
    </w:p>
    <w:p>
      <w:pPr>
        <w:jc w:val="center"/>
        <w:rPr>
          <w:rFonts w:ascii="楷体_GB2312" w:hAnsi="楷体_GB2312" w:eastAsia="楷体_GB2312" w:cs="楷体_GB2312"/>
          <w:b/>
          <w:bCs/>
          <w:sz w:val="72"/>
          <w:szCs w:val="72"/>
        </w:rPr>
      </w:pPr>
      <w:r>
        <w:rPr>
          <w:rFonts w:hint="eastAsia" w:ascii="楷体_GB2312" w:hAnsi="楷体_GB2312" w:eastAsia="楷体_GB2312" w:cs="楷体_GB2312"/>
          <w:b/>
          <w:bCs/>
          <w:sz w:val="72"/>
          <w:szCs w:val="72"/>
        </w:rPr>
        <w:t>政</w:t>
      </w:r>
    </w:p>
    <w:p>
      <w:pPr>
        <w:jc w:val="center"/>
        <w:rPr>
          <w:rFonts w:ascii="楷体_GB2312" w:hAnsi="楷体_GB2312" w:eastAsia="楷体_GB2312" w:cs="楷体_GB2312"/>
          <w:b/>
          <w:bCs/>
          <w:sz w:val="72"/>
          <w:szCs w:val="72"/>
        </w:rPr>
      </w:pPr>
      <w:r>
        <w:rPr>
          <w:rFonts w:hint="eastAsia" w:ascii="楷体_GB2312" w:hAnsi="楷体_GB2312" w:eastAsia="楷体_GB2312" w:cs="楷体_GB2312"/>
          <w:b/>
          <w:bCs/>
          <w:sz w:val="72"/>
          <w:szCs w:val="72"/>
        </w:rPr>
        <w:t>许</w:t>
      </w:r>
    </w:p>
    <w:p>
      <w:pPr>
        <w:jc w:val="center"/>
        <w:rPr>
          <w:rFonts w:ascii="楷体_GB2312" w:hAnsi="楷体_GB2312" w:eastAsia="楷体_GB2312" w:cs="楷体_GB2312"/>
          <w:b/>
          <w:bCs/>
          <w:sz w:val="72"/>
          <w:szCs w:val="72"/>
        </w:rPr>
      </w:pPr>
      <w:r>
        <w:rPr>
          <w:rFonts w:hint="eastAsia" w:ascii="楷体_GB2312" w:hAnsi="楷体_GB2312" w:eastAsia="楷体_GB2312" w:cs="楷体_GB2312"/>
          <w:b/>
          <w:bCs/>
          <w:sz w:val="72"/>
          <w:szCs w:val="72"/>
        </w:rPr>
        <w:t>可</w:t>
      </w:r>
    </w:p>
    <w:p>
      <w:pPr>
        <w:jc w:val="center"/>
        <w:rPr>
          <w:rFonts w:ascii="楷体_GB2312" w:hAnsi="楷体_GB2312" w:eastAsia="楷体_GB2312" w:cs="楷体_GB2312"/>
          <w:b/>
          <w:bCs/>
          <w:sz w:val="72"/>
          <w:szCs w:val="72"/>
        </w:rPr>
      </w:pPr>
      <w:r>
        <w:rPr>
          <w:rFonts w:hint="eastAsia" w:ascii="楷体_GB2312" w:hAnsi="楷体_GB2312" w:eastAsia="楷体_GB2312" w:cs="楷体_GB2312"/>
          <w:b/>
          <w:bCs/>
          <w:sz w:val="72"/>
          <w:szCs w:val="72"/>
        </w:rPr>
        <w:t>权</w:t>
      </w:r>
      <w:r>
        <w:rPr>
          <w:rFonts w:ascii="楷体_GB2312" w:hAnsi="楷体_GB2312" w:eastAsia="楷体_GB2312" w:cs="楷体_GB2312"/>
          <w:b/>
          <w:bCs/>
          <w:sz w:val="72"/>
          <w:szCs w:val="72"/>
        </w:rPr>
        <w:t xml:space="preserve">  </w:t>
      </w:r>
    </w:p>
    <w:p>
      <w:pPr>
        <w:jc w:val="center"/>
        <w:rPr>
          <w:rFonts w:ascii="楷体_GB2312" w:hAnsi="楷体_GB2312" w:eastAsia="楷体_GB2312" w:cs="楷体_GB2312"/>
          <w:b/>
          <w:bCs/>
          <w:sz w:val="72"/>
          <w:szCs w:val="72"/>
        </w:rPr>
      </w:pPr>
      <w:r>
        <w:rPr>
          <w:rFonts w:hint="eastAsia" w:ascii="楷体_GB2312" w:hAnsi="楷体_GB2312" w:eastAsia="楷体_GB2312" w:cs="楷体_GB2312"/>
          <w:b/>
          <w:bCs/>
          <w:sz w:val="72"/>
          <w:szCs w:val="72"/>
        </w:rPr>
        <w:t>力</w:t>
      </w:r>
      <w:r>
        <w:rPr>
          <w:rFonts w:ascii="楷体_GB2312" w:hAnsi="楷体_GB2312" w:eastAsia="楷体_GB2312" w:cs="楷体_GB2312"/>
          <w:b/>
          <w:bCs/>
          <w:sz w:val="72"/>
          <w:szCs w:val="72"/>
        </w:rPr>
        <w:t xml:space="preserve">  </w:t>
      </w:r>
    </w:p>
    <w:p>
      <w:pPr>
        <w:jc w:val="center"/>
        <w:rPr>
          <w:rFonts w:ascii="楷体_GB2312" w:hAnsi="楷体_GB2312" w:eastAsia="楷体_GB2312" w:cs="楷体_GB2312"/>
          <w:b/>
          <w:bCs/>
          <w:sz w:val="72"/>
          <w:szCs w:val="72"/>
        </w:rPr>
      </w:pPr>
      <w:r>
        <w:rPr>
          <w:rFonts w:hint="eastAsia" w:ascii="楷体_GB2312" w:hAnsi="楷体_GB2312" w:eastAsia="楷体_GB2312" w:cs="楷体_GB2312"/>
          <w:b/>
          <w:bCs/>
          <w:sz w:val="72"/>
          <w:szCs w:val="72"/>
        </w:rPr>
        <w:t>责任清单</w:t>
      </w:r>
      <w:r>
        <w:rPr>
          <w:rFonts w:ascii="楷体_GB2312" w:hAnsi="楷体_GB2312" w:eastAsia="楷体_GB2312" w:cs="楷体_GB2312"/>
          <w:b/>
          <w:bCs/>
          <w:sz w:val="72"/>
          <w:szCs w:val="72"/>
        </w:rPr>
        <w:t xml:space="preserve">  </w:t>
      </w:r>
    </w:p>
    <w:p>
      <w:pPr>
        <w:spacing w:line="540" w:lineRule="exact"/>
        <w:rPr>
          <w:rFonts w:ascii="方正小标宋简体" w:hAnsi="方正小标宋简体" w:eastAsia="方正小标宋简体" w:cs="方正小标宋简体"/>
          <w:sz w:val="44"/>
          <w:szCs w:val="44"/>
        </w:rPr>
      </w:pPr>
    </w:p>
    <w:p>
      <w:pPr>
        <w:spacing w:line="540" w:lineRule="exact"/>
        <w:jc w:val="center"/>
        <w:rPr>
          <w:rFonts w:ascii="方正小标宋简体" w:hAnsi="方正小标宋简体" w:eastAsia="方正小标宋简体" w:cs="方正小标宋简体"/>
          <w:sz w:val="44"/>
          <w:szCs w:val="44"/>
        </w:rPr>
      </w:pPr>
      <w:r>
        <w:rPr>
          <w:rFonts w:ascii="方正小标宋简体" w:hAnsi="方正小标宋简体" w:eastAsia="方正小标宋简体" w:cs="方正小标宋简体"/>
          <w:sz w:val="44"/>
          <w:szCs w:val="44"/>
        </w:rPr>
        <w:t xml:space="preserve">                     </w:t>
      </w:r>
    </w:p>
    <w:p>
      <w:pPr>
        <w:spacing w:line="54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 xml:space="preserve">       </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rPr>
        <w:t>二</w:t>
      </w:r>
      <w:r>
        <w:rPr>
          <w:rFonts w:ascii="方正小标宋简体" w:hAnsi="方正小标宋简体" w:eastAsia="方正小标宋简体" w:cs="方正小标宋简体"/>
          <w:sz w:val="44"/>
          <w:szCs w:val="44"/>
        </w:rPr>
        <w:t>0</w:t>
      </w:r>
      <w:r>
        <w:rPr>
          <w:rFonts w:hint="eastAsia" w:ascii="方正小标宋简体" w:hAnsi="方正小标宋简体" w:eastAsia="方正小标宋简体" w:cs="方正小标宋简体"/>
          <w:sz w:val="44"/>
          <w:szCs w:val="44"/>
        </w:rPr>
        <w:t>一八年制</w:t>
      </w:r>
    </w:p>
    <w:p>
      <w:pPr>
        <w:spacing w:line="540" w:lineRule="exact"/>
        <w:jc w:val="center"/>
        <w:rPr>
          <w:rFonts w:ascii="方正小标宋简体" w:hAnsi="方正小标宋简体" w:eastAsia="方正小标宋简体" w:cs="方正小标宋简体"/>
          <w:sz w:val="44"/>
          <w:szCs w:val="44"/>
        </w:rPr>
      </w:pPr>
    </w:p>
    <w:p>
      <w:pPr>
        <w:spacing w:line="540" w:lineRule="exact"/>
        <w:jc w:val="center"/>
        <w:rPr>
          <w:rFonts w:ascii="方正小标宋简体" w:hAnsi="方正小标宋简体" w:eastAsia="方正小标宋简体" w:cs="方正小标宋简体"/>
          <w:sz w:val="44"/>
          <w:szCs w:val="44"/>
        </w:rPr>
      </w:pPr>
    </w:p>
    <w:p>
      <w:pPr>
        <w:spacing w:line="540" w:lineRule="exact"/>
        <w:jc w:val="center"/>
        <w:rPr>
          <w:rFonts w:ascii="方正小标宋简体" w:hAnsi="方正小标宋简体" w:eastAsia="方正小标宋简体" w:cs="方正小标宋简体"/>
          <w:sz w:val="44"/>
          <w:szCs w:val="44"/>
        </w:rPr>
      </w:pPr>
    </w:p>
    <w:p>
      <w:pPr>
        <w:spacing w:line="540" w:lineRule="exact"/>
        <w:jc w:val="center"/>
        <w:rPr>
          <w:rFonts w:ascii="方正小标宋简体" w:hAnsi="方正小标宋简体" w:eastAsia="方正小标宋简体" w:cs="方正小标宋简体"/>
          <w:sz w:val="36"/>
          <w:szCs w:val="36"/>
        </w:rPr>
      </w:pPr>
    </w:p>
    <w:p>
      <w:pPr>
        <w:spacing w:line="540" w:lineRule="exact"/>
        <w:jc w:val="center"/>
        <w:rPr>
          <w:rFonts w:ascii="方正小标宋简体" w:hAnsi="方正小标宋简体" w:eastAsia="方正小标宋简体" w:cs="方正小标宋简体"/>
          <w:sz w:val="36"/>
          <w:szCs w:val="36"/>
        </w:rPr>
      </w:pPr>
    </w:p>
    <w:p>
      <w:pPr>
        <w:spacing w:line="540" w:lineRule="exact"/>
        <w:jc w:val="left"/>
        <w:rPr>
          <w:rFonts w:hint="eastAsia" w:ascii="方正小标宋简体" w:hAnsi="方正小标宋简体" w:eastAsia="方正小标宋简体" w:cs="方正小标宋简体"/>
          <w:sz w:val="18"/>
          <w:szCs w:val="18"/>
          <w:lang w:val="en-US" w:eastAsia="zh-CN"/>
        </w:rPr>
      </w:pPr>
    </w:p>
    <w:p>
      <w:pPr>
        <w:spacing w:line="540" w:lineRule="exact"/>
        <w:jc w:val="left"/>
        <w:rPr>
          <w:rFonts w:hint="eastAsia" w:ascii="方正小标宋简体" w:hAnsi="方正小标宋简体" w:eastAsia="方正小标宋简体" w:cs="方正小标宋简体"/>
          <w:sz w:val="18"/>
          <w:szCs w:val="18"/>
          <w:lang w:eastAsia="zh-CN"/>
        </w:rPr>
      </w:pPr>
    </w:p>
    <w:p>
      <w:pPr>
        <w:spacing w:line="540" w:lineRule="exact"/>
        <w:jc w:val="left"/>
        <w:rPr>
          <w:rFonts w:hint="eastAsia" w:ascii="方正小标宋简体" w:hAnsi="方正小标宋简体" w:eastAsia="方正小标宋简体" w:cs="方正小标宋简体"/>
          <w:sz w:val="18"/>
          <w:szCs w:val="18"/>
          <w:lang w:eastAsia="zh-CN"/>
        </w:rPr>
      </w:pPr>
    </w:p>
    <w:p>
      <w:pPr>
        <w:spacing w:line="540" w:lineRule="exact"/>
        <w:jc w:val="left"/>
        <w:rPr>
          <w:rFonts w:hint="eastAsia" w:ascii="方正小标宋简体" w:hAnsi="方正小标宋简体" w:eastAsia="方正小标宋简体" w:cs="方正小标宋简体"/>
          <w:sz w:val="48"/>
          <w:szCs w:val="48"/>
          <w:lang w:eastAsia="zh-CN"/>
        </w:rPr>
      </w:pPr>
      <w:r>
        <w:rPr>
          <w:rFonts w:hint="eastAsia" w:ascii="方正小标宋简体" w:hAnsi="方正小标宋简体" w:eastAsia="方正小标宋简体" w:cs="方正小标宋简体"/>
          <w:sz w:val="18"/>
          <w:szCs w:val="18"/>
          <w:lang w:eastAsia="zh-CN"/>
        </w:rPr>
        <w:t>表</w:t>
      </w:r>
      <w:r>
        <w:rPr>
          <w:rFonts w:hint="eastAsia" w:ascii="方正小标宋简体" w:hAnsi="方正小标宋简体" w:eastAsia="方正小标宋简体" w:cs="方正小标宋简体"/>
          <w:sz w:val="18"/>
          <w:szCs w:val="18"/>
          <w:lang w:val="en-US" w:eastAsia="zh-CN"/>
        </w:rPr>
        <w:t xml:space="preserve">1                    </w:t>
      </w:r>
      <w:r>
        <w:rPr>
          <w:rFonts w:hint="eastAsia" w:ascii="方正小标宋简体" w:hAnsi="方正小标宋简体" w:eastAsia="方正小标宋简体" w:cs="方正小标宋简体"/>
          <w:sz w:val="48"/>
          <w:szCs w:val="48"/>
          <w:lang w:val="en-US" w:eastAsia="zh-CN"/>
        </w:rPr>
        <w:t>阿坝县民政局部门责任清单</w:t>
      </w:r>
    </w:p>
    <w:tbl>
      <w:tblPr>
        <w:tblStyle w:val="5"/>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0"/>
        <w:gridCol w:w="7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主体责任</w:t>
            </w:r>
          </w:p>
        </w:tc>
        <w:tc>
          <w:tcPr>
            <w:tcW w:w="7110" w:type="dxa"/>
            <w:vAlign w:val="center"/>
          </w:tcPr>
          <w:p>
            <w:pPr>
              <w:keepNext w:val="0"/>
              <w:keepLines w:val="0"/>
              <w:pageBreakBefore w:val="0"/>
              <w:kinsoku/>
              <w:wordWrap/>
              <w:overflowPunct/>
              <w:topLinePunct w:val="0"/>
              <w:autoSpaceDE/>
              <w:autoSpaceDN w:val="0"/>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（一）贯彻执行党和国家有关民政工作的方针政策和法律法规，拟订全县民政事业发展规划、工作计划和政策并组织实施和监督检查。</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（二）依法对社会团体和民办非企业单位进行登记管理和监督。</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（三）拟订全县优抚政策、标准和办法，负责各类优抚对象的优待、 抚恤、补助和国家机关工作人员伤亡抚恤工作，负责烈士申报审核和褒扬工作，组织和指导全县拥军优属工作，承担全县拥军优属拥政爱民工作领导小组的具体工作。</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 xml:space="preserve"> (四）拟订退役士兵、复员干部、移交地方政府安置的军队离退休干部和军队无军籍退休退职职工安置政策及计划并组织实施，指导退役士兵职业技能培训和就业工作。</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（五）拟订救灾工作政策，负责组织、协调救灾工作，组织自然灾害救助应急体系建设，负责组织核查并统一发布灾情，管理、分配中央、 省、州及县本级救灾款物并监督使用，组织、指导救灾捐赠。</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（六）牵头拟订全县社会救助规划、政策和标准，健全城乡社会救助体系，负责城乡居民最低生活保障、五保、医疗救助、临时救助和生活无着人员救助工作。</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七）执行国家行政区划管理政策和行政区域界线、地名管理条例规定办法，负责全县乡镇以上行政区域的设立、撤销、变更和政府驻地迁移以及乡镇以上行政区划名称命名、更名的审核上报工作；负责县内地名命名、更名的审核上报工作。组织、指导全县行政区域界线的勘定和管理工作，调处行政区域边界争议，发布标准地名，规范地名 标志的设置和管理。</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（八）拟订全县城乡基层群众自治建设和社区建设政策并指导实施， 指导社区服务体系建设，提出加强和改进城乡基层政权建设的建议， 指导村（居）民委员会开展民主选举、民主决策、民主管理和民主监督工作，推动基层民主政治建设。</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九）拟订全县社会福利事业发展规划、政策和标准，拟订社会福利机构管理办法并指导实施，组织拟订促进慈善事业的政策，负责福利彩票管理工作，组织、指导社会捐助工作，指导老年人、孤儿和残疾人等特殊群体权益保障工作，负责假肢行业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（十）拟订婚姻、殡葬和儿童收养管理政策并组织实施，负责推进婚俗和殡葬改革，指导婚姻、殡葬、救助服务管理工作。</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（十一）会同有关部门拟订全县社会工作发展规划、政策和职业规范，推进社会工作人才队伍建设和相关志愿者队伍建设。</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（十二）指导、监督民政事业经费的使用和管理，负责民政统计管理工作。</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（十三）承担县政府公布的有关行政审批事项。</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 xml:space="preserve">（十四）承办县政府交办的其他事项。    </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207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职责边界</w:t>
            </w:r>
          </w:p>
        </w:tc>
        <w:tc>
          <w:tcPr>
            <w:tcW w:w="711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负责社会团体的成立、变更、注销的登记或者备案；对社会团体实施年度检查；对社会团体违反《社会团体登记管理条例》等有关规定的行为进行监督检查，对社会团体相关违法行为给予行政处罚</w:t>
            </w:r>
          </w:p>
        </w:tc>
      </w:tr>
    </w:tbl>
    <w:p>
      <w:pPr>
        <w:keepNext w:val="0"/>
        <w:keepLines w:val="0"/>
        <w:pageBreakBefore w:val="0"/>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                           阿坝县民政局行政许可事项责任清单</w:t>
      </w:r>
    </w:p>
    <w:tbl>
      <w:tblPr>
        <w:tblStyle w:val="5"/>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1"/>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2061"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序号</w:t>
            </w:r>
          </w:p>
        </w:tc>
        <w:tc>
          <w:tcPr>
            <w:tcW w:w="7119"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52" w:firstLineChars="0"/>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2061"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权利类型</w:t>
            </w:r>
          </w:p>
        </w:tc>
        <w:tc>
          <w:tcPr>
            <w:tcW w:w="7119"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061"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权力项目名称</w:t>
            </w:r>
          </w:p>
        </w:tc>
        <w:tc>
          <w:tcPr>
            <w:tcW w:w="7119"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社会团体成立、变更、注销登记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2061"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实施依据</w:t>
            </w:r>
          </w:p>
        </w:tc>
        <w:tc>
          <w:tcPr>
            <w:tcW w:w="7119" w:type="dxa"/>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一、社团成立登记  1、《社会团体登记管理条例》第11条 申请筹备成立社会团体，发起人应当向登记管理机关提交下列文件：（一）筹备申请书；（二）业务主管单位的批准文件；（三）验资报告、场所使用权证明；（四）发起人和拟任负责人的基本情况、身份证明；（五）章程草案。</w:t>
            </w:r>
          </w:p>
          <w:p>
            <w:pPr>
              <w:keepNext w:val="0"/>
              <w:keepLines w:val="0"/>
              <w:pageBreakBefore w:val="0"/>
              <w:widowControl/>
              <w:shd w:val="clear" w:color="auto" w:fill="FFFFFF"/>
              <w:kinsoku/>
              <w:wordWrap/>
              <w:overflowPunct/>
              <w:topLinePunct w:val="0"/>
              <w:autoSpaceDE/>
              <w:bidi w:val="0"/>
              <w:adjustRightInd/>
              <w:snapToGrid/>
              <w:spacing w:line="560" w:lineRule="exact"/>
              <w:ind w:firstLine="240" w:firstLineChars="1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2、《社会团体登记管理条例》第32条 社会团体在申请登记时弄虚作假，骗取登记的，或者自取得《社会团体法人登记证书》之日起１年未开展活动的，由登记管理机关予以撤销登记。</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二、社团变更登记   1、《社会团体登记管理条例》第18条 申请变更社会团体，发起人应当向登记管理机关提交下列文件：（一）《社会团体变更登记申请表》；（二）《社会团体法定代表人登记表》；（三）新任法定代表人没有担任其他社团法定代表人的声明；（四）会计师事务所出具的前任法定代表人的离任审计报告；（五）按章程规定履行内部程序的会议纪要（加盖公章）六、《社会团体法人登记证书》正副本。</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三、社团注销登记  1、《社会团体登记管理条例》第21条 申请注销社会团体，发起人应当向登记管理机关提交下列文件：（一）注销登记申请书（写明注销的原因、清算的情况及其他需要说明的重要事项；社会团体法定代表人签字并加盖公章）；</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（二）业务主管单位审查同意注销登记的文件（明确同意注销并认可清算结果和剩余财产的处理；直接登记类的不提交）；</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（三）《社会团体法人注销申请表》；</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（四）社会团体清算报告书（清算小组成员签字）；</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（五）债权债务和剩余财产处理情况报告（加盖社会团体公章、业务主管单位签署意见并盖章）；</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（六）会计师事务所出具的清算审计报告；</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（七）依照章程规定的程序决定注销登记的会员大会（或会员代表大会）的会议纪要（加盖公章）；</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（八）在公开发行并覆盖全省范围的报刊上刊登债权债务公告（提交报纸原件）；</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sz w:val="24"/>
                <w:szCs w:val="24"/>
              </w:rPr>
              <w:t>（九）《社会团体法人登记证书》正副本</w:t>
            </w:r>
            <w:r>
              <w:rPr>
                <w:rFonts w:hint="eastAsia" w:ascii="仿宋_GB2312" w:hAnsi="仿宋_GB2312" w:eastAsia="仿宋_GB2312" w:cs="仿宋_GB2312"/>
                <w:color w:val="000000"/>
                <w:sz w:val="24"/>
                <w:szCs w:val="24"/>
              </w:rPr>
              <w:t>。</w:t>
            </w:r>
          </w:p>
          <w:p>
            <w:pPr>
              <w:keepNext w:val="0"/>
              <w:keepLines w:val="0"/>
              <w:pageBreakBefore w:val="0"/>
              <w:widowControl/>
              <w:shd w:val="clear" w:color="auto" w:fill="FFFFFF"/>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sz w:val="24"/>
                <w:szCs w:val="24"/>
              </w:rPr>
            </w:pPr>
          </w:p>
          <w:p>
            <w:pPr>
              <w:keepNext w:val="0"/>
              <w:keepLines w:val="0"/>
              <w:pageBreakBefore w:val="0"/>
              <w:widowControl/>
              <w:shd w:val="clear" w:color="auto" w:fill="FFFFFF"/>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kern w:val="0"/>
                <w:sz w:val="24"/>
                <w:szCs w:val="24"/>
              </w:rPr>
            </w:pPr>
            <w:r>
              <w:rPr>
                <w:rFonts w:hint="eastAsia" w:ascii="仿宋_GB2312" w:hAnsi="仿宋_GB2312" w:eastAsia="仿宋_GB2312" w:cs="仿宋_GB2312"/>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2061"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责任主体</w:t>
            </w:r>
          </w:p>
        </w:tc>
        <w:tc>
          <w:tcPr>
            <w:tcW w:w="7119"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阿坝县</w:t>
            </w:r>
            <w:r>
              <w:rPr>
                <w:rFonts w:hint="eastAsia" w:ascii="仿宋_GB2312" w:hAnsi="仿宋_GB2312" w:eastAsia="仿宋_GB2312" w:cs="仿宋_GB2312"/>
                <w:sz w:val="24"/>
                <w:szCs w:val="24"/>
              </w:rPr>
              <w:t>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2061"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责任事项</w:t>
            </w:r>
          </w:p>
        </w:tc>
        <w:tc>
          <w:tcPr>
            <w:tcW w:w="7119"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1.受理责任：公示应当提交的材料，一次性告知补正材料，依法受理或不予受理（不予受理应当告知理由）。</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2.审查责任：按照国务院《社会团体登记管理条例》，对书面申请材料进行审查，提出是否同意成立的审核意见，必要时可组织现场查验。</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3.决定责任：作出行政许可或者不予行政许可决定，法定告知（不予许可的，应当告知理由）。</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4.事后监管责任：建立实施监督检查的运行机制和管理制度，开展定期和不定期检查，依法采取相关处置措施。</w:t>
            </w:r>
          </w:p>
          <w:p>
            <w:pPr>
              <w:keepNext w:val="0"/>
              <w:keepLines w:val="0"/>
              <w:pageBreakBefore w:val="0"/>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2061"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责任事项依据</w:t>
            </w:r>
          </w:p>
        </w:tc>
        <w:tc>
          <w:tcPr>
            <w:tcW w:w="7119"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社会团体登记管理条例》第十一条：“申请筹备成立社会团体，发起人应当向登记管理机关提交下列文件：（一）筹备申请书；（二）业务主管单位的批准文件；（三）验资报告、场所使用权证明；（四）发起人和拟任负责人的基本情况、身份证明；（五）章程草案”。第十三条：“有下列情形之一的，登记管理机关不予批准筹备：（一）有根据证明申请筹备的社会团体的宗旨、范围不符合本条例第十四条的规定的；（二）在同一行政区域内已业务范围相同或者相似的社会团体，没有必要成立的；（三）发起人、拟任负责人正在或者曾经受到剥夺政治权利的刑事处罚，或者不具有完全民事行为能力的；（四）在申请筹备时弄虚作假的；（五）有法律、行政法规禁止的其他情形的”。</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社会团体登记管理条例》第十二条：“登记管理机关应当自收到本条例条十一条所列全部有效文件之日起60日内，作出批准或者不批准筹备的决定；不批准的，应当向发起人说明理由”。第十六条：“登记管理机关应当自收到完成筹备工作的社会团体的登记申请书及有关文件之日起30日内完成审查工作。对没有本条例第十三条所列情形，且筹备工作符合要求、章程内容完备的社会团体，准予登记，发给《社会团体法人登记证书》”。</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社会团体登记管理条例》第二十七条：“登记管理机关发行下列监督管理职责：（一）负责社会团体的成立、变更、注销的登记或者备案；（二）对社会团体实施年度检查；（三）对社会团体违反本条例的问题进行监督检查，对社会团体违反本条例的行为给予行政处罚”。</w:t>
            </w:r>
          </w:p>
          <w:p>
            <w:pPr>
              <w:keepNext w:val="0"/>
              <w:keepLines w:val="0"/>
              <w:pageBreakBefore w:val="0"/>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5.《社会团体登记管理条例》第三十二条：“社会团体在申请登记时弄虚作假，骗取登记的，或者自取得《社会团体法人登记证书》之日起1年未开展活动的，由登记管理机关予以撤销登记”。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2" w:hRule="atLeast"/>
        </w:trPr>
        <w:tc>
          <w:tcPr>
            <w:tcW w:w="2061"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问责依据</w:t>
            </w:r>
          </w:p>
        </w:tc>
        <w:tc>
          <w:tcPr>
            <w:tcW w:w="7119"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对不履行或不正确履行行政职责的行政机关及工作人员，依据《中华人民共和国监察法》、《机关公务员处分条例》、《四川省监督管理条例》、《四川省机关工作人员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2" w:hRule="atLeast"/>
        </w:trPr>
        <w:tc>
          <w:tcPr>
            <w:tcW w:w="2061"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监督电话</w:t>
            </w:r>
          </w:p>
        </w:tc>
        <w:tc>
          <w:tcPr>
            <w:tcW w:w="7119"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2482383</w:t>
            </w:r>
          </w:p>
        </w:tc>
      </w:tr>
    </w:tbl>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left"/>
        <w:textAlignment w:val="auto"/>
        <w:outlineLvl w:val="9"/>
        <w:rPr>
          <w:rFonts w:hint="eastAsia" w:ascii="仿宋_GB2312" w:hAnsi="仿宋_GB2312" w:eastAsia="仿宋_GB2312" w:cs="仿宋_GB2312"/>
          <w:sz w:val="24"/>
          <w:szCs w:val="24"/>
          <w:lang w:eastAsia="zh-CN"/>
        </w:rPr>
      </w:pPr>
    </w:p>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p>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p>
    <w:tbl>
      <w:tblPr>
        <w:tblStyle w:val="5"/>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7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序号</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权利类型</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权力项目名称</w:t>
            </w:r>
          </w:p>
        </w:tc>
        <w:tc>
          <w:tcPr>
            <w:tcW w:w="7920" w:type="dxa"/>
          </w:tcPr>
          <w:p>
            <w:pPr>
              <w:keepNext w:val="0"/>
              <w:keepLines w:val="0"/>
              <w:pageBreakBefore w:val="0"/>
              <w:widowControl/>
              <w:shd w:val="clear" w:color="auto" w:fill="FFFFFF"/>
              <w:kinsoku/>
              <w:wordWrap/>
              <w:overflowPunct/>
              <w:topLinePunct w:val="0"/>
              <w:autoSpaceDE/>
              <w:bidi w:val="0"/>
              <w:adjustRightInd/>
              <w:snapToGrid/>
              <w:spacing w:before="78" w:line="560" w:lineRule="exact"/>
              <w:textAlignment w:val="auto"/>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sz w:val="24"/>
                <w:szCs w:val="24"/>
              </w:rPr>
              <w:t>民办非企业单位成立、变更、注销登记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实施依据</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1.受理责任：公示应当提交的材料，一次性告知补正材料，依法受理或不予受理（不予受理应当告知理由）。</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2.审查责任：按照国务院《民办非企业单位登记管理暂行条例》，对书面申请材料进行审查，提出是否同意成立的审核意见，必要时可组织现场查验。</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3.决定责任：作出行政许可或者不予行政许可决定，法定告知（不予许可的，应当告知理由）。</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4.事后监管责任：建立实施监督检查的运行机制和管理制度，开展定期和不定期检查，依法采取相关处置措施。</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责任主体</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1.受理责任：公示应当提交的材料，一次性告知补正材料，依法受理或不予受理（不予受理应当告知理由）。</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2.审查责任：按照国务院《民办非企业单位登记管理暂行条例》，对书面申请材料进行审查，提出是否同意成立的审核意见，必要时可组织现场查验。</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3.决定责任：作出行政许可或者不予行政许可决定，法定告知（不予许可的，应当告知理由）。</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4.事后监管责任：建立实施监督检查的运行机制和管理制度，开展定期和不定期检查，依法采取相关处置措施。</w:t>
            </w:r>
          </w:p>
          <w:p>
            <w:pPr>
              <w:keepNext w:val="0"/>
              <w:keepLines w:val="0"/>
              <w:pageBreakBefore w:val="0"/>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责任事项</w:t>
            </w:r>
          </w:p>
        </w:tc>
        <w:tc>
          <w:tcPr>
            <w:tcW w:w="7920" w:type="dxa"/>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bidi w:val="0"/>
              <w:adjustRightInd/>
              <w:snapToGrid/>
              <w:spacing w:before="0" w:beforeAutospacing="0" w:after="0" w:afterAutospacing="0" w:line="560" w:lineRule="exact"/>
              <w:ind w:right="0"/>
              <w:jc w:val="left"/>
              <w:textAlignment w:val="auto"/>
              <w:rPr>
                <w:rFonts w:hint="eastAsia" w:ascii="仿宋_GB2312" w:hAnsi="仿宋_GB2312" w:eastAsia="仿宋_GB2312" w:cs="仿宋_GB2312"/>
                <w:b w:val="0"/>
                <w:i w:val="0"/>
                <w:caps w:val="0"/>
                <w:color w:val="000000"/>
                <w:spacing w:val="0"/>
                <w:sz w:val="24"/>
                <w:szCs w:val="24"/>
              </w:rPr>
            </w:pPr>
            <w:r>
              <w:rPr>
                <w:rFonts w:hint="eastAsia" w:ascii="仿宋_GB2312" w:hAnsi="仿宋_GB2312" w:eastAsia="仿宋_GB2312" w:cs="仿宋_GB2312"/>
                <w:b w:val="0"/>
                <w:i w:val="0"/>
                <w:caps w:val="0"/>
                <w:color w:val="000000"/>
                <w:spacing w:val="0"/>
                <w:sz w:val="24"/>
                <w:szCs w:val="24"/>
                <w:shd w:val="clear" w:fill="FFFFFF"/>
              </w:rPr>
              <w:t>因不履行或不正确履行行政职责，出现以下情形的，行政机关及相关工作人员应承担相应责任：1、对符合法定条件的民办非企业单位登记申请不予受理的、不予行政许可或者不在法定期限内作出准予行政许可决定的；2、未说明不受理民办非企业登记申请或者不予行政许可的理由的；3、对不符合法定条件的民办非企业准予行政许可或者超越法定职权作出准予行政许可决定的；4、工作人员滥用职权、徇私舞弊、玩忽职守的。5、不依法履行监督职责或者监督不力，造成严重后果的；6、其他违反法律法规规章文件规定的行为。</w:t>
            </w:r>
          </w:p>
          <w:p>
            <w:pPr>
              <w:keepNext w:val="0"/>
              <w:keepLines w:val="0"/>
              <w:pageBreakBefore w:val="0"/>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责任事项依据</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民办非企业单位登记管理暂行条例》第八条：“申请登记民办非企业单位，应当具备下列条件：（一）经业务主管单位审查同意；（二）有规范的名称、必要的组织机构；（三）有与其业务活动相适应的从业人员；（四）有与其业务活动相适应的合法财产；（五）有必要的场所。民办非企业单位的名称应当符合国务院民政部门的规定，不得冠以‘中国’、‘全国’、‘中华’等字样”。第九条：“申请民办非企业单位登记，举办都应当向登记管理机关提交下列文件：（一）登记申请书；（二）业务主管单位的批准文件；（三）场所使用权证明；（四）验资报告；（五）拟任负责人的基本情况、身份证明；（六）章程草案”。</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-1.《民办非企业单位登记管理暂行条例》第十一条：“登记管理机关应当自收到成立登记申请的全部有效文件之日起60日内作出准予登记或者不准予登记的决定。有下列情形之一的，登记管理机关不予登记，并向申请人说明理由：（一）有根据证明申请登记的民办非企业单位的宗旨、业务范围不条例本符合第四条规定的；（二）在申请成立时弄虚作假的；（三）在同一行政区域内已有业务范围相同或者相似的民办非企业单位，没有必要成立的；（四）拟任负责正在或者曾经受到剥夺政治权利的刑事处罚，或者不具有完全民事行为能力的；（五）有法律、行政法规禁止的其他情形的”。第十五条：“民办非企业单位的登记事项需要变更的，应当自业务主管单位审查同意之日起30日内，向登记管理机关申请变更登记”。</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-2．《民办非企业单位登记暂行办法》第八条：“经审核准予登记的，登记管理机关应当书面通知民办非企业单位，并根据其依法承担民事责任的不同方式，分别发给《民办非企业单位（法人）登记证书》、《民办非企业单位（合伙）登记证书》或《民办非企业单位（个体）登记证书》。对不予登记的，登记管理机关应当书面通知申请单位或者个人”。</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民办非企业单位登记管理暂行条例》第十一条：“登记管理机关履行下列监督管理职责：（一）负责民办非企业单位的成立、变更、注销登记；（二）对民办非企业单位实施年度检查；（三）对民办非企业单位违反本条例的问题进行监督检查，对民办非企业单位违反本条例的行为给予行政处罚”。第二十一条：“民办非企业单位的资产来源必须合法，任何单位和个人不得侵占、私分或者挪用民办非企业单位的资产”。第二十四条：“民办非企业单位在申请登记时弄虚作假、骗取登记的，或者业务主管单位撤销批准的，由登记管理机关予以撤销登记”。</w:t>
            </w:r>
          </w:p>
          <w:p>
            <w:pPr>
              <w:keepNext w:val="0"/>
              <w:keepLines w:val="0"/>
              <w:pageBreakBefore w:val="0"/>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5.《民办非企业单位登记暂行办法》第二十七条：“经核准登记的民办非企业单位开立</w:t>
            </w:r>
            <w:r>
              <w:rPr>
                <w:rFonts w:hint="eastAsia" w:ascii="仿宋_GB2312" w:hAnsi="仿宋_GB2312" w:eastAsia="仿宋_GB2312" w:cs="仿宋_GB2312"/>
                <w:sz w:val="24"/>
                <w:szCs w:val="24"/>
                <w:lang w:eastAsia="zh-CN"/>
              </w:rPr>
              <w:t>银行账户</w:t>
            </w:r>
            <w:r>
              <w:rPr>
                <w:rFonts w:hint="eastAsia" w:ascii="仿宋_GB2312" w:hAnsi="仿宋_GB2312" w:eastAsia="仿宋_GB2312" w:cs="仿宋_GB2312"/>
                <w:sz w:val="24"/>
                <w:szCs w:val="24"/>
              </w:rPr>
              <w:t>，应按照民政部、中国人民银行联合发布的《关于民办非企业单位开立</w:t>
            </w:r>
            <w:r>
              <w:rPr>
                <w:rFonts w:hint="eastAsia" w:ascii="仿宋_GB2312" w:hAnsi="仿宋_GB2312" w:eastAsia="仿宋_GB2312" w:cs="仿宋_GB2312"/>
                <w:sz w:val="24"/>
                <w:szCs w:val="24"/>
                <w:lang w:eastAsia="zh-CN"/>
              </w:rPr>
              <w:t>银行账户</w:t>
            </w:r>
            <w:r>
              <w:rPr>
                <w:rFonts w:hint="eastAsia" w:ascii="仿宋_GB2312" w:hAnsi="仿宋_GB2312" w:eastAsia="仿宋_GB2312" w:cs="仿宋_GB2312"/>
                <w:sz w:val="24"/>
                <w:szCs w:val="24"/>
              </w:rPr>
              <w:t>有关问题的通知》的有关规定办理。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问责依据</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eastAsia="zh-CN"/>
              </w:rPr>
              <w:t>对不履行或不正确履行行政职责的行政机关及工作人员，依据《中华人民共和国监察法》、《机关公务员处分条例》、《四川省执法监督管理条例》、《四川省机关工作人员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监督电话</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2482383</w:t>
            </w:r>
          </w:p>
        </w:tc>
      </w:tr>
    </w:tbl>
    <w:p>
      <w:pPr>
        <w:keepNext w:val="0"/>
        <w:keepLines w:val="0"/>
        <w:pageBreakBefore w:val="0"/>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sz w:val="24"/>
          <w:szCs w:val="24"/>
        </w:rPr>
      </w:pPr>
    </w:p>
    <w:tbl>
      <w:tblPr>
        <w:tblStyle w:val="5"/>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7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序号</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权利类型</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权力项目名称</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社会团体修改章程核准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实施依据</w:t>
            </w:r>
          </w:p>
        </w:tc>
        <w:tc>
          <w:tcPr>
            <w:tcW w:w="7920" w:type="dxa"/>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color w:val="000000"/>
                <w:sz w:val="24"/>
                <w:szCs w:val="24"/>
              </w:rPr>
              <w:t>《</w:t>
            </w:r>
            <w:r>
              <w:rPr>
                <w:rFonts w:hint="eastAsia" w:ascii="仿宋_GB2312" w:hAnsi="仿宋_GB2312" w:eastAsia="仿宋_GB2312" w:cs="仿宋_GB2312"/>
                <w:sz w:val="24"/>
                <w:szCs w:val="24"/>
              </w:rPr>
              <w:t>民办非企业单位登记管理暂行条例》第18条 申请社会团体修改章程核准，发起人应当向登记管理机关提交下列文件：</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（一）《社会团体章程核准表》（编号：05）；</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（二）原核准的章程；</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（三）会员大会（或会员代表大会）通过的新章程；</w:t>
            </w:r>
          </w:p>
          <w:p>
            <w:pPr>
              <w:keepNext w:val="0"/>
              <w:keepLines w:val="0"/>
              <w:pageBreakBefore w:val="0"/>
              <w:kinsoku/>
              <w:wordWrap/>
              <w:overflowPunct/>
              <w:topLinePunct w:val="0"/>
              <w:autoSpaceDE/>
              <w:bidi w:val="0"/>
              <w:adjustRightInd/>
              <w:snapToGrid/>
              <w:spacing w:line="560" w:lineRule="exact"/>
              <w:ind w:firstLine="472" w:firstLineChars="197"/>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sz w:val="24"/>
                <w:szCs w:val="24"/>
              </w:rPr>
              <w:t>（四）按章程规定履行内部程序的会议纪要（加盖公章章。</w:t>
            </w:r>
          </w:p>
          <w:p>
            <w:pPr>
              <w:keepNext w:val="0"/>
              <w:keepLines w:val="0"/>
              <w:pageBreakBefore w:val="0"/>
              <w:widowControl/>
              <w:shd w:val="clear" w:color="auto" w:fill="FFFFFF"/>
              <w:kinsoku/>
              <w:wordWrap/>
              <w:overflowPunct/>
              <w:topLinePunct w:val="0"/>
              <w:autoSpaceDE/>
              <w:bidi w:val="0"/>
              <w:adjustRightInd/>
              <w:snapToGrid/>
              <w:spacing w:before="78" w:line="560" w:lineRule="exact"/>
              <w:ind w:firstLine="561" w:firstLineChars="234"/>
              <w:textAlignment w:val="auto"/>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 xml:space="preserve"> </w:t>
            </w:r>
          </w:p>
          <w:p>
            <w:pPr>
              <w:keepNext w:val="0"/>
              <w:keepLines w:val="0"/>
              <w:pageBreakBefore w:val="0"/>
              <w:widowControl/>
              <w:shd w:val="clear" w:color="auto" w:fill="FFFFFF"/>
              <w:kinsoku/>
              <w:wordWrap/>
              <w:overflowPunct/>
              <w:topLinePunct w:val="0"/>
              <w:autoSpaceDE/>
              <w:bidi w:val="0"/>
              <w:adjustRightInd/>
              <w:snapToGrid/>
              <w:spacing w:line="560" w:lineRule="exact"/>
              <w:ind w:firstLine="240" w:firstLineChars="100"/>
              <w:jc w:val="left"/>
              <w:textAlignment w:val="auto"/>
              <w:rPr>
                <w:rFonts w:hint="eastAsia"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责任主体</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阿坝</w:t>
            </w:r>
            <w:r>
              <w:rPr>
                <w:rFonts w:hint="eastAsia" w:ascii="仿宋_GB2312" w:hAnsi="仿宋_GB2312" w:eastAsia="仿宋_GB2312" w:cs="仿宋_GB2312"/>
                <w:sz w:val="24"/>
                <w:szCs w:val="24"/>
              </w:rPr>
              <w:t>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责任事项</w:t>
            </w:r>
          </w:p>
        </w:tc>
        <w:tc>
          <w:tcPr>
            <w:tcW w:w="7920" w:type="dxa"/>
            <w:vAlign w:val="center"/>
          </w:tcPr>
          <w:p>
            <w:pPr>
              <w:keepNext w:val="0"/>
              <w:keepLines w:val="0"/>
              <w:pageBreakBefore w:val="0"/>
              <w:kinsoku/>
              <w:wordWrap/>
              <w:overflowPunct/>
              <w:topLinePunct w:val="0"/>
              <w:autoSpaceDE/>
              <w:bidi w:val="0"/>
              <w:adjustRightInd/>
              <w:snapToGrid/>
              <w:spacing w:line="560" w:lineRule="exact"/>
              <w:ind w:firstLine="480" w:firstLineChars="200"/>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受理责任：公示办理许可的条件、程序以及申请人所需提交的材料，申请资料齐全、符合法定形式的，应当受理申请；申请资料不齐全或者不符合法定形式的，应当当场一次告知申请人需要补正的全部内容；不符合条件的不予受理，告知申请人并说明不予受理原因。                    2 审查责任：材料审核（主要包括修改章程核准表、新章程等法定材料）；提出审查意见。</w:t>
            </w:r>
          </w:p>
          <w:p>
            <w:pPr>
              <w:keepNext w:val="0"/>
              <w:keepLines w:val="0"/>
              <w:pageBreakBefore w:val="0"/>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 决定责任：审核通过，作出同意修改章程的决定，在《修改章程核准表》内签署意见并加盖公章。按时办结许可。</w:t>
            </w:r>
          </w:p>
          <w:p>
            <w:pPr>
              <w:keepNext w:val="0"/>
              <w:keepLines w:val="0"/>
              <w:pageBreakBefore w:val="0"/>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4送达责任：  准予许可的，制发《修改章程核准表》，送达并信息公开。</w:t>
            </w:r>
          </w:p>
          <w:p>
            <w:pPr>
              <w:keepNext w:val="0"/>
              <w:keepLines w:val="0"/>
              <w:pageBreakBefore w:val="0"/>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 监管责任：建立实施监督检查的运行机制和管理制度，开展定期和不定期检查，依法采取相关处置措施。</w:t>
            </w:r>
          </w:p>
          <w:p>
            <w:pPr>
              <w:keepNext w:val="0"/>
              <w:keepLines w:val="0"/>
              <w:pageBreakBefore w:val="0"/>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6 法律法规规定的其他责任。</w:t>
            </w:r>
          </w:p>
          <w:p>
            <w:pPr>
              <w:keepNext w:val="0"/>
              <w:keepLines w:val="0"/>
              <w:pageBreakBefore w:val="0"/>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责任事项依据</w:t>
            </w:r>
          </w:p>
        </w:tc>
        <w:tc>
          <w:tcPr>
            <w:tcW w:w="7920" w:type="dxa"/>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bidi w:val="0"/>
              <w:adjustRightInd/>
              <w:snapToGrid/>
              <w:spacing w:before="225" w:beforeAutospacing="0" w:after="0" w:afterAutospacing="0" w:line="560" w:lineRule="exact"/>
              <w:ind w:left="0" w:right="0" w:firstLine="420"/>
              <w:textAlignment w:val="auto"/>
              <w:rPr>
                <w:rFonts w:hint="eastAsia" w:ascii="仿宋_GB2312" w:hAnsi="仿宋_GB2312" w:eastAsia="仿宋_GB2312" w:cs="仿宋_GB2312"/>
                <w:b w:val="0"/>
                <w:i w:val="0"/>
                <w:caps w:val="0"/>
                <w:color w:val="333333"/>
                <w:spacing w:val="0"/>
                <w:sz w:val="24"/>
                <w:szCs w:val="24"/>
              </w:rPr>
            </w:pPr>
            <w:r>
              <w:rPr>
                <w:rFonts w:hint="eastAsia" w:ascii="仿宋_GB2312" w:hAnsi="仿宋_GB2312" w:eastAsia="仿宋_GB2312" w:cs="仿宋_GB2312"/>
                <w:b w:val="0"/>
                <w:i w:val="0"/>
                <w:caps w:val="0"/>
                <w:color w:val="333333"/>
                <w:spacing w:val="0"/>
                <w:sz w:val="24"/>
                <w:szCs w:val="24"/>
                <w:shd w:val="clear" w:fill="FFFFFF"/>
              </w:rPr>
              <w:t>《社会团体登记管理条例》（国务院令第250号）第六条：“国务院民政部门和县级以上地方各级人民政府民政部门是本级人民政府的社会团体登记管理机关（以下简称登记管理机关）。国务院有关部门和县级以上地方各级人民政府有关部门、国务院或者县级以上地方各级人民政府授权的组织，是有关行业、学科或者业务范围内社会团体的业务主管单位（以下简称业务主管单位）。法律、行政法规对社会团体的监督管理另有规定的，依照有关法律、行政法规的规定执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bidi w:val="0"/>
              <w:adjustRightInd/>
              <w:snapToGrid/>
              <w:spacing w:before="225" w:beforeAutospacing="0" w:after="0" w:afterAutospacing="0" w:line="560" w:lineRule="exact"/>
              <w:ind w:left="0" w:right="0" w:firstLine="420"/>
              <w:textAlignment w:val="auto"/>
              <w:rPr>
                <w:rFonts w:hint="eastAsia" w:ascii="仿宋_GB2312" w:hAnsi="仿宋_GB2312" w:eastAsia="仿宋_GB2312" w:cs="仿宋_GB2312"/>
                <w:b w:val="0"/>
                <w:i w:val="0"/>
                <w:caps w:val="0"/>
                <w:color w:val="333333"/>
                <w:spacing w:val="0"/>
                <w:sz w:val="24"/>
                <w:szCs w:val="24"/>
              </w:rPr>
            </w:pPr>
            <w:r>
              <w:rPr>
                <w:rFonts w:hint="eastAsia" w:ascii="仿宋_GB2312" w:hAnsi="仿宋_GB2312" w:eastAsia="仿宋_GB2312" w:cs="仿宋_GB2312"/>
                <w:b w:val="0"/>
                <w:i w:val="0"/>
                <w:caps w:val="0"/>
                <w:color w:val="333333"/>
                <w:spacing w:val="0"/>
                <w:sz w:val="24"/>
                <w:szCs w:val="24"/>
                <w:shd w:val="clear" w:fill="FFFFFF"/>
              </w:rPr>
              <w:t>第七条：“全国性的社会团体，由国务院的登记管理机关负责登记管理；地方性的社会团体，由所在地人民政府的登记管理机关负责登记管理；跨行政区域的社会团体，由所跨行政区域的共同上一级人民政府的登记管理机关负责登记管理。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bidi w:val="0"/>
              <w:adjustRightInd/>
              <w:snapToGrid/>
              <w:spacing w:before="225" w:beforeAutospacing="0" w:after="0" w:afterAutospacing="0" w:line="560" w:lineRule="exact"/>
              <w:ind w:left="0" w:right="0" w:firstLine="420"/>
              <w:textAlignment w:val="auto"/>
              <w:rPr>
                <w:rFonts w:hint="eastAsia" w:ascii="仿宋_GB2312" w:hAnsi="仿宋_GB2312" w:eastAsia="仿宋_GB2312" w:cs="仿宋_GB2312"/>
                <w:b w:val="0"/>
                <w:i w:val="0"/>
                <w:caps w:val="0"/>
                <w:color w:val="333333"/>
                <w:spacing w:val="0"/>
                <w:sz w:val="24"/>
                <w:szCs w:val="24"/>
              </w:rPr>
            </w:pPr>
            <w:r>
              <w:rPr>
                <w:rFonts w:hint="eastAsia" w:ascii="仿宋_GB2312" w:hAnsi="仿宋_GB2312" w:eastAsia="仿宋_GB2312" w:cs="仿宋_GB2312"/>
                <w:b w:val="0"/>
                <w:i w:val="0"/>
                <w:caps w:val="0"/>
                <w:color w:val="333333"/>
                <w:spacing w:val="0"/>
                <w:sz w:val="24"/>
                <w:szCs w:val="24"/>
                <w:shd w:val="clear" w:fill="FFFFFF"/>
              </w:rPr>
              <w:t>第十六条：“登记管理机关应当自收到完成筹备工作的社会团体的登记申请书及有关文件之日起３０日内完成审查工作。对没有本条例第十三条所列情形，且筹备工作符合要求、章程内容完备的社会团体，准予登记，发给《社会团体法人登记证书》。登记事项包括：（一）名称；（二）住所；（三）宗旨、业务范围和活动地域；（四）法定代表人；（五）活动资金；（六）业务主管单位。对不予登记的，应当将不予登记的决定通知申请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bidi w:val="0"/>
              <w:adjustRightInd/>
              <w:snapToGrid/>
              <w:spacing w:before="225" w:beforeAutospacing="0" w:after="0" w:afterAutospacing="0" w:line="560" w:lineRule="exact"/>
              <w:ind w:left="0" w:right="0" w:firstLine="420"/>
              <w:textAlignment w:val="auto"/>
              <w:rPr>
                <w:rFonts w:hint="eastAsia" w:ascii="仿宋_GB2312" w:hAnsi="仿宋_GB2312" w:eastAsia="仿宋_GB2312" w:cs="仿宋_GB2312"/>
                <w:b w:val="0"/>
                <w:i w:val="0"/>
                <w:caps w:val="0"/>
                <w:color w:val="333333"/>
                <w:spacing w:val="0"/>
                <w:sz w:val="24"/>
                <w:szCs w:val="24"/>
              </w:rPr>
            </w:pPr>
            <w:r>
              <w:rPr>
                <w:rFonts w:hint="eastAsia" w:ascii="仿宋_GB2312" w:hAnsi="仿宋_GB2312" w:eastAsia="仿宋_GB2312" w:cs="仿宋_GB2312"/>
                <w:b w:val="0"/>
                <w:i w:val="0"/>
                <w:caps w:val="0"/>
                <w:color w:val="333333"/>
                <w:spacing w:val="0"/>
                <w:sz w:val="24"/>
                <w:szCs w:val="24"/>
                <w:shd w:val="clear" w:fill="FFFFFF"/>
              </w:rPr>
              <w:t>第二十条：“社会团体的登记事项、备案事项需要变更的，应当自业务主管单位审查同意之日起３０日内，向登记管理机关申请变更登记、变更备案（以下统称变更登记）。社会团体修改章程，应当自业务主管单位审查同意之日起３０日内，报登记管理机关核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bidi w:val="0"/>
              <w:adjustRightInd/>
              <w:snapToGrid/>
              <w:spacing w:before="225" w:beforeAutospacing="0" w:after="0" w:afterAutospacing="0" w:line="560" w:lineRule="exact"/>
              <w:ind w:left="0" w:right="0" w:firstLine="420"/>
              <w:textAlignment w:val="auto"/>
              <w:rPr>
                <w:rFonts w:hint="eastAsia" w:ascii="仿宋_GB2312" w:hAnsi="仿宋_GB2312" w:eastAsia="仿宋_GB2312" w:cs="仿宋_GB2312"/>
                <w:b w:val="0"/>
                <w:i w:val="0"/>
                <w:caps w:val="0"/>
                <w:color w:val="333333"/>
                <w:spacing w:val="0"/>
                <w:sz w:val="24"/>
                <w:szCs w:val="24"/>
              </w:rPr>
            </w:pPr>
            <w:r>
              <w:rPr>
                <w:rFonts w:hint="eastAsia" w:ascii="仿宋_GB2312" w:hAnsi="仿宋_GB2312" w:eastAsia="仿宋_GB2312" w:cs="仿宋_GB2312"/>
                <w:b w:val="0"/>
                <w:i w:val="0"/>
                <w:caps w:val="0"/>
                <w:color w:val="333333"/>
                <w:spacing w:val="0"/>
                <w:sz w:val="24"/>
                <w:szCs w:val="24"/>
                <w:shd w:val="clear" w:fill="FFFFFF"/>
              </w:rPr>
              <w:t>第二十一条：“社会团体有下列情形之一的，应当在业务主管单位审查同意后，向登记管理机关申请注销登记、注销备案（以下统称注销登记）：（一）完成社会团体章程规定的宗旨的；（二）自行解散的；（三）分立、合并的；（四）由于其他原因终止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bidi w:val="0"/>
              <w:adjustRightInd/>
              <w:snapToGrid/>
              <w:spacing w:before="225" w:beforeAutospacing="0" w:after="0" w:afterAutospacing="0" w:line="560" w:lineRule="exact"/>
              <w:ind w:left="0" w:right="0" w:firstLine="420"/>
              <w:textAlignment w:val="auto"/>
              <w:rPr>
                <w:rFonts w:hint="eastAsia" w:ascii="仿宋_GB2312" w:hAnsi="仿宋_GB2312" w:eastAsia="仿宋_GB2312" w:cs="仿宋_GB2312"/>
                <w:b w:val="0"/>
                <w:i w:val="0"/>
                <w:caps w:val="0"/>
                <w:color w:val="333333"/>
                <w:spacing w:val="0"/>
                <w:sz w:val="24"/>
                <w:szCs w:val="24"/>
              </w:rPr>
            </w:pPr>
            <w:r>
              <w:rPr>
                <w:rFonts w:hint="eastAsia" w:ascii="仿宋_GB2312" w:hAnsi="仿宋_GB2312" w:eastAsia="仿宋_GB2312" w:cs="仿宋_GB2312"/>
                <w:b w:val="0"/>
                <w:i w:val="0"/>
                <w:caps w:val="0"/>
                <w:color w:val="333333"/>
                <w:spacing w:val="0"/>
                <w:sz w:val="24"/>
                <w:szCs w:val="24"/>
                <w:shd w:val="clear" w:fill="FFFFFF"/>
              </w:rPr>
              <w:t>第二十三条：“社会团体应当自清算结束之日起１５日内向登记管理机关办理注销登记。办理注销登记，应当提交法定代表人签署的注销登记申请书、业务主管单位的审查文件和清算报告书。登记管理机关准予注销登记的，发给注销证明文件，收缴该社会团体的登记证书、印章和财务凭证。”</w:t>
            </w:r>
          </w:p>
          <w:p>
            <w:pPr>
              <w:keepNext w:val="0"/>
              <w:keepLines w:val="0"/>
              <w:pageBreakBefore w:val="0"/>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问责依据</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对不履行或不正确履行行政职责的行政机关及其工作人员，依据《中华人民共和国监察法》、《</w:t>
            </w:r>
            <w:r>
              <w:rPr>
                <w:rFonts w:hint="eastAsia" w:ascii="仿宋_GB2312" w:hAnsi="仿宋_GB2312" w:eastAsia="仿宋_GB2312" w:cs="仿宋_GB2312"/>
                <w:sz w:val="24"/>
                <w:szCs w:val="24"/>
                <w:lang w:eastAsia="zh-CN"/>
              </w:rPr>
              <w:t>中华人民共和国行政许可法</w:t>
            </w:r>
            <w:r>
              <w:rPr>
                <w:rFonts w:hint="eastAsia" w:ascii="仿宋_GB2312" w:hAnsi="仿宋_GB2312" w:eastAsia="仿宋_GB2312" w:cs="仿宋_GB2312"/>
                <w:sz w:val="24"/>
                <w:szCs w:val="24"/>
              </w:rPr>
              <w:t>》、《机关公务员处分条例》、《四川省审批违法违纪行为责任追究办法》 《四川省机关工作人员过错责任追究试行办法》等法律法规规章的相关规定追究相应的责任。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监督电话</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2482383</w:t>
            </w:r>
          </w:p>
        </w:tc>
      </w:tr>
    </w:tbl>
    <w:p>
      <w:pPr>
        <w:keepNext w:val="0"/>
        <w:keepLines w:val="0"/>
        <w:pageBreakBefore w:val="0"/>
        <w:kinsoku/>
        <w:wordWrap/>
        <w:overflowPunct/>
        <w:topLinePunct w:val="0"/>
        <w:autoSpaceDE/>
        <w:bidi w:val="0"/>
        <w:adjustRightInd/>
        <w:snapToGrid/>
        <w:spacing w:line="560" w:lineRule="exact"/>
        <w:jc w:val="both"/>
        <w:textAlignment w:val="auto"/>
        <w:rPr>
          <w:rFonts w:hint="eastAsia" w:ascii="仿宋_GB2312" w:hAnsi="仿宋_GB2312" w:eastAsia="仿宋_GB2312" w:cs="仿宋_GB2312"/>
          <w:sz w:val="24"/>
          <w:szCs w:val="24"/>
        </w:rPr>
      </w:pPr>
    </w:p>
    <w:tbl>
      <w:tblPr>
        <w:tblStyle w:val="5"/>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7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序号</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权利类型</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权力项目名称</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民办非企业单位修改章程核准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实施依据</w:t>
            </w:r>
          </w:p>
        </w:tc>
        <w:tc>
          <w:tcPr>
            <w:tcW w:w="7920" w:type="dxa"/>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color w:val="000000"/>
                <w:sz w:val="24"/>
                <w:szCs w:val="24"/>
              </w:rPr>
              <w:t>《</w:t>
            </w:r>
            <w:r>
              <w:rPr>
                <w:rFonts w:hint="eastAsia" w:ascii="仿宋_GB2312" w:hAnsi="仿宋_GB2312" w:eastAsia="仿宋_GB2312" w:cs="仿宋_GB2312"/>
                <w:sz w:val="24"/>
                <w:szCs w:val="24"/>
              </w:rPr>
              <w:t>民办非企业单位登记管理暂行条例》第15条 申请民办非企业单位修改章程核准，发起人应当向登记管理机关提交下列文件：</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（一）《民办非企业单位章程核准表》；</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（二）原核准的章程；</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（三）理事会通过的新章程；</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sz w:val="24"/>
                <w:szCs w:val="24"/>
              </w:rPr>
              <w:t>（四）理事会会议纪要（加盖公章</w:t>
            </w:r>
            <w:r>
              <w:rPr>
                <w:rFonts w:hint="eastAsia" w:ascii="仿宋_GB2312" w:hAnsi="仿宋_GB2312" w:eastAsia="仿宋_GB2312" w:cs="仿宋_GB2312"/>
                <w:color w:val="000000"/>
                <w:sz w:val="24"/>
                <w:szCs w:val="24"/>
              </w:rPr>
              <w:t>）。</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责任主体</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阿坝</w:t>
            </w:r>
            <w:r>
              <w:rPr>
                <w:rFonts w:hint="eastAsia" w:ascii="仿宋_GB2312" w:hAnsi="仿宋_GB2312" w:eastAsia="仿宋_GB2312" w:cs="仿宋_GB2312"/>
                <w:sz w:val="24"/>
                <w:szCs w:val="24"/>
              </w:rPr>
              <w:t>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责任事项</w:t>
            </w:r>
          </w:p>
        </w:tc>
        <w:tc>
          <w:tcPr>
            <w:tcW w:w="7920" w:type="dxa"/>
            <w:vAlign w:val="center"/>
          </w:tcPr>
          <w:p>
            <w:pPr>
              <w:keepNext w:val="0"/>
              <w:keepLines w:val="0"/>
              <w:pageBreakBefore w:val="0"/>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未按照相关程序办理或者非法办理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责任事项依据</w:t>
            </w:r>
          </w:p>
        </w:tc>
        <w:tc>
          <w:tcPr>
            <w:tcW w:w="7920" w:type="dxa"/>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bidi w:val="0"/>
              <w:adjustRightInd/>
              <w:snapToGrid/>
              <w:spacing w:before="225" w:beforeAutospacing="0" w:after="0" w:afterAutospacing="0" w:line="560" w:lineRule="exact"/>
              <w:ind w:left="0" w:right="0" w:firstLine="420"/>
              <w:textAlignment w:val="auto"/>
              <w:rPr>
                <w:rFonts w:hint="eastAsia" w:ascii="仿宋_GB2312" w:hAnsi="仿宋_GB2312" w:eastAsia="仿宋_GB2312" w:cs="仿宋_GB2312"/>
                <w:b w:val="0"/>
                <w:i w:val="0"/>
                <w:caps w:val="0"/>
                <w:color w:val="333333"/>
                <w:spacing w:val="0"/>
                <w:sz w:val="24"/>
                <w:szCs w:val="24"/>
              </w:rPr>
            </w:pPr>
            <w:r>
              <w:rPr>
                <w:rFonts w:hint="eastAsia" w:ascii="仿宋_GB2312" w:hAnsi="仿宋_GB2312" w:eastAsia="仿宋_GB2312" w:cs="仿宋_GB2312"/>
                <w:b w:val="0"/>
                <w:i w:val="0"/>
                <w:caps w:val="0"/>
                <w:color w:val="000000"/>
                <w:spacing w:val="0"/>
                <w:sz w:val="24"/>
                <w:szCs w:val="24"/>
              </w:rPr>
              <w:t>　</w:t>
            </w:r>
            <w:r>
              <w:rPr>
                <w:rFonts w:hint="eastAsia" w:ascii="仿宋_GB2312" w:hAnsi="仿宋_GB2312" w:eastAsia="仿宋_GB2312" w:cs="仿宋_GB2312"/>
                <w:b w:val="0"/>
                <w:i w:val="0"/>
                <w:caps w:val="0"/>
                <w:color w:val="333333"/>
                <w:spacing w:val="0"/>
                <w:sz w:val="24"/>
                <w:szCs w:val="24"/>
                <w:shd w:val="clear" w:fill="FFFFFF"/>
              </w:rPr>
              <w:t>《民办非企业单位登记管理暂行条例》（国务院令第251号）第三条：“成立民办非企业单位，应当经其业务主管单位审查同意，并依照本条例的规定登记。”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bidi w:val="0"/>
              <w:adjustRightInd/>
              <w:snapToGrid/>
              <w:spacing w:before="225" w:beforeAutospacing="0" w:after="0" w:afterAutospacing="0" w:line="560" w:lineRule="exact"/>
              <w:ind w:left="0" w:right="0" w:firstLine="420"/>
              <w:textAlignment w:val="auto"/>
              <w:rPr>
                <w:rFonts w:hint="eastAsia" w:ascii="仿宋_GB2312" w:hAnsi="仿宋_GB2312" w:eastAsia="仿宋_GB2312" w:cs="仿宋_GB2312"/>
                <w:b w:val="0"/>
                <w:i w:val="0"/>
                <w:caps w:val="0"/>
                <w:color w:val="333333"/>
                <w:spacing w:val="0"/>
                <w:sz w:val="24"/>
                <w:szCs w:val="24"/>
              </w:rPr>
            </w:pPr>
            <w:r>
              <w:rPr>
                <w:rFonts w:hint="eastAsia" w:ascii="仿宋_GB2312" w:hAnsi="仿宋_GB2312" w:eastAsia="仿宋_GB2312" w:cs="仿宋_GB2312"/>
                <w:b w:val="0"/>
                <w:i w:val="0"/>
                <w:caps w:val="0"/>
                <w:color w:val="333333"/>
                <w:spacing w:val="0"/>
                <w:sz w:val="24"/>
                <w:szCs w:val="24"/>
                <w:shd w:val="clear" w:fill="FFFFFF"/>
              </w:rPr>
              <w:t>第五条：“国务院民政部门和县级以上地方各级人民政府民政部门是本级人民政府的民办非企业单位登记管理机关（以下简称登记管理机关）。 国务院有关部门和县级以上地方各级人民政府的有关部门、国务院或者县级以上地方各级人民政府授权的组织，是有关行业、业务范围内民办非企业单位的业务主管单位（以下简称业务主管单位）。 法律、行政法规对民办非企业单位的监督管理另有规定的，依照有关法律、行政法规的规定执行。”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bidi w:val="0"/>
              <w:adjustRightInd/>
              <w:snapToGrid/>
              <w:spacing w:before="225" w:beforeAutospacing="0" w:after="0" w:afterAutospacing="0" w:line="560" w:lineRule="exact"/>
              <w:ind w:left="0" w:right="0" w:firstLine="420"/>
              <w:textAlignment w:val="auto"/>
              <w:rPr>
                <w:rFonts w:hint="eastAsia" w:ascii="仿宋_GB2312" w:hAnsi="仿宋_GB2312" w:eastAsia="仿宋_GB2312" w:cs="仿宋_GB2312"/>
                <w:b w:val="0"/>
                <w:i w:val="0"/>
                <w:caps w:val="0"/>
                <w:color w:val="333333"/>
                <w:spacing w:val="0"/>
                <w:sz w:val="24"/>
                <w:szCs w:val="24"/>
              </w:rPr>
            </w:pPr>
            <w:r>
              <w:rPr>
                <w:rFonts w:hint="eastAsia" w:ascii="仿宋_GB2312" w:hAnsi="仿宋_GB2312" w:eastAsia="仿宋_GB2312" w:cs="仿宋_GB2312"/>
                <w:b w:val="0"/>
                <w:i w:val="0"/>
                <w:caps w:val="0"/>
                <w:color w:val="333333"/>
                <w:spacing w:val="0"/>
                <w:sz w:val="24"/>
                <w:szCs w:val="24"/>
                <w:shd w:val="clear" w:fill="FFFFFF"/>
              </w:rPr>
              <w:t>第八条：“申请登记民办非企业单位，应当具备下列条件：（一）经业务主管单位审查同意； （二）有规范的名称、必要的组织机构；（三）有与其业务活动相适应的从业人员；（四）有与其业务活动相适应的合法财产；（五）有必要的场所。民办非企业单位的名称应当符合国务院民政部门的规定，不得冠以"中国"、"全国"、"中华"等字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bidi w:val="0"/>
              <w:adjustRightInd/>
              <w:snapToGrid/>
              <w:spacing w:before="225" w:beforeAutospacing="0" w:after="0" w:afterAutospacing="0" w:line="560" w:lineRule="exact"/>
              <w:ind w:left="0" w:right="0" w:firstLine="420"/>
              <w:textAlignment w:val="auto"/>
              <w:rPr>
                <w:rFonts w:hint="eastAsia" w:ascii="仿宋_GB2312" w:hAnsi="仿宋_GB2312" w:eastAsia="仿宋_GB2312" w:cs="仿宋_GB2312"/>
                <w:b w:val="0"/>
                <w:i w:val="0"/>
                <w:caps w:val="0"/>
                <w:color w:val="333333"/>
                <w:spacing w:val="0"/>
                <w:sz w:val="24"/>
                <w:szCs w:val="24"/>
              </w:rPr>
            </w:pPr>
            <w:r>
              <w:rPr>
                <w:rFonts w:hint="eastAsia" w:ascii="仿宋_GB2312" w:hAnsi="仿宋_GB2312" w:eastAsia="仿宋_GB2312" w:cs="仿宋_GB2312"/>
                <w:b w:val="0"/>
                <w:i w:val="0"/>
                <w:caps w:val="0"/>
                <w:color w:val="333333"/>
                <w:spacing w:val="0"/>
                <w:sz w:val="24"/>
                <w:szCs w:val="24"/>
                <w:shd w:val="clear" w:fill="FFFFFF"/>
              </w:rPr>
              <w:t>第九条：“申请民办非企业单位登记，举办者应当向登记管理机关提交下列文件：（一）登记申请书；（二）业务主管单位的批准文件；（三）场所使用权证明；（四）验资报告；（五）拟任负责人的基本情况、身份证明；（六）章程草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bidi w:val="0"/>
              <w:adjustRightInd/>
              <w:snapToGrid/>
              <w:spacing w:before="225" w:beforeAutospacing="0" w:after="0" w:afterAutospacing="0" w:line="560" w:lineRule="exact"/>
              <w:ind w:left="0" w:right="0" w:firstLine="420"/>
              <w:textAlignment w:val="auto"/>
              <w:rPr>
                <w:rFonts w:hint="eastAsia" w:ascii="仿宋_GB2312" w:hAnsi="仿宋_GB2312" w:eastAsia="仿宋_GB2312" w:cs="仿宋_GB2312"/>
                <w:b w:val="0"/>
                <w:i w:val="0"/>
                <w:caps w:val="0"/>
                <w:color w:val="333333"/>
                <w:spacing w:val="0"/>
                <w:sz w:val="24"/>
                <w:szCs w:val="24"/>
              </w:rPr>
            </w:pPr>
            <w:r>
              <w:rPr>
                <w:rFonts w:hint="eastAsia" w:ascii="仿宋_GB2312" w:hAnsi="仿宋_GB2312" w:eastAsia="仿宋_GB2312" w:cs="仿宋_GB2312"/>
                <w:b w:val="0"/>
                <w:i w:val="0"/>
                <w:caps w:val="0"/>
                <w:color w:val="333333"/>
                <w:spacing w:val="0"/>
                <w:sz w:val="24"/>
                <w:szCs w:val="24"/>
                <w:shd w:val="clear" w:fill="FFFFFF"/>
              </w:rPr>
              <w:t>第十五条：”民办非企业单位的登记事项需要变更的，应当自业务主管单位审查同意之日起３０日内，向登记管理机关申请变更登记。民办非企业单位修改章程，应当自业务主管单位审查同意之日起３０日内，报登记管理机关核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bidi w:val="0"/>
              <w:adjustRightInd/>
              <w:snapToGrid/>
              <w:spacing w:before="225" w:beforeAutospacing="0" w:after="0" w:afterAutospacing="0" w:line="560" w:lineRule="exact"/>
              <w:ind w:left="0" w:right="0" w:firstLine="420"/>
              <w:textAlignment w:val="auto"/>
              <w:rPr>
                <w:rFonts w:hint="eastAsia" w:ascii="仿宋_GB2312" w:hAnsi="仿宋_GB2312" w:eastAsia="仿宋_GB2312" w:cs="仿宋_GB2312"/>
                <w:b w:val="0"/>
                <w:i w:val="0"/>
                <w:caps w:val="0"/>
                <w:color w:val="333333"/>
                <w:spacing w:val="0"/>
                <w:sz w:val="24"/>
                <w:szCs w:val="24"/>
              </w:rPr>
            </w:pPr>
            <w:r>
              <w:rPr>
                <w:rFonts w:hint="eastAsia" w:ascii="仿宋_GB2312" w:hAnsi="仿宋_GB2312" w:eastAsia="仿宋_GB2312" w:cs="仿宋_GB2312"/>
                <w:b w:val="0"/>
                <w:i w:val="0"/>
                <w:caps w:val="0"/>
                <w:color w:val="333333"/>
                <w:spacing w:val="0"/>
                <w:sz w:val="24"/>
                <w:szCs w:val="24"/>
                <w:shd w:val="clear" w:fill="FFFFFF"/>
              </w:rPr>
              <w:t>第十六条：“民办非企业单位自行解散的，分立、合并的，或者由于其他原因需要注销登记的，应当向登记管理机关办理注销登记。民办非企业单位在办理注销登记前，应当在业务主管单位和其他有关机关的指导下，成立清算组织，完成清算工作。清算期间，民办非企业单位不得开展清算以外的活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bidi w:val="0"/>
              <w:adjustRightInd/>
              <w:snapToGrid/>
              <w:spacing w:before="225" w:beforeAutospacing="0" w:after="0" w:afterAutospacing="0" w:line="560" w:lineRule="exact"/>
              <w:ind w:left="0" w:right="0" w:firstLine="420"/>
              <w:textAlignment w:val="auto"/>
              <w:rPr>
                <w:rFonts w:hint="eastAsia" w:ascii="仿宋_GB2312" w:hAnsi="仿宋_GB2312" w:eastAsia="仿宋_GB2312" w:cs="仿宋_GB2312"/>
                <w:b w:val="0"/>
                <w:i w:val="0"/>
                <w:caps w:val="0"/>
                <w:color w:val="333333"/>
                <w:spacing w:val="0"/>
                <w:sz w:val="24"/>
                <w:szCs w:val="24"/>
              </w:rPr>
            </w:pPr>
            <w:r>
              <w:rPr>
                <w:rFonts w:hint="eastAsia" w:ascii="仿宋_GB2312" w:hAnsi="仿宋_GB2312" w:eastAsia="仿宋_GB2312" w:cs="仿宋_GB2312"/>
                <w:b w:val="0"/>
                <w:i w:val="0"/>
                <w:caps w:val="0"/>
                <w:color w:val="333333"/>
                <w:spacing w:val="0"/>
                <w:sz w:val="24"/>
                <w:szCs w:val="24"/>
                <w:shd w:val="clear" w:fill="FFFFFF"/>
              </w:rPr>
              <w:t>第十七条：“民办非企业单位法定代表人或者负责人应当自完成清算之日起１５日内，向登记管理机关办理注销登记。办理注销登记，须提交注销登记申请书、业务主管单位的审查文件和清算报告。 登记管理机关准予注销登记的，发给注销证明文件，收缴登记证书、印章和财务凭证。”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bidi w:val="0"/>
              <w:adjustRightInd/>
              <w:snapToGrid/>
              <w:spacing w:before="0" w:beforeAutospacing="0" w:after="0" w:afterAutospacing="0" w:line="560" w:lineRule="exact"/>
              <w:ind w:left="0" w:right="0" w:firstLine="0"/>
              <w:textAlignment w:val="auto"/>
              <w:rPr>
                <w:rFonts w:hint="eastAsia" w:ascii="仿宋_GB2312" w:hAnsi="仿宋_GB2312" w:eastAsia="仿宋_GB2312" w:cs="仿宋_GB2312"/>
                <w:b w:val="0"/>
                <w:i w:val="0"/>
                <w:caps w:val="0"/>
                <w:color w:val="000000"/>
                <w:spacing w:val="0"/>
                <w:sz w:val="24"/>
                <w:szCs w:val="24"/>
              </w:rPr>
            </w:pPr>
          </w:p>
          <w:p>
            <w:pPr>
              <w:keepNext w:val="0"/>
              <w:keepLines w:val="0"/>
              <w:pageBreakBefore w:val="0"/>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问责依据</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对不履行或不正确履行行政职责的行政机关及其工作人员，依据《中华人民共和国监察法》、《</w:t>
            </w:r>
            <w:r>
              <w:rPr>
                <w:rFonts w:hint="eastAsia" w:ascii="仿宋_GB2312" w:hAnsi="仿宋_GB2312" w:eastAsia="仿宋_GB2312" w:cs="仿宋_GB2312"/>
                <w:sz w:val="24"/>
                <w:szCs w:val="24"/>
                <w:lang w:eastAsia="zh-CN"/>
              </w:rPr>
              <w:t>中华人民共和国行政许可法</w:t>
            </w:r>
            <w:r>
              <w:rPr>
                <w:rFonts w:hint="eastAsia" w:ascii="仿宋_GB2312" w:hAnsi="仿宋_GB2312" w:eastAsia="仿宋_GB2312" w:cs="仿宋_GB2312"/>
                <w:sz w:val="24"/>
                <w:szCs w:val="24"/>
              </w:rPr>
              <w:t>》、《机关公务员处分条例》、《四川省审批违法违纪行为责任追究办法》 《四川省机关工作人员过错责任追究试行办法》等法律法规规章的相关规定追究相应的责任。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监督电话</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2482383</w:t>
            </w:r>
          </w:p>
        </w:tc>
      </w:tr>
    </w:tbl>
    <w:p>
      <w:pPr>
        <w:keepNext w:val="0"/>
        <w:keepLines w:val="0"/>
        <w:pageBreakBefore w:val="0"/>
        <w:kinsoku/>
        <w:wordWrap/>
        <w:overflowPunct/>
        <w:topLinePunct w:val="0"/>
        <w:autoSpaceDE/>
        <w:bidi w:val="0"/>
        <w:adjustRightInd/>
        <w:snapToGrid/>
        <w:spacing w:line="560" w:lineRule="exact"/>
        <w:jc w:val="both"/>
        <w:textAlignment w:val="auto"/>
        <w:rPr>
          <w:rFonts w:hint="eastAsia" w:ascii="仿宋_GB2312" w:hAnsi="仿宋_GB2312" w:eastAsia="仿宋_GB2312" w:cs="仿宋_GB2312"/>
          <w:sz w:val="24"/>
          <w:szCs w:val="24"/>
        </w:rPr>
      </w:pPr>
    </w:p>
    <w:p>
      <w:pPr>
        <w:keepNext w:val="0"/>
        <w:keepLines w:val="0"/>
        <w:pageBreakBefore w:val="0"/>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sz w:val="24"/>
          <w:szCs w:val="24"/>
        </w:rPr>
      </w:pPr>
    </w:p>
    <w:tbl>
      <w:tblPr>
        <w:tblStyle w:val="5"/>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7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序号</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权利类型</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权力项目名称</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kern w:val="0"/>
                <w:sz w:val="24"/>
                <w:szCs w:val="24"/>
              </w:rPr>
              <w:t>建设殡仪馆、火葬场、殡仪服务站、骨灰堂、经营性公墓、农村公益性墓地审批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实施依据</w:t>
            </w:r>
          </w:p>
        </w:tc>
        <w:tc>
          <w:tcPr>
            <w:tcW w:w="7920" w:type="dxa"/>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《殡葬管理条例》第八条“</w:t>
            </w:r>
            <w:r>
              <w:rPr>
                <w:rFonts w:hint="eastAsia" w:ascii="仿宋_GB2312" w:hAnsi="仿宋_GB2312" w:eastAsia="仿宋_GB2312" w:cs="仿宋_GB2312"/>
                <w:kern w:val="0"/>
                <w:sz w:val="24"/>
                <w:szCs w:val="24"/>
              </w:rPr>
              <w:t>建设殡仪馆、火葬场，由县级人民政府和设区的市、自治州人民政府的民政部门提出方案，报本级人民政府审批；建设殡仪服务站、骨灰堂，由县级人民政府和设区的市、自治州人民政府的民政部门审批；建设公墓,经县级人民政府或者设区的市、自治州人民政府的民政部门审核同意后，报省、自治区、直辖市民政部门审批。利用外资建设殡葬设施，经省、自治区、直辖市人民政府的民政部门审核同意后，报国家民政部门审批。”</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kern w:val="0"/>
                <w:sz w:val="24"/>
                <w:szCs w:val="24"/>
              </w:rPr>
              <w:t>《四川省公墓管理条例》第10条  设置农村公益性墓地，经乡（镇）人民政府审核同意后报县（市、区）人民政府民政部门审批。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责任主体</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阿坝县民政局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责任事项</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1．立案责任：发现涉嫌未经批准、擅自建设殡葬设施的违规行为（或者下级民政部门或其它机关移送的违法案件等），予以审查，决定是否立案。</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2．调查责任：对立案的案件，指定专人负责，及时组织调查取证。与当事人有直接利害关系的应当回避。执法人员不得少于两人，调查时应出示证件。允许当事人辩解。</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3．审查责任：审理案件调查报告，对案件违法事实、证据、调查取证程序、适用法律、处罚种类和幅度、当事人陈述和辩解提出处理意见。</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4．告知责任：作出行政处罚决定前，应当制作《行政处罚告知书》送达当事人，符合听证规定的，制作并送达《行政处罚听证告知书》。</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5．决定责任：制作《行政处罚决定书》，载明行政处罚告知、当事人陈述申辩或者听证情况等内容。</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6．送达责任：行政处罚决定书按法律规定的方式送达当事人。</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7．执行责任：依照生效的行政处罚决定，予以取缔，责令恢复原状，没收违法所得，罚款。</w:t>
            </w:r>
          </w:p>
          <w:p>
            <w:pPr>
              <w:keepNext w:val="0"/>
              <w:keepLines w:val="0"/>
              <w:pageBreakBefore w:val="0"/>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8、其它责任：法律法规规章文件规定应履行的其他责任。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责任事项依据</w:t>
            </w:r>
          </w:p>
        </w:tc>
        <w:tc>
          <w:tcPr>
            <w:tcW w:w="7920" w:type="dxa"/>
            <w:vAlign w:val="center"/>
          </w:tcPr>
          <w:p>
            <w:pPr>
              <w:keepNext w:val="0"/>
              <w:keepLines w:val="0"/>
              <w:pageBreakBefore w:val="0"/>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i w:val="0"/>
                <w:caps w:val="0"/>
                <w:color w:val="333333"/>
                <w:spacing w:val="0"/>
                <w:sz w:val="24"/>
                <w:szCs w:val="24"/>
                <w:shd w:val="clear" w:fill="FFFFFF"/>
              </w:rPr>
              <w:t>《殡葬管理条例》第八条“</w:t>
            </w:r>
            <w:r>
              <w:rPr>
                <w:rFonts w:hint="eastAsia" w:ascii="仿宋_GB2312" w:hAnsi="仿宋_GB2312" w:eastAsia="仿宋_GB2312" w:cs="仿宋_GB2312"/>
                <w:b w:val="0"/>
                <w:i w:val="0"/>
                <w:caps w:val="0"/>
                <w:color w:val="333333"/>
                <w:spacing w:val="0"/>
                <w:sz w:val="24"/>
                <w:szCs w:val="24"/>
                <w:shd w:val="clear" w:fill="FFFFFF"/>
              </w:rPr>
              <w:t>建设殡仪馆、火葬场，由县级人民政府和设区的市、自治州人民政府的民政部门提出方案，报本级人民政府审批；建设殡仪服务站、骨灰堂，由县级人民政府和设区的市、自治州人民政府的民政部门审批；建设公墓,经县级人民政府或者设区的市、自治州人民政府的民政部门审核同意后，报省、自治区、直辖市民政部门审批。利用外资建设殡葬设施，经省、自治区、直辖市人民政府的民政部门审核同意后，报国家民政部门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问责依据</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对不履行或不正确履行行政职责的行政机关及工作人员，依据《中华人民共和国监察法》、《机关公务员处分条例》、《四川省执法监督管理条例》、《四川省机关工作人员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监督电话</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2482383</w:t>
            </w:r>
          </w:p>
        </w:tc>
      </w:tr>
    </w:tbl>
    <w:p>
      <w:pPr>
        <w:keepNext w:val="0"/>
        <w:keepLines w:val="0"/>
        <w:pageBreakBefore w:val="0"/>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sz w:val="24"/>
          <w:szCs w:val="24"/>
        </w:rPr>
      </w:pPr>
    </w:p>
    <w:tbl>
      <w:tblPr>
        <w:tblStyle w:val="5"/>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7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序号</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权利类型</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权力项目名称</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kern w:val="0"/>
                <w:sz w:val="24"/>
                <w:szCs w:val="24"/>
              </w:rPr>
              <w:t>慈善组织公开募捐资格审批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实施依据</w:t>
            </w:r>
          </w:p>
        </w:tc>
        <w:tc>
          <w:tcPr>
            <w:tcW w:w="7920" w:type="dxa"/>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color w:val="42515A"/>
                <w:sz w:val="24"/>
                <w:szCs w:val="24"/>
              </w:rPr>
              <w:t>《</w:t>
            </w:r>
            <w:r>
              <w:rPr>
                <w:rFonts w:hint="eastAsia" w:ascii="仿宋_GB2312" w:hAnsi="仿宋_GB2312" w:eastAsia="仿宋_GB2312" w:cs="仿宋_GB2312"/>
                <w:sz w:val="24"/>
                <w:szCs w:val="24"/>
              </w:rPr>
              <w:t>中华人民共和国慈善法》慈善组织开展公开募捐，应当取得公开募捐资格。依法登记或者认定为慈善组织满二年的社会组织，申请公开募捐资格，应当符合下列条件：</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（一）根据法律法规和本组织章程建立规范的内部治理结构，理事会能够有效决策，负责人任职符合有关规定，理事会成员和负责人勤勉尽职，诚实守信；</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（二）理事会成员来自同一组织以及相互间存在关联关系组织的不超过三分之一，相互间具有近亲属关系的没有同时在理事会任职；</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（三）理事会成员中非内地居民不超过三分之一，法定代表人由内地居民担任;</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（四）秘书长为专职，理事长（会长）、秘书长不得由同一人兼任，有与本慈善组织开展活动相适应的专职工作人员；</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（五）在省级以上人民政府民政部门登记的慈善组织有三名以上监事组成的监事会；</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（六）依法办理税务登记，履行纳税义务；</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（七）按照规定参加社会组织评估，评估结果为3A及以上；</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（八）申请时未纳入异常名录；</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（九）申请公开募捐资格前二年，未因违反社会组织相关法律法规受到行政处罚，没有其他违反法律、法规、国家政策行为的。</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《慈善法》公布前设立的非公募基金会、具有公益性捐赠税前扣除资格的社会团体，登记满二年，经认定为慈善组织的，可以申请公开募捐资格。</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责任主体</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受理阶段责任:公示告知申请人慈善组织设立许可所需条件、需要提交的全部材料目录、申报程序以及其他应当公示的内容，并按申请人的要求进行相关解释说明。2、审核阶段责任：审核申请人提供的相关材料并进行实地检查。3决定阶段责任：做出审核决定阶段，对符合条件的作出核准决定阶段，对不符合条件不予核准的说明理由。4 送达阶段责任：发放核准文书，及时在民政厅等网站进行公示；5;事后监管阶段责任：对慈善组织进行监督检查。对违反有关法律法规的养老机构，依法予以查处；情节严重的依法撤销；6其他法律法规规章文件规定应履行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责任事项</w:t>
            </w:r>
          </w:p>
        </w:tc>
        <w:tc>
          <w:tcPr>
            <w:tcW w:w="7920" w:type="dxa"/>
            <w:vAlign w:val="top"/>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1.立项责任：对制定政策的必要性、所要解决的主要问题，拟确立的主要制度等作出说明，报请立项。</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2.起草责任：深入调查研究，总结实践经验，广泛听取意见，起草政策措施送审稿及其说明。</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3.审查责任：部门法制机构就送审稿涉及主要问题，深入基层调查研究，涉及重大问题的，召开由有关单位、专家参加的座谈会、论证会、听证会，研究论证。</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4.决定公布责任：经部门有关会议研究决定并向社会公布。</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5.解释备案责任：对政策规定的具体含义和出现的新的情况适用问题进行解释；按规定向有关机关备案。</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6.其他责任：法律法规规章文件规定应履行的其他责任。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责任事项依据</w:t>
            </w:r>
          </w:p>
        </w:tc>
        <w:tc>
          <w:tcPr>
            <w:tcW w:w="7920" w:type="dxa"/>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bidi w:val="0"/>
              <w:adjustRightInd/>
              <w:snapToGrid/>
              <w:spacing w:before="0" w:beforeAutospacing="0" w:after="150" w:afterAutospacing="0" w:line="560" w:lineRule="exact"/>
              <w:ind w:left="0" w:right="0"/>
              <w:textAlignment w:val="auto"/>
              <w:rPr>
                <w:rFonts w:hint="eastAsia" w:ascii="仿宋_GB2312" w:hAnsi="仿宋_GB2312" w:eastAsia="仿宋_GB2312" w:cs="仿宋_GB2312"/>
                <w:sz w:val="24"/>
                <w:szCs w:val="24"/>
              </w:rPr>
            </w:pPr>
            <w:r>
              <w:rPr>
                <w:rFonts w:hint="eastAsia" w:ascii="仿宋_GB2312" w:hAnsi="仿宋_GB2312" w:eastAsia="仿宋_GB2312" w:cs="仿宋_GB2312"/>
                <w:color w:val="333333"/>
                <w:sz w:val="24"/>
                <w:szCs w:val="24"/>
              </w:rPr>
              <w:t>《中华人民共和国慈善法》（2016年）(2016年)</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第二十二条 慈善组织开展公开募捐，应当取得公开募捐资格。依法登记满二年的慈善组织，可以向其登记的民政部门申请公开募捐资格。民政部门应当自受理申请之日起二十日内作出决定。慈善组织符合内部治理结构健全、运作规范的条件的，发给公开募捐资格证书；不符合条件的，不发给公开募捐资格证书并书面说明理由。</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法律、行政法规规定自登记之日起可以公开募捐的基金会和社会团体，由民政部门直接发给公开募捐资格证书。</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《慈善组织公开募捐管理办法》（2016年民政部令第59号）(2016年)</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第五条 依法登记或者认定为慈善组织满二年的社会组织，申请公开募捐资格，应当符合下列条件：</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（一）根据法律法规和本组织章程建立规范的内部治理结构，理事会能够有效决策，负责人任职符合有关规定，理事会成员和负责人勤勉尽职，诚实守信；</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（二）理事会成员来自同一组织以及相互间存在关联关系组织的不超过三分之一，相互间具有近亲属关系的没有同时在理事会任职；</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（三）理事会成员中非内地居民不超过三分之一，法定代表人由内地居民担任;</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（四）秘书长为专职，理事长（会长）、秘书长不得由同一人兼任，有与本慈善组织开展活动相适应的专职工作人员；</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（五）在省级以上人民政府民政部门登记的慈善组织有三名以上监事组成的监事会；</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（六）依法办理税务登记，履行纳税义务；</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（七）按照规定参加社会组织评估，评估结果为3A及以上；</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（八）申请时未纳入异常名录；</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（九）申请公开募捐资格前二年，未因违反社会组织相关法律法规受到行政处罚，没有其他违反法律、法规、国家政策行为的。</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《慈善法》公布前设立的非公募基金会、具有公益性捐赠税前扣除资格的社会团体，登记满二年，经认定为慈善组织的，可以申请公开募捐资格。</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慈善组织公开募捐管理办法(2016年)</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第五条 依法登记或者认定为慈善组织满二年的社会组织，申请公开募捐资格，应当符合下列条件：</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 xml:space="preserve">（一）根据法律法规和本组织章程建立规范的内部治理结构，理事会能够有效决策，负责人任职符合有关规定，理事会成员和负责人勤勉尽职，诚实守信； </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（二）理事会成员来自同一组织以及相互间存在关联关系组织的不超过三分之一，相互间具有近亲属关系的没有同时在理事会任职；</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（三）理事会成员中非内地居民不超过三分之一，法定代表人由内地居民担任;</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（四）秘书长为专职，理事长（会长）、秘书长不得由同一人兼任，有与本慈善组织开展活动相适应的专职工作人员；</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（五）在省级以上人民政府民政部门登记的慈善组织有三名以上监事组成的监事会；</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（六）依法办理税务登记，履行纳税义务；</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（七）按照规定参加社会组织评估，评估结果为3A及以上；</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（八）申请时未纳入异常名录；</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（九）申请公开募捐资格前二年，未因违反社会组织相关法律法规受到行政处罚，没有其他违反法律、法规、国家政策行为的。</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《慈善法》公布前设立的非公募基金会、具有公益性捐赠税前扣除资格的社会团体，登记满二年，经认定为慈善组织的，可以申请公开募捐资格。</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慈善组织公开募捐管理办法(2016年)</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第九条 《慈善法》公布前登记设立的公募基金会，凭其标明慈善组织属性的登记证书向登记的民政部门申领公开募捐资格证书。</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"http://www.gdbs.gov.cn/portal/guide/00694017501011830002440000.html"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fldChar w:fldCharType="end"/>
            </w:r>
          </w:p>
          <w:p>
            <w:pPr>
              <w:keepNext w:val="0"/>
              <w:keepLines w:val="0"/>
              <w:pageBreakBefore w:val="0"/>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问责依据</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对不履行或不正确履行职责的机关及工作人员，依据《中华人民共和国监察法》、《机关公务员处分条例》、《四川省监法管理条例》、《四川省机关工作人员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监督电话</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2482383</w:t>
            </w:r>
          </w:p>
        </w:tc>
      </w:tr>
    </w:tbl>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楷体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false"/>
  <w:bordersDoNotSurroundFooter w:val="false"/>
  <w:doNotTrackMoves/>
  <w:documentProtection w:enforcement="0"/>
  <w:defaultTabStop w:val="420"/>
  <w:drawingGridVerticalSpacing w:val="156"/>
  <w:displayHorizontalDrawingGridEvery w:val="1"/>
  <w:displayVerticalDrawingGridEvery w:val="1"/>
  <w:noPunctuationKerning w:val="true"/>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8702A5"/>
    <w:rsid w:val="00003F5D"/>
    <w:rsid w:val="00053E2B"/>
    <w:rsid w:val="000679E1"/>
    <w:rsid w:val="00091AED"/>
    <w:rsid w:val="0009470D"/>
    <w:rsid w:val="00133A30"/>
    <w:rsid w:val="002248BC"/>
    <w:rsid w:val="00236CFA"/>
    <w:rsid w:val="0027596E"/>
    <w:rsid w:val="002E2D5D"/>
    <w:rsid w:val="002E4820"/>
    <w:rsid w:val="00310F73"/>
    <w:rsid w:val="00321BBE"/>
    <w:rsid w:val="003D36DA"/>
    <w:rsid w:val="0041164D"/>
    <w:rsid w:val="00435E65"/>
    <w:rsid w:val="004A7587"/>
    <w:rsid w:val="004C68DD"/>
    <w:rsid w:val="005B255D"/>
    <w:rsid w:val="006D42B6"/>
    <w:rsid w:val="00800422"/>
    <w:rsid w:val="0086579D"/>
    <w:rsid w:val="00887708"/>
    <w:rsid w:val="008C7EED"/>
    <w:rsid w:val="0095653F"/>
    <w:rsid w:val="009B3B83"/>
    <w:rsid w:val="009D7803"/>
    <w:rsid w:val="00A179DD"/>
    <w:rsid w:val="00A3093D"/>
    <w:rsid w:val="00A41FCE"/>
    <w:rsid w:val="00A55B37"/>
    <w:rsid w:val="00AA727D"/>
    <w:rsid w:val="00AE0B22"/>
    <w:rsid w:val="00B052AF"/>
    <w:rsid w:val="00B33E5A"/>
    <w:rsid w:val="00B86B80"/>
    <w:rsid w:val="00C56401"/>
    <w:rsid w:val="00CB21C8"/>
    <w:rsid w:val="00CD2ADA"/>
    <w:rsid w:val="00D541C6"/>
    <w:rsid w:val="00D867CC"/>
    <w:rsid w:val="00DE2697"/>
    <w:rsid w:val="00DE40C6"/>
    <w:rsid w:val="00E76FD4"/>
    <w:rsid w:val="00F4790C"/>
    <w:rsid w:val="00FF5767"/>
    <w:rsid w:val="01C72AD6"/>
    <w:rsid w:val="01F544FE"/>
    <w:rsid w:val="02065070"/>
    <w:rsid w:val="070179C2"/>
    <w:rsid w:val="07A121D9"/>
    <w:rsid w:val="0A332644"/>
    <w:rsid w:val="0A813371"/>
    <w:rsid w:val="0C6131D1"/>
    <w:rsid w:val="18040F82"/>
    <w:rsid w:val="1B697D03"/>
    <w:rsid w:val="1D5D053C"/>
    <w:rsid w:val="2093756B"/>
    <w:rsid w:val="21792B64"/>
    <w:rsid w:val="235501F7"/>
    <w:rsid w:val="237732C7"/>
    <w:rsid w:val="2B6E6BAE"/>
    <w:rsid w:val="347208EE"/>
    <w:rsid w:val="35CB0E0F"/>
    <w:rsid w:val="3BC61465"/>
    <w:rsid w:val="47541B39"/>
    <w:rsid w:val="4A5111C3"/>
    <w:rsid w:val="4A8702A5"/>
    <w:rsid w:val="4F7FEE64"/>
    <w:rsid w:val="52A503FE"/>
    <w:rsid w:val="5355145F"/>
    <w:rsid w:val="576921E6"/>
    <w:rsid w:val="57853B0C"/>
    <w:rsid w:val="58E37479"/>
    <w:rsid w:val="5A751472"/>
    <w:rsid w:val="5CA74118"/>
    <w:rsid w:val="60BD5435"/>
    <w:rsid w:val="63225D20"/>
    <w:rsid w:val="658E18EF"/>
    <w:rsid w:val="66EF3A59"/>
    <w:rsid w:val="6BD819E7"/>
    <w:rsid w:val="6DA93581"/>
    <w:rsid w:val="708C1EBB"/>
    <w:rsid w:val="722D6A6B"/>
    <w:rsid w:val="76B55474"/>
    <w:rsid w:val="794F185D"/>
    <w:rsid w:val="7BA792C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2"/>
    <w:semiHidden/>
    <w:unhideWhenUsed/>
    <w:qFormat/>
    <w:uiPriority w:val="99"/>
    <w:pPr>
      <w:tabs>
        <w:tab w:val="center" w:pos="4153"/>
        <w:tab w:val="right" w:pos="8306"/>
      </w:tabs>
      <w:snapToGrid w:val="0"/>
      <w:jc w:val="left"/>
    </w:pPr>
    <w:rPr>
      <w:sz w:val="18"/>
      <w:szCs w:val="18"/>
    </w:rPr>
  </w:style>
  <w:style w:type="paragraph" w:styleId="3">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7">
    <w:name w:val="FollowedHyperlink"/>
    <w:basedOn w:val="6"/>
    <w:semiHidden/>
    <w:unhideWhenUsed/>
    <w:qFormat/>
    <w:uiPriority w:val="99"/>
    <w:rPr>
      <w:color w:val="333333"/>
      <w:u w:val="none"/>
    </w:rPr>
  </w:style>
  <w:style w:type="character" w:styleId="8">
    <w:name w:val="Emphasis"/>
    <w:basedOn w:val="6"/>
    <w:qFormat/>
    <w:locked/>
    <w:uiPriority w:val="0"/>
  </w:style>
  <w:style w:type="character" w:styleId="9">
    <w:name w:val="Hyperlink"/>
    <w:basedOn w:val="6"/>
    <w:semiHidden/>
    <w:unhideWhenUsed/>
    <w:qFormat/>
    <w:uiPriority w:val="99"/>
    <w:rPr>
      <w:color w:val="0088CC"/>
      <w:u w:val="none"/>
    </w:rPr>
  </w:style>
  <w:style w:type="paragraph" w:customStyle="1" w:styleId="10">
    <w:name w:val="列出段落1"/>
    <w:basedOn w:val="1"/>
    <w:qFormat/>
    <w:uiPriority w:val="99"/>
    <w:pPr>
      <w:ind w:firstLine="200" w:firstLineChars="200"/>
    </w:pPr>
    <w:rPr>
      <w:rFonts w:ascii="Calibri" w:hAnsi="Calibri" w:cs="Arial"/>
    </w:rPr>
  </w:style>
  <w:style w:type="character" w:customStyle="1" w:styleId="11">
    <w:name w:val="页眉 Char"/>
    <w:basedOn w:val="6"/>
    <w:link w:val="3"/>
    <w:semiHidden/>
    <w:qFormat/>
    <w:uiPriority w:val="99"/>
    <w:rPr>
      <w:rFonts w:ascii="Times New Roman" w:hAnsi="Times New Roman"/>
      <w:sz w:val="18"/>
      <w:szCs w:val="18"/>
    </w:rPr>
  </w:style>
  <w:style w:type="character" w:customStyle="1" w:styleId="12">
    <w:name w:val="页脚 Char"/>
    <w:basedOn w:val="6"/>
    <w:link w:val="2"/>
    <w:semiHidden/>
    <w:qFormat/>
    <w:uiPriority w:val="99"/>
    <w:rPr>
      <w:rFonts w:ascii="Times New Roman" w:hAnsi="Times New Roman"/>
      <w:sz w:val="18"/>
      <w:szCs w:val="18"/>
    </w:rPr>
  </w:style>
  <w:style w:type="character" w:customStyle="1" w:styleId="13">
    <w:name w:val="pass"/>
    <w:basedOn w:val="6"/>
    <w:qFormat/>
    <w:uiPriority w:val="0"/>
    <w:rPr>
      <w:color w:val="D50512"/>
    </w:rPr>
  </w:style>
  <w:style w:type="character" w:customStyle="1" w:styleId="14">
    <w:name w:val="clear2"/>
    <w:basedOn w:val="6"/>
    <w:qFormat/>
    <w:uiPriority w:val="0"/>
    <w:rPr>
      <w:sz w:val="0"/>
      <w:szCs w:val="0"/>
    </w:rPr>
  </w:style>
  <w:style w:type="character" w:customStyle="1" w:styleId="15">
    <w:name w:val="arrow"/>
    <w:basedOn w:val="6"/>
    <w:qFormat/>
    <w:uiPriority w:val="0"/>
  </w:style>
  <w:style w:type="character" w:customStyle="1" w:styleId="16">
    <w:name w:val="label-guide"/>
    <w:basedOn w:val="6"/>
    <w:qFormat/>
    <w:uiPriority w:val="0"/>
    <w:rPr>
      <w:color w:val="FFFFFF"/>
    </w:rPr>
  </w:style>
  <w:style w:type="character" w:customStyle="1" w:styleId="17">
    <w:name w:val="tab_on"/>
    <w:basedOn w:val="6"/>
    <w:qFormat/>
    <w:uiPriority w:val="0"/>
    <w:rPr>
      <w:color w:val="FFFFFF"/>
      <w:bdr w:val="single" w:color="1680D1" w:sz="6" w:space="0"/>
      <w:shd w:val="clear" w:fill="1680D1"/>
    </w:rPr>
  </w:style>
  <w:style w:type="character" w:customStyle="1" w:styleId="18">
    <w:name w:val="hover16"/>
    <w:basedOn w:val="6"/>
    <w:qFormat/>
    <w:uiPriority w:val="0"/>
    <w:rPr>
      <w:color w:val="FFFFFF"/>
      <w:bdr w:val="single" w:color="1680D1" w:sz="6" w:space="0"/>
      <w:shd w:val="clear" w:fill="1680D1"/>
    </w:rPr>
  </w:style>
  <w:style w:type="character" w:customStyle="1" w:styleId="19">
    <w:name w:val="goto"/>
    <w:basedOn w:val="6"/>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464</Words>
  <Characters>2648</Characters>
  <Lines>22</Lines>
  <Paragraphs>6</Paragraphs>
  <TotalTime>9</TotalTime>
  <ScaleCrop>false</ScaleCrop>
  <LinksUpToDate>false</LinksUpToDate>
  <CharactersWithSpaces>3106</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2016-01-14T00:43:00Z</dcterms:created>
  <dc:creator>Administrator</dc:creator>
  <cp:lastModifiedBy>阿咪.布姆</cp:lastModifiedBy>
  <cp:lastPrinted>2016-07-12T01:22:00Z</cp:lastPrinted>
  <dcterms:modified xsi:type="dcterms:W3CDTF">2026-04-19T19:28:41Z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