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hint="eastAsia" w:ascii="方正小标宋简体" w:eastAsia="方正小标宋简体"/>
          <w:sz w:val="36"/>
          <w:szCs w:val="36"/>
        </w:rPr>
      </w:pPr>
    </w:p>
    <w:p>
      <w:pPr>
        <w:spacing w:line="400" w:lineRule="exact"/>
        <w:jc w:val="center"/>
        <w:rPr>
          <w:rFonts w:hint="eastAsia" w:ascii="方正小标宋简体" w:eastAsia="方正小标宋简体"/>
          <w:sz w:val="36"/>
          <w:szCs w:val="36"/>
        </w:rPr>
      </w:pPr>
    </w:p>
    <w:p>
      <w:pPr>
        <w:spacing w:line="400" w:lineRule="exact"/>
        <w:jc w:val="center"/>
        <w:rPr>
          <w:rFonts w:hint="eastAsia" w:ascii="方正小标宋简体" w:eastAsia="方正小标宋简体"/>
          <w:sz w:val="36"/>
          <w:szCs w:val="36"/>
        </w:rPr>
      </w:pPr>
      <w:r>
        <w:rPr>
          <w:rFonts w:hint="eastAsia" w:ascii="方正小标宋简体" w:eastAsia="方正小标宋简体"/>
          <w:sz w:val="36"/>
          <w:szCs w:val="36"/>
        </w:rPr>
        <w:t xml:space="preserve"> </w:t>
      </w:r>
    </w:p>
    <w:p>
      <w:pPr>
        <w:spacing w:line="400" w:lineRule="exact"/>
        <w:jc w:val="center"/>
        <w:rPr>
          <w:rFonts w:hint="eastAsia" w:ascii="方正小标宋简体" w:eastAsia="方正小标宋简体"/>
          <w:b/>
          <w:sz w:val="44"/>
          <w:szCs w:val="44"/>
        </w:rPr>
      </w:pPr>
      <w:r>
        <w:rPr>
          <w:rFonts w:hint="eastAsia" w:ascii="方正小标宋简体" w:eastAsia="方正小标宋简体"/>
          <w:b/>
          <w:sz w:val="44"/>
          <w:szCs w:val="44"/>
        </w:rPr>
        <w:t>2018年行政许可权力责任清单</w:t>
      </w:r>
    </w:p>
    <w:p>
      <w:pPr>
        <w:spacing w:line="400" w:lineRule="exact"/>
        <w:jc w:val="center"/>
        <w:rPr>
          <w:rFonts w:hint="eastAsia" w:ascii="方正小标宋简体" w:eastAsia="方正小标宋简体"/>
          <w:sz w:val="36"/>
          <w:szCs w:val="36"/>
        </w:rPr>
      </w:pPr>
    </w:p>
    <w:p>
      <w:pPr>
        <w:spacing w:line="400" w:lineRule="exact"/>
        <w:jc w:val="center"/>
        <w:rPr>
          <w:rFonts w:hint="eastAsia" w:ascii="方正小标宋简体" w:eastAsia="方正小标宋简体"/>
          <w:sz w:val="36"/>
          <w:szCs w:val="36"/>
        </w:rPr>
      </w:pPr>
    </w:p>
    <w:p>
      <w:pPr>
        <w:spacing w:line="400" w:lineRule="exact"/>
        <w:jc w:val="center"/>
        <w:rPr>
          <w:rFonts w:hint="eastAsia" w:ascii="方正小标宋简体" w:eastAsia="方正小标宋简体"/>
          <w:sz w:val="36"/>
          <w:szCs w:val="36"/>
        </w:rPr>
      </w:pPr>
    </w:p>
    <w:p>
      <w:pPr>
        <w:spacing w:line="400" w:lineRule="exact"/>
        <w:jc w:val="center"/>
        <w:rPr>
          <w:rFonts w:hint="eastAsia" w:ascii="方正小标宋简体" w:eastAsia="方正小标宋简体"/>
          <w:sz w:val="36"/>
          <w:szCs w:val="36"/>
        </w:rPr>
      </w:pPr>
    </w:p>
    <w:p>
      <w:pPr>
        <w:spacing w:line="400" w:lineRule="exact"/>
        <w:jc w:val="center"/>
        <w:rPr>
          <w:rFonts w:hint="eastAsia" w:ascii="方正小标宋简体" w:eastAsia="方正小标宋简体"/>
          <w:sz w:val="36"/>
          <w:szCs w:val="36"/>
        </w:rPr>
      </w:pPr>
    </w:p>
    <w:p>
      <w:pPr>
        <w:spacing w:line="400" w:lineRule="exact"/>
        <w:ind w:firstLine="360" w:firstLineChars="100"/>
        <w:rPr>
          <w:rFonts w:hint="eastAsia" w:ascii="方正小标宋简体" w:eastAsia="方正小标宋简体"/>
          <w:sz w:val="36"/>
          <w:szCs w:val="36"/>
          <w:u w:val="single"/>
        </w:rPr>
      </w:pPr>
      <w:r>
        <w:rPr>
          <w:rFonts w:hint="eastAsia" w:ascii="方正小标宋简体" w:eastAsia="方正小标宋简体"/>
          <w:sz w:val="36"/>
          <w:szCs w:val="36"/>
        </w:rPr>
        <w:t>单位名称：</w:t>
      </w:r>
      <w:r>
        <w:rPr>
          <w:rFonts w:hint="eastAsia" w:ascii="方正小标宋简体" w:eastAsia="方正小标宋简体"/>
          <w:sz w:val="36"/>
          <w:szCs w:val="36"/>
          <w:u w:val="single"/>
        </w:rPr>
        <w:t xml:space="preserve">       阿坝县财政局           </w:t>
      </w:r>
    </w:p>
    <w:p>
      <w:pPr>
        <w:spacing w:line="400" w:lineRule="exact"/>
        <w:jc w:val="center"/>
        <w:rPr>
          <w:rFonts w:hint="eastAsia" w:ascii="方正小标宋简体" w:eastAsia="方正小标宋简体"/>
          <w:sz w:val="36"/>
          <w:szCs w:val="36"/>
          <w:u w:val="single"/>
        </w:rPr>
      </w:pPr>
    </w:p>
    <w:p>
      <w:pPr>
        <w:spacing w:line="400" w:lineRule="exact"/>
        <w:jc w:val="center"/>
        <w:rPr>
          <w:rFonts w:hint="eastAsia" w:ascii="方正小标宋简体" w:eastAsia="方正小标宋简体"/>
          <w:sz w:val="36"/>
          <w:szCs w:val="36"/>
          <w:u w:val="single"/>
        </w:rPr>
      </w:pPr>
    </w:p>
    <w:p>
      <w:pPr>
        <w:spacing w:line="400" w:lineRule="exact"/>
        <w:jc w:val="center"/>
        <w:rPr>
          <w:rFonts w:hint="eastAsia" w:ascii="方正小标宋简体" w:eastAsia="方正小标宋简体"/>
          <w:sz w:val="36"/>
          <w:szCs w:val="36"/>
          <w:u w:val="single"/>
        </w:rPr>
      </w:pPr>
    </w:p>
    <w:p>
      <w:pPr>
        <w:spacing w:line="400" w:lineRule="exact"/>
        <w:ind w:firstLine="360" w:firstLineChars="100"/>
        <w:rPr>
          <w:rFonts w:hint="eastAsia" w:ascii="方正小标宋简体" w:eastAsia="方正小标宋简体"/>
          <w:sz w:val="36"/>
          <w:szCs w:val="36"/>
          <w:u w:val="single"/>
        </w:rPr>
      </w:pPr>
      <w:r>
        <w:rPr>
          <w:rFonts w:hint="eastAsia" w:ascii="方正小标宋简体" w:eastAsia="方正小标宋简体"/>
          <w:sz w:val="36"/>
          <w:szCs w:val="36"/>
        </w:rPr>
        <w:t>审核领导：</w:t>
      </w:r>
      <w:r>
        <w:rPr>
          <w:rFonts w:hint="eastAsia" w:ascii="方正小标宋简体" w:eastAsia="方正小标宋简体"/>
          <w:sz w:val="36"/>
          <w:szCs w:val="36"/>
          <w:u w:val="single"/>
        </w:rPr>
        <w:t xml:space="preserve">                              </w:t>
      </w:r>
    </w:p>
    <w:p>
      <w:pPr>
        <w:spacing w:line="400" w:lineRule="exact"/>
        <w:ind w:firstLine="2160" w:firstLineChars="600"/>
        <w:rPr>
          <w:rFonts w:hint="eastAsia" w:ascii="方正小标宋简体" w:eastAsia="方正小标宋简体"/>
          <w:sz w:val="36"/>
          <w:szCs w:val="36"/>
          <w:u w:val="single"/>
        </w:rPr>
      </w:pPr>
    </w:p>
    <w:p>
      <w:pPr>
        <w:spacing w:line="400" w:lineRule="exact"/>
        <w:ind w:firstLine="2160" w:firstLineChars="600"/>
        <w:rPr>
          <w:rFonts w:hint="eastAsia" w:ascii="方正小标宋简体" w:eastAsia="方正小标宋简体"/>
          <w:sz w:val="36"/>
          <w:szCs w:val="36"/>
          <w:u w:val="single"/>
        </w:rPr>
      </w:pPr>
    </w:p>
    <w:p>
      <w:pPr>
        <w:spacing w:line="400" w:lineRule="exact"/>
        <w:ind w:firstLine="2160" w:firstLineChars="600"/>
        <w:rPr>
          <w:rFonts w:hint="eastAsia" w:ascii="方正小标宋简体" w:eastAsia="方正小标宋简体"/>
          <w:sz w:val="36"/>
          <w:szCs w:val="36"/>
          <w:u w:val="single"/>
        </w:rPr>
      </w:pPr>
    </w:p>
    <w:p>
      <w:pPr>
        <w:spacing w:line="400" w:lineRule="exact"/>
        <w:ind w:firstLine="360" w:firstLineChars="100"/>
        <w:rPr>
          <w:rFonts w:hint="eastAsia" w:ascii="方正小标宋简体" w:eastAsia="方正小标宋简体"/>
          <w:sz w:val="36"/>
          <w:szCs w:val="36"/>
          <w:u w:val="single"/>
        </w:rPr>
      </w:pPr>
      <w:r>
        <w:rPr>
          <w:rFonts w:hint="eastAsia" w:ascii="方正小标宋简体" w:eastAsia="方正小标宋简体"/>
          <w:sz w:val="36"/>
          <w:szCs w:val="36"/>
        </w:rPr>
        <w:t>编制日期：</w:t>
      </w:r>
      <w:r>
        <w:rPr>
          <w:rFonts w:hint="eastAsia" w:ascii="方正小标宋简体" w:eastAsia="方正小标宋简体"/>
          <w:sz w:val="36"/>
          <w:szCs w:val="36"/>
          <w:u w:val="single"/>
        </w:rPr>
        <w:t xml:space="preserve">         </w:t>
      </w:r>
      <w:r>
        <w:rPr>
          <w:rFonts w:ascii="方正小标宋简体" w:eastAsia="方正小标宋简体"/>
          <w:sz w:val="36"/>
          <w:szCs w:val="36"/>
          <w:u w:val="single"/>
        </w:rPr>
        <w:t>2018-04-26</w:t>
      </w:r>
      <w:r>
        <w:rPr>
          <w:rFonts w:hint="eastAsia" w:ascii="方正小标宋简体" w:eastAsia="方正小标宋简体"/>
          <w:sz w:val="36"/>
          <w:szCs w:val="36"/>
          <w:u w:val="single"/>
        </w:rPr>
        <w:t xml:space="preserve">            </w:t>
      </w:r>
      <w:r>
        <w:rPr>
          <w:rFonts w:hint="eastAsia" w:ascii="方正小标宋简体" w:eastAsia="方正小标宋简体"/>
          <w:sz w:val="36"/>
          <w:szCs w:val="36"/>
        </w:rPr>
        <w:t xml:space="preserve">      </w:t>
      </w:r>
    </w:p>
    <w:p>
      <w:pPr>
        <w:spacing w:line="400" w:lineRule="exact"/>
        <w:jc w:val="center"/>
        <w:rPr>
          <w:rFonts w:hint="eastAsia" w:ascii="方正小标宋简体" w:eastAsia="方正小标宋简体"/>
          <w:sz w:val="36"/>
          <w:szCs w:val="36"/>
        </w:rPr>
      </w:pPr>
    </w:p>
    <w:p>
      <w:pPr>
        <w:spacing w:line="400" w:lineRule="exact"/>
        <w:jc w:val="center"/>
        <w:rPr>
          <w:rFonts w:hint="eastAsia" w:ascii="方正小标宋简体" w:eastAsia="方正小标宋简体"/>
          <w:sz w:val="36"/>
          <w:szCs w:val="36"/>
        </w:rPr>
      </w:pPr>
    </w:p>
    <w:p>
      <w:pPr>
        <w:spacing w:line="400" w:lineRule="exact"/>
        <w:jc w:val="center"/>
        <w:rPr>
          <w:rFonts w:hint="eastAsia" w:ascii="方正小标宋简体" w:eastAsia="方正小标宋简体"/>
          <w:sz w:val="36"/>
          <w:szCs w:val="36"/>
        </w:rPr>
      </w:pPr>
    </w:p>
    <w:p>
      <w:pPr>
        <w:spacing w:line="400" w:lineRule="exact"/>
        <w:jc w:val="center"/>
        <w:rPr>
          <w:rFonts w:hint="eastAsia" w:ascii="方正小标宋简体" w:eastAsia="方正小标宋简体"/>
          <w:sz w:val="36"/>
          <w:szCs w:val="36"/>
        </w:rPr>
      </w:pPr>
    </w:p>
    <w:p>
      <w:pPr>
        <w:spacing w:line="400" w:lineRule="exact"/>
        <w:jc w:val="center"/>
        <w:rPr>
          <w:rFonts w:hint="eastAsia" w:ascii="方正小标宋简体" w:eastAsia="方正小标宋简体"/>
          <w:sz w:val="36"/>
          <w:szCs w:val="36"/>
        </w:rPr>
      </w:pPr>
    </w:p>
    <w:p>
      <w:pPr>
        <w:spacing w:line="400" w:lineRule="exact"/>
        <w:jc w:val="center"/>
        <w:rPr>
          <w:rFonts w:hint="eastAsia" w:ascii="方正小标宋简体" w:eastAsia="方正小标宋简体"/>
          <w:sz w:val="36"/>
          <w:szCs w:val="36"/>
        </w:rPr>
      </w:pPr>
    </w:p>
    <w:p>
      <w:pPr>
        <w:spacing w:line="400" w:lineRule="exact"/>
        <w:jc w:val="center"/>
        <w:rPr>
          <w:rFonts w:hint="eastAsia" w:ascii="方正小标宋简体" w:eastAsia="方正小标宋简体"/>
          <w:sz w:val="36"/>
          <w:szCs w:val="36"/>
        </w:rPr>
      </w:pPr>
    </w:p>
    <w:p>
      <w:pPr>
        <w:spacing w:line="400" w:lineRule="exact"/>
        <w:jc w:val="center"/>
        <w:rPr>
          <w:rFonts w:hint="eastAsia" w:ascii="方正小标宋简体" w:eastAsia="方正小标宋简体"/>
          <w:sz w:val="36"/>
          <w:szCs w:val="36"/>
        </w:rPr>
      </w:pPr>
    </w:p>
    <w:p>
      <w:pPr>
        <w:spacing w:line="400" w:lineRule="exact"/>
        <w:jc w:val="center"/>
        <w:rPr>
          <w:rFonts w:hint="eastAsia" w:ascii="方正小标宋简体" w:eastAsia="方正小标宋简体"/>
          <w:sz w:val="36"/>
          <w:szCs w:val="36"/>
        </w:rPr>
      </w:pPr>
    </w:p>
    <w:p>
      <w:pPr>
        <w:spacing w:line="400" w:lineRule="exact"/>
        <w:jc w:val="center"/>
        <w:rPr>
          <w:rFonts w:hint="eastAsia" w:ascii="方正小标宋简体" w:eastAsia="方正小标宋简体"/>
          <w:sz w:val="36"/>
          <w:szCs w:val="36"/>
        </w:rPr>
      </w:pPr>
    </w:p>
    <w:p>
      <w:pPr>
        <w:spacing w:line="400" w:lineRule="exact"/>
        <w:jc w:val="center"/>
        <w:rPr>
          <w:rFonts w:hint="eastAsia" w:ascii="方正小标宋简体" w:eastAsia="方正小标宋简体"/>
          <w:sz w:val="36"/>
          <w:szCs w:val="36"/>
        </w:rPr>
      </w:pPr>
    </w:p>
    <w:p>
      <w:pPr>
        <w:spacing w:line="400" w:lineRule="exact"/>
        <w:jc w:val="center"/>
        <w:rPr>
          <w:rFonts w:hint="eastAsia" w:ascii="方正小标宋简体" w:eastAsia="方正小标宋简体"/>
          <w:sz w:val="36"/>
          <w:szCs w:val="36"/>
        </w:rPr>
      </w:pPr>
    </w:p>
    <w:p>
      <w:pPr>
        <w:spacing w:line="400" w:lineRule="exact"/>
        <w:jc w:val="center"/>
        <w:rPr>
          <w:rFonts w:hint="eastAsia" w:ascii="方正小标宋简体" w:eastAsia="方正小标宋简体"/>
          <w:sz w:val="36"/>
          <w:szCs w:val="36"/>
        </w:rPr>
      </w:pPr>
    </w:p>
    <w:p>
      <w:pPr>
        <w:spacing w:line="400" w:lineRule="exact"/>
        <w:jc w:val="center"/>
        <w:rPr>
          <w:rFonts w:hint="eastAsia" w:ascii="方正小标宋简体" w:eastAsia="方正小标宋简体"/>
          <w:sz w:val="36"/>
          <w:szCs w:val="36"/>
        </w:rPr>
      </w:pPr>
    </w:p>
    <w:p>
      <w:pPr>
        <w:spacing w:line="400" w:lineRule="exact"/>
        <w:jc w:val="center"/>
        <w:rPr>
          <w:rFonts w:hint="eastAsia" w:ascii="方正小标宋简体" w:eastAsia="方正小标宋简体"/>
          <w:sz w:val="36"/>
          <w:szCs w:val="36"/>
        </w:rPr>
      </w:pPr>
    </w:p>
    <w:p>
      <w:pPr>
        <w:spacing w:line="400" w:lineRule="exact"/>
        <w:jc w:val="center"/>
        <w:rPr>
          <w:rFonts w:hint="eastAsia" w:ascii="方正小标宋简体" w:eastAsia="方正小标宋简体"/>
          <w:sz w:val="36"/>
          <w:szCs w:val="36"/>
        </w:rPr>
      </w:pPr>
    </w:p>
    <w:p>
      <w:pPr>
        <w:spacing w:line="400" w:lineRule="exact"/>
        <w:jc w:val="center"/>
        <w:rPr>
          <w:rFonts w:hint="eastAsia" w:ascii="方正小标宋简体" w:eastAsia="方正小标宋简体"/>
          <w:sz w:val="36"/>
          <w:szCs w:val="36"/>
        </w:rPr>
      </w:pPr>
    </w:p>
    <w:p>
      <w:pPr>
        <w:spacing w:line="400" w:lineRule="exact"/>
        <w:rPr>
          <w:rFonts w:hint="eastAsia" w:ascii="方正小标宋简体" w:eastAsia="方正小标宋简体"/>
          <w:sz w:val="36"/>
          <w:szCs w:val="36"/>
        </w:rPr>
      </w:pPr>
    </w:p>
    <w:p>
      <w:pPr>
        <w:spacing w:line="400" w:lineRule="exact"/>
        <w:jc w:val="center"/>
        <w:rPr>
          <w:rFonts w:hint="eastAsia" w:ascii="方正小标宋简体" w:eastAsia="方正小标宋简体"/>
          <w:sz w:val="36"/>
          <w:szCs w:val="36"/>
        </w:rPr>
      </w:pPr>
    </w:p>
    <w:p>
      <w:pPr>
        <w:spacing w:line="400" w:lineRule="exact"/>
        <w:jc w:val="center"/>
        <w:rPr>
          <w:rFonts w:ascii="方正小标宋简体" w:eastAsia="方正小标宋简体"/>
          <w:sz w:val="36"/>
          <w:szCs w:val="36"/>
        </w:rPr>
      </w:pPr>
      <w:r>
        <w:rPr>
          <w:rFonts w:hint="eastAsia" w:ascii="方正小标宋简体" w:eastAsia="方正小标宋简体"/>
          <w:sz w:val="36"/>
          <w:szCs w:val="36"/>
        </w:rPr>
        <w:t>目录</w:t>
      </w:r>
    </w:p>
    <w:p>
      <w:pPr>
        <w:spacing w:line="560" w:lineRule="exact"/>
        <w:jc w:val="center"/>
        <w:rPr>
          <w:rFonts w:ascii="黑体" w:eastAsia="黑体"/>
          <w:b/>
          <w:sz w:val="44"/>
          <w:szCs w:val="44"/>
        </w:rPr>
      </w:pPr>
    </w:p>
    <w:p>
      <w:pPr>
        <w:numPr>
          <w:ilvl w:val="0"/>
          <w:numId w:val="1"/>
        </w:numPr>
        <w:tabs>
          <w:tab w:val="left" w:pos="0"/>
        </w:tabs>
        <w:spacing w:line="560" w:lineRule="exact"/>
        <w:rPr>
          <w:rFonts w:ascii="仿宋_GB2312" w:eastAsia="仿宋_GB2312"/>
          <w:sz w:val="32"/>
          <w:szCs w:val="32"/>
        </w:rPr>
      </w:pPr>
      <w:r>
        <w:rPr>
          <w:rFonts w:hint="eastAsia" w:ascii="仿宋_GB2312" w:eastAsia="仿宋_GB2312"/>
          <w:sz w:val="32"/>
          <w:szCs w:val="32"/>
        </w:rPr>
        <w:t>主体责任</w:t>
      </w:r>
    </w:p>
    <w:p>
      <w:pPr>
        <w:numPr>
          <w:ilvl w:val="0"/>
          <w:numId w:val="1"/>
        </w:numPr>
        <w:spacing w:line="560" w:lineRule="exact"/>
        <w:rPr>
          <w:rFonts w:ascii="仿宋_GB2312" w:eastAsia="仿宋_GB2312"/>
          <w:sz w:val="32"/>
          <w:szCs w:val="32"/>
        </w:rPr>
      </w:pPr>
      <w:r>
        <w:rPr>
          <w:rFonts w:hint="eastAsia" w:ascii="仿宋_GB2312" w:eastAsia="仿宋_GB2312"/>
          <w:sz w:val="32"/>
          <w:szCs w:val="32"/>
        </w:rPr>
        <w:t>职责边界</w:t>
      </w:r>
    </w:p>
    <w:p>
      <w:pPr>
        <w:numPr>
          <w:ilvl w:val="0"/>
          <w:numId w:val="1"/>
        </w:numPr>
        <w:spacing w:line="560" w:lineRule="exact"/>
        <w:ind w:left="946"/>
        <w:rPr>
          <w:rFonts w:ascii="仿宋_GB2312" w:eastAsia="仿宋_GB2312"/>
          <w:sz w:val="32"/>
          <w:szCs w:val="32"/>
        </w:rPr>
      </w:pPr>
      <w:r>
        <w:rPr>
          <w:rFonts w:hint="eastAsia" w:ascii="仿宋_GB2312" w:eastAsia="仿宋_GB2312"/>
          <w:sz w:val="32"/>
          <w:szCs w:val="32"/>
        </w:rPr>
        <w:t>序号</w:t>
      </w:r>
    </w:p>
    <w:p>
      <w:pPr>
        <w:numPr>
          <w:ilvl w:val="0"/>
          <w:numId w:val="1"/>
        </w:numPr>
        <w:spacing w:line="560" w:lineRule="exact"/>
        <w:rPr>
          <w:rFonts w:hint="eastAsia" w:ascii="仿宋_GB2312" w:eastAsia="仿宋_GB2312"/>
          <w:sz w:val="32"/>
          <w:szCs w:val="32"/>
        </w:rPr>
      </w:pPr>
      <w:r>
        <w:rPr>
          <w:rFonts w:hint="eastAsia" w:ascii="仿宋_GB2312" w:eastAsia="仿宋_GB2312"/>
          <w:sz w:val="32"/>
          <w:szCs w:val="32"/>
        </w:rPr>
        <w:t>权力类型</w:t>
      </w:r>
    </w:p>
    <w:p>
      <w:pPr>
        <w:numPr>
          <w:ilvl w:val="0"/>
          <w:numId w:val="1"/>
        </w:numPr>
        <w:spacing w:line="560" w:lineRule="exact"/>
        <w:rPr>
          <w:rFonts w:ascii="仿宋_GB2312" w:eastAsia="仿宋_GB2312"/>
          <w:sz w:val="32"/>
          <w:szCs w:val="32"/>
        </w:rPr>
      </w:pPr>
      <w:r>
        <w:rPr>
          <w:rFonts w:hint="eastAsia" w:ascii="仿宋_GB2312" w:eastAsia="仿宋_GB2312"/>
          <w:sz w:val="32"/>
          <w:szCs w:val="32"/>
        </w:rPr>
        <w:t>权力项目名称</w:t>
      </w:r>
    </w:p>
    <w:p>
      <w:pPr>
        <w:numPr>
          <w:ilvl w:val="0"/>
          <w:numId w:val="1"/>
        </w:numPr>
        <w:spacing w:line="560" w:lineRule="exact"/>
        <w:rPr>
          <w:rFonts w:ascii="仿宋_GB2312" w:eastAsia="仿宋_GB2312"/>
          <w:sz w:val="32"/>
          <w:szCs w:val="32"/>
        </w:rPr>
      </w:pPr>
      <w:r>
        <w:rPr>
          <w:rFonts w:hint="eastAsia" w:ascii="仿宋_GB2312" w:eastAsia="仿宋_GB2312"/>
          <w:sz w:val="32"/>
          <w:szCs w:val="32"/>
        </w:rPr>
        <w:t>实施依据</w:t>
      </w:r>
    </w:p>
    <w:p>
      <w:pPr>
        <w:numPr>
          <w:ilvl w:val="0"/>
          <w:numId w:val="1"/>
        </w:numPr>
        <w:spacing w:line="560" w:lineRule="exact"/>
        <w:rPr>
          <w:rFonts w:ascii="仿宋_GB2312" w:eastAsia="仿宋_GB2312"/>
          <w:sz w:val="32"/>
          <w:szCs w:val="32"/>
        </w:rPr>
      </w:pPr>
      <w:r>
        <w:rPr>
          <w:rFonts w:hint="eastAsia" w:ascii="仿宋_GB2312" w:eastAsia="仿宋_GB2312"/>
          <w:sz w:val="32"/>
          <w:szCs w:val="32"/>
        </w:rPr>
        <w:t>责任主体</w:t>
      </w:r>
    </w:p>
    <w:p>
      <w:pPr>
        <w:numPr>
          <w:ilvl w:val="0"/>
          <w:numId w:val="1"/>
        </w:numPr>
        <w:spacing w:line="560" w:lineRule="exact"/>
        <w:rPr>
          <w:rFonts w:ascii="仿宋_GB2312" w:eastAsia="仿宋_GB2312"/>
          <w:sz w:val="32"/>
          <w:szCs w:val="32"/>
        </w:rPr>
      </w:pPr>
      <w:r>
        <w:rPr>
          <w:rFonts w:hint="eastAsia" w:ascii="仿宋_GB2312" w:eastAsia="仿宋_GB2312"/>
          <w:sz w:val="32"/>
          <w:szCs w:val="32"/>
        </w:rPr>
        <w:t>责任事项</w:t>
      </w:r>
    </w:p>
    <w:p>
      <w:pPr>
        <w:numPr>
          <w:ilvl w:val="0"/>
          <w:numId w:val="1"/>
        </w:numPr>
        <w:spacing w:line="560" w:lineRule="exact"/>
        <w:rPr>
          <w:rFonts w:hint="eastAsia" w:ascii="仿宋_GB2312" w:eastAsia="仿宋_GB2312"/>
          <w:sz w:val="32"/>
          <w:szCs w:val="32"/>
        </w:rPr>
      </w:pPr>
      <w:r>
        <w:rPr>
          <w:rFonts w:hint="eastAsia" w:ascii="仿宋_GB2312" w:eastAsia="仿宋_GB2312"/>
          <w:sz w:val="32"/>
          <w:szCs w:val="32"/>
        </w:rPr>
        <w:t>责任事项依据</w:t>
      </w:r>
    </w:p>
    <w:p>
      <w:pPr>
        <w:numPr>
          <w:ilvl w:val="0"/>
          <w:numId w:val="1"/>
        </w:numPr>
        <w:spacing w:line="560" w:lineRule="exact"/>
        <w:rPr>
          <w:rFonts w:hint="eastAsia" w:ascii="仿宋_GB2312" w:eastAsia="仿宋_GB2312"/>
          <w:sz w:val="32"/>
          <w:szCs w:val="32"/>
        </w:rPr>
      </w:pPr>
      <w:r>
        <w:rPr>
          <w:rFonts w:hint="eastAsia" w:ascii="仿宋_GB2312" w:eastAsia="仿宋_GB2312"/>
          <w:sz w:val="32"/>
          <w:szCs w:val="32"/>
        </w:rPr>
        <w:t>问责依据</w:t>
      </w:r>
    </w:p>
    <w:p>
      <w:pPr>
        <w:numPr>
          <w:ilvl w:val="0"/>
          <w:numId w:val="1"/>
        </w:numPr>
        <w:spacing w:line="560" w:lineRule="exact"/>
        <w:rPr>
          <w:rFonts w:ascii="仿宋_GB2312" w:eastAsia="仿宋_GB2312"/>
          <w:sz w:val="32"/>
          <w:szCs w:val="32"/>
        </w:rPr>
      </w:pPr>
      <w:r>
        <w:rPr>
          <w:rFonts w:hint="eastAsia" w:ascii="仿宋_GB2312" w:eastAsia="仿宋_GB2312"/>
          <w:sz w:val="32"/>
          <w:szCs w:val="32"/>
        </w:rPr>
        <w:t>监督电话</w:t>
      </w:r>
    </w:p>
    <w:p>
      <w:pPr>
        <w:spacing w:line="560" w:lineRule="exact"/>
        <w:rPr>
          <w:rFonts w:ascii="黑体" w:eastAsia="黑体"/>
          <w:b/>
          <w:sz w:val="44"/>
          <w:szCs w:val="44"/>
        </w:rPr>
      </w:pPr>
    </w:p>
    <w:p>
      <w:pP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rPr>
          <w:rFonts w:ascii="黑体" w:eastAsia="黑体"/>
          <w:b/>
          <w:sz w:val="44"/>
          <w:szCs w:val="44"/>
        </w:rPr>
      </w:pPr>
    </w:p>
    <w:p>
      <w:pPr>
        <w:jc w:val="center"/>
        <w:rPr>
          <w:rFonts w:ascii="黑体" w:eastAsia="黑体"/>
          <w:b/>
          <w:sz w:val="44"/>
          <w:szCs w:val="44"/>
        </w:rPr>
      </w:pPr>
    </w:p>
    <w:p>
      <w:pPr>
        <w:spacing w:line="400" w:lineRule="exact"/>
        <w:jc w:val="center"/>
        <w:rPr>
          <w:rFonts w:ascii="方正小标宋简体" w:eastAsia="方正小标宋简体"/>
          <w:sz w:val="36"/>
          <w:szCs w:val="36"/>
        </w:rPr>
      </w:pPr>
      <w:r>
        <w:rPr>
          <w:rFonts w:hint="eastAsia" w:ascii="方正小标宋简体" w:eastAsia="方正小标宋简体"/>
          <w:sz w:val="36"/>
          <w:szCs w:val="36"/>
        </w:rPr>
        <w:t>阿坝县财政局责任清单</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2"/>
        <w:gridCol w:w="7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9576" w:hRule="atLeast"/>
        </w:trPr>
        <w:tc>
          <w:tcPr>
            <w:tcW w:w="1452" w:type="dxa"/>
            <w:vAlign w:val="center"/>
          </w:tcPr>
          <w:p>
            <w:pPr>
              <w:rPr>
                <w:rFonts w:ascii="宋体"/>
                <w:b/>
                <w:kern w:val="0"/>
                <w:szCs w:val="21"/>
              </w:rPr>
            </w:pPr>
            <w:r>
              <w:rPr>
                <w:rFonts w:hint="eastAsia" w:ascii="宋体" w:hAnsi="宋体"/>
                <w:b/>
                <w:kern w:val="0"/>
                <w:szCs w:val="21"/>
              </w:rPr>
              <w:t>主体责任</w:t>
            </w:r>
          </w:p>
        </w:tc>
        <w:tc>
          <w:tcPr>
            <w:tcW w:w="7070" w:type="dxa"/>
          </w:tcPr>
          <w:p>
            <w:pPr>
              <w:ind w:firstLine="315" w:firstLineChars="150"/>
              <w:jc w:val="left"/>
              <w:rPr>
                <w:rFonts w:ascii="宋体" w:cs="仿宋_GB2312"/>
                <w:kern w:val="0"/>
                <w:szCs w:val="21"/>
              </w:rPr>
            </w:pPr>
            <w:r>
              <w:rPr>
                <w:rFonts w:hint="eastAsia" w:ascii="宋体" w:hAnsi="宋体"/>
                <w:kern w:val="0"/>
                <w:szCs w:val="21"/>
              </w:rPr>
              <w:t>（</w:t>
            </w:r>
            <w:r>
              <w:rPr>
                <w:rFonts w:hint="eastAsia" w:ascii="宋体" w:hAnsi="宋体" w:cs="仿宋_GB2312"/>
                <w:kern w:val="0"/>
                <w:szCs w:val="21"/>
              </w:rPr>
              <w:t>一）拟定和执行阿坝县财政的发展战略、方针政策及中、长期财政规划；贯彻执行财政分配政策和财政改革方案；参与宏观经济分析预测和全县重大宏观经济政策的制定；提出运用财税政策实施宏观经济调控和综合平衡金县财力的建议；制定构建地方公共财政体系的政策、制度；指导全县财政工作。</w:t>
            </w:r>
          </w:p>
          <w:p>
            <w:pPr>
              <w:jc w:val="left"/>
              <w:rPr>
                <w:rFonts w:ascii="宋体" w:cs="仿宋_GB2312"/>
                <w:kern w:val="0"/>
                <w:szCs w:val="21"/>
              </w:rPr>
            </w:pPr>
            <w:r>
              <w:rPr>
                <w:rFonts w:ascii="宋体" w:hAnsi="宋体" w:cs="仿宋_GB2312"/>
                <w:kern w:val="0"/>
                <w:szCs w:val="21"/>
              </w:rPr>
              <w:t xml:space="preserve">    </w:t>
            </w:r>
            <w:r>
              <w:rPr>
                <w:rFonts w:hint="eastAsia" w:ascii="宋体" w:hAnsi="宋体" w:cs="仿宋_GB2312"/>
                <w:kern w:val="0"/>
                <w:szCs w:val="21"/>
              </w:rPr>
              <w:t>（二）贯彻执行国家财税法律、法规和方针、政策，负责组织起草地方性财税法规草案、实施办法和规章制度并组织实施。管理中央转贷的特种国债。</w:t>
            </w:r>
          </w:p>
          <w:p>
            <w:pPr>
              <w:jc w:val="left"/>
              <w:rPr>
                <w:rFonts w:ascii="宋体" w:cs="仿宋_GB2312"/>
                <w:kern w:val="0"/>
                <w:szCs w:val="21"/>
              </w:rPr>
            </w:pPr>
            <w:r>
              <w:rPr>
                <w:rFonts w:ascii="宋体" w:hAnsi="宋体" w:cs="仿宋_GB2312"/>
                <w:kern w:val="0"/>
                <w:szCs w:val="21"/>
              </w:rPr>
              <w:t xml:space="preserve">    </w:t>
            </w:r>
            <w:r>
              <w:rPr>
                <w:rFonts w:hint="eastAsia" w:ascii="宋体" w:hAnsi="宋体" w:cs="仿宋_GB2312"/>
                <w:kern w:val="0"/>
                <w:szCs w:val="21"/>
              </w:rPr>
              <w:t>（三）承担各项财政收支管理的责任。负责编制年度县级预算草案并组织执行；受县政府委托，向县人民代表大会报告全县及县本级财政预算及其执行情况，向县人大常委会报告决算；组织制定经费开支标准、定额，负责审核批复部门（单位）的年度</w:t>
            </w:r>
          </w:p>
          <w:p>
            <w:pPr>
              <w:jc w:val="left"/>
              <w:rPr>
                <w:rFonts w:ascii="宋体" w:cs="仿宋_GB2312"/>
                <w:kern w:val="0"/>
                <w:szCs w:val="21"/>
              </w:rPr>
            </w:pPr>
            <w:r>
              <w:rPr>
                <w:rFonts w:hint="eastAsia" w:ascii="宋体" w:hAnsi="宋体" w:cs="仿宋_GB2312"/>
                <w:kern w:val="0"/>
                <w:szCs w:val="21"/>
              </w:rPr>
              <w:t>预决算。完善转移支付制度。</w:t>
            </w:r>
          </w:p>
          <w:p>
            <w:pPr>
              <w:jc w:val="left"/>
              <w:rPr>
                <w:rFonts w:ascii="宋体" w:cs="仿宋_GB2312"/>
                <w:kern w:val="0"/>
                <w:szCs w:val="21"/>
              </w:rPr>
            </w:pPr>
            <w:r>
              <w:rPr>
                <w:rFonts w:ascii="宋体" w:hAnsi="宋体" w:cs="仿宋_GB2312"/>
                <w:kern w:val="0"/>
                <w:szCs w:val="21"/>
              </w:rPr>
              <w:t xml:space="preserve">    </w:t>
            </w:r>
            <w:r>
              <w:rPr>
                <w:rFonts w:hint="eastAsia" w:ascii="宋体" w:hAnsi="宋体" w:cs="仿宋_GB2312"/>
                <w:kern w:val="0"/>
                <w:szCs w:val="21"/>
              </w:rPr>
              <w:t>（四）负责政府非税收入管理。负责政府性基金管理，按规定管理行政事业性收费。管理财政票据。制定并组织实施彩票管理政策和有关办法，管理彩票市场，按规定管理彩票基金。</w:t>
            </w:r>
          </w:p>
          <w:p>
            <w:pPr>
              <w:jc w:val="left"/>
              <w:rPr>
                <w:rFonts w:ascii="宋体" w:cs="仿宋_GB2312"/>
                <w:kern w:val="0"/>
                <w:szCs w:val="21"/>
              </w:rPr>
            </w:pPr>
            <w:r>
              <w:rPr>
                <w:rFonts w:ascii="宋体" w:hAnsi="宋体" w:cs="仿宋_GB2312"/>
                <w:kern w:val="0"/>
                <w:szCs w:val="21"/>
              </w:rPr>
              <w:t xml:space="preserve">    </w:t>
            </w:r>
            <w:r>
              <w:rPr>
                <w:rFonts w:hint="eastAsia" w:ascii="宋体" w:hAnsi="宋体" w:cs="仿宋_GB2312"/>
                <w:kern w:val="0"/>
                <w:szCs w:val="21"/>
              </w:rPr>
              <w:t>（五）组织制定全县国库管理制度、国库集中收付制度，指导和监督国库业务，按规定开展国库现金管理工作。负责制定政府采购制度，监督管理全县政府采购工作。</w:t>
            </w:r>
          </w:p>
          <w:p>
            <w:pPr>
              <w:jc w:val="left"/>
              <w:rPr>
                <w:rFonts w:ascii="宋体" w:cs="仿宋_GB2312"/>
                <w:kern w:val="0"/>
                <w:szCs w:val="21"/>
              </w:rPr>
            </w:pPr>
            <w:r>
              <w:rPr>
                <w:rFonts w:ascii="宋体" w:hAnsi="宋体" w:cs="仿宋_GB2312"/>
                <w:kern w:val="0"/>
                <w:szCs w:val="21"/>
              </w:rPr>
              <w:t xml:space="preserve">    </w:t>
            </w:r>
            <w:r>
              <w:rPr>
                <w:rFonts w:hint="eastAsia" w:ascii="宋体" w:hAnsi="宋体" w:cs="仿宋_GB2312"/>
                <w:kern w:val="0"/>
                <w:szCs w:val="21"/>
              </w:rPr>
              <w:t>（六）会同有关部门管理全县社会保障、就业和医疗卫生支出，会同有关部门拟订社会保障资金（基金）的财务管理制度，编制县级社会保障预决算草案。</w:t>
            </w:r>
          </w:p>
          <w:p>
            <w:pPr>
              <w:jc w:val="left"/>
              <w:rPr>
                <w:rFonts w:ascii="宋体" w:cs="仿宋_GB2312"/>
                <w:kern w:val="0"/>
                <w:szCs w:val="21"/>
              </w:rPr>
            </w:pPr>
            <w:r>
              <w:rPr>
                <w:rFonts w:ascii="宋体" w:hAnsi="宋体" w:cs="仿宋_GB2312"/>
                <w:kern w:val="0"/>
                <w:szCs w:val="21"/>
              </w:rPr>
              <w:t xml:space="preserve">    </w:t>
            </w:r>
            <w:r>
              <w:rPr>
                <w:rFonts w:hint="eastAsia" w:ascii="宋体" w:hAnsi="宋体" w:cs="仿宋_GB2312"/>
                <w:kern w:val="0"/>
                <w:szCs w:val="21"/>
              </w:rPr>
              <w:t>（七）负责组织执行政府债务管理制度和政策，制定具体管理办法，负责管理政府债务，防范财政风险。参与研究利用外资的有关政策，管理外国政府和国际金融机构（赠）款项目的有关业务。</w:t>
            </w:r>
          </w:p>
          <w:p>
            <w:pPr>
              <w:jc w:val="left"/>
              <w:rPr>
                <w:rFonts w:ascii="宋体" w:cs="仿宋_GB2312"/>
                <w:kern w:val="0"/>
                <w:szCs w:val="21"/>
              </w:rPr>
            </w:pPr>
            <w:r>
              <w:rPr>
                <w:rFonts w:ascii="宋体" w:hAnsi="宋体" w:cs="仿宋_GB2312"/>
                <w:kern w:val="0"/>
                <w:szCs w:val="21"/>
              </w:rPr>
              <w:t xml:space="preserve">    </w:t>
            </w:r>
            <w:r>
              <w:rPr>
                <w:rFonts w:hint="eastAsia" w:ascii="宋体" w:hAnsi="宋体" w:cs="仿宋_GB2312"/>
                <w:kern w:val="0"/>
                <w:szCs w:val="21"/>
              </w:rPr>
              <w:t>（八）负责审核和汇总编制全县国有资本经营预决算草案，制定国有资本经营预算的制度和办法，收取县本级企业国有资本收益，组织实施企业财务制度，按规定管理金融类国有资产，参与拟订企业国有资产管理相关制度，按规定管理资产评估工作。</w:t>
            </w:r>
          </w:p>
          <w:p>
            <w:pPr>
              <w:ind w:firstLine="420" w:firstLineChars="200"/>
              <w:rPr>
                <w:rFonts w:ascii="宋体" w:cs="仿宋_GB2312"/>
                <w:kern w:val="0"/>
                <w:szCs w:val="21"/>
              </w:rPr>
            </w:pPr>
            <w:r>
              <w:rPr>
                <w:rFonts w:hint="eastAsia" w:ascii="宋体" w:hAnsi="宋体" w:cs="仿宋_GB2312"/>
                <w:kern w:val="0"/>
                <w:szCs w:val="21"/>
              </w:rPr>
              <w:t>（九）负责制定全县行政事业单位国有资产管理规章制度及县级机关事业单位国有资产收益管理办法并对执行情况进行监督检查，负责县级机关国有资产经营收益财政专户管理工作。制定需要全县统一规定的开支标准和支出政策。</w:t>
            </w:r>
          </w:p>
          <w:p>
            <w:pPr>
              <w:ind w:firstLine="420" w:firstLineChars="200"/>
              <w:rPr>
                <w:rFonts w:ascii="宋体" w:cs="仿宋_GB2312"/>
                <w:kern w:val="0"/>
                <w:szCs w:val="21"/>
              </w:rPr>
            </w:pPr>
            <w:r>
              <w:rPr>
                <w:rFonts w:hint="eastAsia" w:ascii="宋体" w:hAnsi="宋体" w:cs="仿宋_GB2312"/>
                <w:kern w:val="0"/>
                <w:szCs w:val="21"/>
              </w:rPr>
              <w:t>（十）负责办理和监督财政性经济发展支出、政府性投资项目的财政拨款，负责投贤评审管理工作，参与拟订政府性建设投资的有关政策，制定基本建设财务制度，负责有关政策性补贴和专项储备资金财务管理工作。负责全县农业综合开发管理工作。</w:t>
            </w:r>
          </w:p>
          <w:p>
            <w:pPr>
              <w:rPr>
                <w:rFonts w:ascii="宋体" w:cs="仿宋_GB2312"/>
                <w:kern w:val="0"/>
                <w:szCs w:val="21"/>
              </w:rPr>
            </w:pPr>
            <w:r>
              <w:rPr>
                <w:rFonts w:ascii="宋体" w:hAnsi="宋体" w:cs="仿宋_GB2312"/>
                <w:kern w:val="0"/>
                <w:szCs w:val="21"/>
              </w:rPr>
              <w:t xml:space="preserve">    </w:t>
            </w:r>
            <w:r>
              <w:rPr>
                <w:rFonts w:hint="eastAsia" w:ascii="宋体" w:hAnsi="宋体" w:cs="仿宋_GB2312"/>
                <w:kern w:val="0"/>
                <w:szCs w:val="21"/>
              </w:rPr>
              <w:t>（十一）负责管理全县会计工作，监督和规范会计行为，组织实施国家统一会计制度和补充规定；会同有关部门管理会计专业技术职称工作。</w:t>
            </w:r>
          </w:p>
          <w:p>
            <w:pPr>
              <w:rPr>
                <w:rFonts w:ascii="宋体" w:cs="仿宋_GB2312"/>
                <w:kern w:val="0"/>
                <w:szCs w:val="21"/>
              </w:rPr>
            </w:pPr>
            <w:r>
              <w:rPr>
                <w:rFonts w:ascii="宋体" w:hAnsi="宋体" w:cs="仿宋_GB2312"/>
                <w:kern w:val="0"/>
                <w:szCs w:val="21"/>
              </w:rPr>
              <w:t xml:space="preserve">    </w:t>
            </w:r>
            <w:r>
              <w:rPr>
                <w:rFonts w:hint="eastAsia" w:ascii="宋体" w:hAnsi="宋体" w:cs="仿宋_GB2312"/>
                <w:kern w:val="0"/>
                <w:szCs w:val="21"/>
              </w:rPr>
              <w:t>（十二）负责财政资金绩效评价。监督检查财税政策、法律法规的执行情况，反映财政收支中的重大问题。依法查处重点违反财经纪律的行为。</w:t>
            </w:r>
          </w:p>
          <w:p>
            <w:pPr>
              <w:rPr>
                <w:rFonts w:ascii="宋体" w:cs="仿宋_GB2312"/>
                <w:kern w:val="0"/>
                <w:szCs w:val="21"/>
              </w:rPr>
            </w:pPr>
            <w:r>
              <w:rPr>
                <w:rFonts w:ascii="宋体" w:hAnsi="宋体" w:cs="仿宋_GB2312"/>
                <w:kern w:val="0"/>
                <w:szCs w:val="21"/>
              </w:rPr>
              <w:t xml:space="preserve">    </w:t>
            </w:r>
            <w:r>
              <w:rPr>
                <w:rFonts w:hint="eastAsia" w:ascii="宋体" w:hAnsi="宋体" w:cs="仿宋_GB2312"/>
                <w:kern w:val="0"/>
                <w:szCs w:val="21"/>
              </w:rPr>
              <w:t>（十三）制定财政科研计划和教育培训规划；组织财政业务培训；负责财政信息和财政宣传工作；指导县财政系统抓好精神文明建设和廉政建设，做好财政系统干部职工的思想政治工作。</w:t>
            </w:r>
          </w:p>
          <w:p>
            <w:pPr>
              <w:rPr>
                <w:rFonts w:ascii="宋体" w:cs="仿宋_GB2312"/>
                <w:kern w:val="0"/>
                <w:szCs w:val="21"/>
              </w:rPr>
            </w:pPr>
            <w:r>
              <w:rPr>
                <w:kern w:val="0"/>
              </w:rPr>
              <w:t xml:space="preserve">    </w:t>
            </w:r>
            <w:r>
              <w:rPr>
                <w:rFonts w:hint="eastAsia"/>
                <w:kern w:val="0"/>
              </w:rPr>
              <w:t>（十四）承担县政府公布的有关行政审批事项。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7" w:hRule="atLeast"/>
        </w:trPr>
        <w:tc>
          <w:tcPr>
            <w:tcW w:w="1452" w:type="dxa"/>
            <w:vAlign w:val="center"/>
          </w:tcPr>
          <w:p>
            <w:pPr>
              <w:rPr>
                <w:rFonts w:ascii="宋体"/>
                <w:b/>
                <w:kern w:val="0"/>
                <w:szCs w:val="21"/>
              </w:rPr>
            </w:pPr>
            <w:r>
              <w:rPr>
                <w:rFonts w:hint="eastAsia" w:ascii="宋体" w:hAnsi="宋体"/>
                <w:b/>
                <w:kern w:val="0"/>
                <w:szCs w:val="21"/>
              </w:rPr>
              <w:t>职责边界</w:t>
            </w:r>
          </w:p>
        </w:tc>
        <w:tc>
          <w:tcPr>
            <w:tcW w:w="7070" w:type="dxa"/>
            <w:vAlign w:val="center"/>
          </w:tcPr>
          <w:p>
            <w:pPr>
              <w:rPr>
                <w:rFonts w:ascii="宋体"/>
                <w:kern w:val="0"/>
                <w:szCs w:val="21"/>
              </w:rPr>
            </w:pPr>
            <w:r>
              <w:rPr>
                <w:rFonts w:hint="eastAsia" w:ascii="宋体" w:hAnsi="宋体"/>
                <w:kern w:val="0"/>
                <w:szCs w:val="21"/>
              </w:rPr>
              <w:t>所属事业单位的设置、职责和编制事项另行规定。</w:t>
            </w:r>
          </w:p>
        </w:tc>
      </w:tr>
    </w:tbl>
    <w:p>
      <w:pPr>
        <w:spacing w:line="400" w:lineRule="exact"/>
        <w:rPr>
          <w:rFonts w:ascii="方正小标宋简体" w:eastAsia="方正小标宋简体"/>
          <w:sz w:val="36"/>
          <w:szCs w:val="36"/>
        </w:rPr>
      </w:pPr>
    </w:p>
    <w:p>
      <w:pPr>
        <w:spacing w:line="400" w:lineRule="exact"/>
        <w:rPr>
          <w:rFonts w:ascii="方正小标宋简体" w:eastAsia="方正小标宋简体"/>
          <w:sz w:val="36"/>
          <w:szCs w:val="36"/>
        </w:rPr>
      </w:pPr>
    </w:p>
    <w:p>
      <w:pPr>
        <w:spacing w:line="400" w:lineRule="exact"/>
        <w:rPr>
          <w:rFonts w:ascii="方正小标宋简体" w:eastAsia="方正小标宋简体"/>
          <w:sz w:val="36"/>
          <w:szCs w:val="36"/>
        </w:rPr>
      </w:pPr>
    </w:p>
    <w:p>
      <w:pPr>
        <w:spacing w:line="400" w:lineRule="exact"/>
        <w:rPr>
          <w:rFonts w:ascii="方正小标宋简体" w:eastAsia="方正小标宋简体"/>
          <w:sz w:val="36"/>
          <w:szCs w:val="36"/>
        </w:rPr>
      </w:pPr>
    </w:p>
    <w:p>
      <w:pPr>
        <w:spacing w:line="400" w:lineRule="exact"/>
        <w:rPr>
          <w:rFonts w:ascii="方正小标宋简体" w:eastAsia="方正小标宋简体"/>
          <w:sz w:val="36"/>
          <w:szCs w:val="36"/>
        </w:rPr>
      </w:pPr>
    </w:p>
    <w:p>
      <w:pPr>
        <w:spacing w:line="400" w:lineRule="exact"/>
        <w:jc w:val="center"/>
        <w:rPr>
          <w:rFonts w:ascii="方正小标宋简体" w:eastAsia="方正小标宋简体"/>
          <w:sz w:val="36"/>
          <w:szCs w:val="36"/>
        </w:rPr>
      </w:pPr>
    </w:p>
    <w:p>
      <w:pPr>
        <w:spacing w:line="400" w:lineRule="exact"/>
        <w:jc w:val="center"/>
        <w:rPr>
          <w:rFonts w:ascii="方正小标宋简体" w:eastAsia="方正小标宋简体"/>
          <w:sz w:val="36"/>
          <w:szCs w:val="36"/>
        </w:rPr>
      </w:pPr>
    </w:p>
    <w:p>
      <w:pPr>
        <w:spacing w:line="400" w:lineRule="exact"/>
        <w:jc w:val="center"/>
        <w:rPr>
          <w:rFonts w:ascii="方正小标宋简体" w:hAnsi="宋体" w:eastAsia="方正小标宋简体"/>
          <w:color w:val="000000"/>
          <w:sz w:val="36"/>
          <w:szCs w:val="36"/>
        </w:rPr>
      </w:pPr>
      <w:r>
        <w:rPr>
          <w:rFonts w:hint="eastAsia" w:ascii="方正小标宋简体" w:eastAsia="方正小标宋简体"/>
          <w:sz w:val="36"/>
          <w:szCs w:val="36"/>
        </w:rPr>
        <w:t>县财政局责任清单（</w:t>
      </w:r>
      <w:r>
        <w:rPr>
          <w:rFonts w:hint="eastAsia" w:ascii="方正小标宋简体" w:hAnsi="宋体" w:eastAsia="方正小标宋简体"/>
          <w:color w:val="000000"/>
          <w:sz w:val="36"/>
          <w:szCs w:val="36"/>
        </w:rPr>
        <w:t>行政许可）</w:t>
      </w:r>
    </w:p>
    <w:tbl>
      <w:tblPr>
        <w:tblStyle w:val="5"/>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trPr>
        <w:tc>
          <w:tcPr>
            <w:tcW w:w="1951" w:type="dxa"/>
            <w:vAlign w:val="center"/>
          </w:tcPr>
          <w:p>
            <w:pPr>
              <w:rPr>
                <w:rFonts w:ascii="宋体" w:cs="仿宋_GB2312"/>
                <w:szCs w:val="21"/>
              </w:rPr>
            </w:pPr>
            <w:r>
              <w:rPr>
                <w:rFonts w:hint="eastAsia" w:ascii="宋体" w:hAnsi="宋体"/>
                <w:b/>
                <w:kern w:val="0"/>
                <w:szCs w:val="21"/>
              </w:rPr>
              <w:t>序号</w:t>
            </w:r>
          </w:p>
        </w:tc>
        <w:tc>
          <w:tcPr>
            <w:tcW w:w="7109" w:type="dxa"/>
            <w:vAlign w:val="center"/>
          </w:tcPr>
          <w:p>
            <w:pPr>
              <w:jc w:val="center"/>
              <w:rPr>
                <w:rFonts w:ascii="宋体" w:hAnsi="宋体" w:cs="仿宋_GB2312"/>
                <w:szCs w:val="21"/>
              </w:rPr>
            </w:pPr>
            <w:r>
              <w:rPr>
                <w:rFonts w:ascii="宋体" w:hAnsi="宋体" w:cs="仿宋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1951" w:type="dxa"/>
            <w:vAlign w:val="center"/>
          </w:tcPr>
          <w:p>
            <w:pPr>
              <w:rPr>
                <w:rFonts w:ascii="宋体" w:cs="仿宋_GB2312"/>
                <w:szCs w:val="21"/>
              </w:rPr>
            </w:pPr>
            <w:r>
              <w:rPr>
                <w:rFonts w:hint="eastAsia" w:ascii="宋体" w:hAnsi="宋体"/>
                <w:b/>
                <w:kern w:val="0"/>
                <w:szCs w:val="21"/>
              </w:rPr>
              <w:t>权力类型</w:t>
            </w:r>
          </w:p>
        </w:tc>
        <w:tc>
          <w:tcPr>
            <w:tcW w:w="7109" w:type="dxa"/>
            <w:vAlign w:val="center"/>
          </w:tcPr>
          <w:p>
            <w:pPr>
              <w:jc w:val="center"/>
              <w:rPr>
                <w:rFonts w:ascii="宋体" w:cs="仿宋_GB2312"/>
                <w:szCs w:val="21"/>
              </w:rPr>
            </w:pPr>
            <w:r>
              <w:rPr>
                <w:rFonts w:hint="eastAsia" w:ascii="宋体" w:hAnsi="宋体" w:cs="仿宋_GB2312"/>
                <w:szCs w:val="21"/>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951" w:type="dxa"/>
            <w:vAlign w:val="center"/>
          </w:tcPr>
          <w:p>
            <w:pPr>
              <w:rPr>
                <w:rFonts w:ascii="宋体" w:cs="仿宋_GB2312"/>
                <w:szCs w:val="21"/>
              </w:rPr>
            </w:pPr>
            <w:r>
              <w:rPr>
                <w:rFonts w:hint="eastAsia" w:ascii="宋体" w:hAnsi="宋体"/>
                <w:b/>
                <w:kern w:val="0"/>
                <w:szCs w:val="21"/>
              </w:rPr>
              <w:t>权力项目名称</w:t>
            </w:r>
          </w:p>
        </w:tc>
        <w:tc>
          <w:tcPr>
            <w:tcW w:w="7109" w:type="dxa"/>
            <w:vAlign w:val="center"/>
          </w:tcPr>
          <w:p>
            <w:pPr>
              <w:rPr>
                <w:rFonts w:ascii="宋体" w:cs="仿宋_GB2312"/>
                <w:szCs w:val="21"/>
              </w:rPr>
            </w:pPr>
            <w:r>
              <w:rPr>
                <w:rFonts w:hint="eastAsia" w:ascii="宋体" w:hAnsi="宋体"/>
                <w:szCs w:val="21"/>
              </w:rPr>
              <w:t>会计代理记账机构执业资格认定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1951" w:type="dxa"/>
            <w:vAlign w:val="center"/>
          </w:tcPr>
          <w:p>
            <w:pPr>
              <w:rPr>
                <w:rFonts w:ascii="宋体" w:cs="仿宋_GB2312"/>
                <w:szCs w:val="21"/>
              </w:rPr>
            </w:pPr>
            <w:r>
              <w:rPr>
                <w:rFonts w:hint="eastAsia" w:ascii="宋体" w:hAnsi="宋体"/>
                <w:b/>
                <w:kern w:val="0"/>
                <w:szCs w:val="21"/>
              </w:rPr>
              <w:t>实施依据</w:t>
            </w:r>
          </w:p>
        </w:tc>
        <w:tc>
          <w:tcPr>
            <w:tcW w:w="7109" w:type="dxa"/>
            <w:vAlign w:val="center"/>
          </w:tcPr>
          <w:p>
            <w:pPr>
              <w:pStyle w:val="3"/>
              <w:spacing w:before="0" w:beforeAutospacing="0" w:after="0" w:afterAutospacing="0"/>
              <w:jc w:val="both"/>
              <w:rPr>
                <w:sz w:val="21"/>
                <w:szCs w:val="21"/>
              </w:rPr>
            </w:pPr>
            <w:r>
              <w:rPr>
                <w:sz w:val="21"/>
                <w:szCs w:val="21"/>
              </w:rPr>
              <w:t>1.</w:t>
            </w:r>
            <w:r>
              <w:rPr>
                <w:rFonts w:hint="eastAsia"/>
                <w:sz w:val="21"/>
                <w:szCs w:val="21"/>
              </w:rPr>
              <w:t>《中华人民共和国会计法》第三十六条</w:t>
            </w:r>
            <w:r>
              <w:rPr>
                <w:sz w:val="21"/>
                <w:szCs w:val="21"/>
              </w:rPr>
              <w:t xml:space="preserve">  </w:t>
            </w:r>
            <w:r>
              <w:rPr>
                <w:rFonts w:hint="eastAsia"/>
                <w:sz w:val="21"/>
                <w:szCs w:val="21"/>
              </w:rPr>
              <w:t>各单位应当根据会计业务的需要，设置会计机构，或者在有关机构中设置会计人员并指定会计主管人员；不具备设置条件的，应当委托经批准设立从事会计代理记账业务的中介机构代理记账；</w:t>
            </w:r>
          </w:p>
          <w:p>
            <w:pPr>
              <w:pStyle w:val="3"/>
              <w:spacing w:before="0" w:beforeAutospacing="0" w:after="0" w:afterAutospacing="0"/>
              <w:jc w:val="both"/>
              <w:rPr>
                <w:sz w:val="21"/>
                <w:szCs w:val="21"/>
              </w:rPr>
            </w:pPr>
            <w:r>
              <w:rPr>
                <w:sz w:val="21"/>
                <w:szCs w:val="21"/>
              </w:rPr>
              <w:t>2.</w:t>
            </w:r>
            <w:r>
              <w:rPr>
                <w:rFonts w:hint="eastAsia"/>
                <w:szCs w:val="21"/>
              </w:rPr>
              <w:t>《代理记账管理办法》（财政部令第</w:t>
            </w:r>
            <w:r>
              <w:rPr>
                <w:szCs w:val="21"/>
              </w:rPr>
              <w:t>27</w:t>
            </w:r>
            <w:r>
              <w:rPr>
                <w:rFonts w:hint="eastAsia"/>
                <w:szCs w:val="21"/>
              </w:rPr>
              <w:t>号）</w:t>
            </w:r>
            <w:r>
              <w:rPr>
                <w:rFonts w:hint="eastAsia"/>
                <w:sz w:val="21"/>
                <w:szCs w:val="21"/>
              </w:rPr>
              <w:t>第一条</w:t>
            </w:r>
            <w:r>
              <w:rPr>
                <w:sz w:val="21"/>
                <w:szCs w:val="21"/>
              </w:rPr>
              <w:t> </w:t>
            </w:r>
            <w:r>
              <w:rPr>
                <w:rFonts w:hint="eastAsia"/>
                <w:sz w:val="21"/>
                <w:szCs w:val="21"/>
              </w:rPr>
              <w:t>为了加强代理记账机构的管理，规范代理记账业务，促进代理记账行业的</w:t>
            </w:r>
            <w:r>
              <w:fldChar w:fldCharType="begin"/>
            </w:r>
            <w:r>
              <w:instrText xml:space="preserve"> HYPERLINK "http://www.chinaacc.com/web/rs_kjts_zn/" \t "_blank" </w:instrText>
            </w:r>
            <w:r>
              <w:fldChar w:fldCharType="separate"/>
            </w:r>
            <w:r>
              <w:rPr>
                <w:rFonts w:hint="eastAsia"/>
                <w:sz w:val="21"/>
                <w:szCs w:val="21"/>
              </w:rPr>
              <w:t>健康</w:t>
            </w:r>
            <w:r>
              <w:rPr>
                <w:rFonts w:hint="eastAsia"/>
                <w:sz w:val="21"/>
                <w:szCs w:val="21"/>
              </w:rPr>
              <w:fldChar w:fldCharType="end"/>
            </w:r>
            <w:r>
              <w:rPr>
                <w:rFonts w:hint="eastAsia"/>
                <w:sz w:val="21"/>
                <w:szCs w:val="21"/>
              </w:rPr>
              <w:t>发展，根据《中华人民共和国</w:t>
            </w:r>
            <w:r>
              <w:fldChar w:fldCharType="begin"/>
            </w:r>
            <w:r>
              <w:instrText xml:space="preserve"> HYPERLINK "http://www.chinaacc.com/" \t "_blank" </w:instrText>
            </w:r>
            <w:r>
              <w:fldChar w:fldCharType="separate"/>
            </w:r>
            <w:r>
              <w:rPr>
                <w:rFonts w:hint="eastAsia"/>
                <w:sz w:val="21"/>
                <w:szCs w:val="21"/>
              </w:rPr>
              <w:t>会计</w:t>
            </w:r>
            <w:r>
              <w:rPr>
                <w:rFonts w:hint="eastAsia"/>
                <w:sz w:val="21"/>
                <w:szCs w:val="21"/>
              </w:rPr>
              <w:fldChar w:fldCharType="end"/>
            </w:r>
            <w:r>
              <w:rPr>
                <w:rFonts w:hint="eastAsia"/>
                <w:sz w:val="21"/>
                <w:szCs w:val="21"/>
              </w:rPr>
              <w:t>法》及其他法律、法规的规定，制定本办法。</w:t>
            </w:r>
          </w:p>
          <w:p>
            <w:pPr>
              <w:widowControl/>
              <w:rPr>
                <w:rFonts w:ascii="宋体" w:cs="宋体"/>
                <w:kern w:val="0"/>
                <w:szCs w:val="21"/>
              </w:rPr>
            </w:pPr>
            <w:r>
              <w:rPr>
                <w:szCs w:val="21"/>
              </w:rPr>
              <w:t>3.</w:t>
            </w:r>
            <w:r>
              <w:rPr>
                <w:rFonts w:hint="eastAsia"/>
                <w:szCs w:val="21"/>
              </w:rPr>
              <w:t>《代理记账管理办法》（财政部令第</w:t>
            </w:r>
            <w:r>
              <w:rPr>
                <w:szCs w:val="21"/>
              </w:rPr>
              <w:t>27</w:t>
            </w:r>
            <w:r>
              <w:rPr>
                <w:rFonts w:hint="eastAsia"/>
                <w:szCs w:val="21"/>
              </w:rPr>
              <w:t>号）第三条　申请设立除会计师事务所以外的代理记账机构，应当经所在地的县级以上人民政府财政部门</w:t>
            </w:r>
            <w:r>
              <w:rPr>
                <w:szCs w:val="21"/>
              </w:rPr>
              <w:t>(</w:t>
            </w:r>
            <w:r>
              <w:rPr>
                <w:rFonts w:hint="eastAsia"/>
                <w:szCs w:val="21"/>
              </w:rPr>
              <w:t>以下简称审批机关</w:t>
            </w:r>
            <w:r>
              <w:rPr>
                <w:szCs w:val="21"/>
              </w:rPr>
              <w:t>)</w:t>
            </w:r>
            <w:r>
              <w:rPr>
                <w:rFonts w:hint="eastAsia"/>
                <w:szCs w:val="21"/>
              </w:rPr>
              <w:t>批准，并领取由财政部统一印制的代理记账许可证书。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trPr>
        <w:tc>
          <w:tcPr>
            <w:tcW w:w="1951" w:type="dxa"/>
            <w:vAlign w:val="center"/>
          </w:tcPr>
          <w:p>
            <w:pPr>
              <w:rPr>
                <w:rFonts w:ascii="宋体" w:cs="仿宋_GB2312"/>
                <w:szCs w:val="21"/>
              </w:rPr>
            </w:pPr>
            <w:r>
              <w:rPr>
                <w:rFonts w:hint="eastAsia" w:ascii="宋体" w:hAnsi="宋体"/>
                <w:b/>
                <w:kern w:val="0"/>
                <w:szCs w:val="21"/>
              </w:rPr>
              <w:t>责任主体</w:t>
            </w:r>
          </w:p>
        </w:tc>
        <w:tc>
          <w:tcPr>
            <w:tcW w:w="7109" w:type="dxa"/>
            <w:vAlign w:val="center"/>
          </w:tcPr>
          <w:p>
            <w:pPr>
              <w:jc w:val="center"/>
              <w:rPr>
                <w:rFonts w:ascii="宋体" w:cs="仿宋_GB2312"/>
                <w:szCs w:val="21"/>
              </w:rPr>
            </w:pPr>
            <w:r>
              <w:rPr>
                <w:rFonts w:hint="eastAsia" w:ascii="宋体" w:hAnsi="宋体" w:cs="仿宋_GB2312"/>
                <w:szCs w:val="21"/>
              </w:rPr>
              <w:t>阿坝县财政局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1951" w:type="dxa"/>
            <w:vAlign w:val="center"/>
          </w:tcPr>
          <w:p>
            <w:pPr>
              <w:rPr>
                <w:rFonts w:ascii="宋体" w:cs="仿宋_GB2312"/>
                <w:szCs w:val="21"/>
              </w:rPr>
            </w:pPr>
            <w:r>
              <w:rPr>
                <w:rFonts w:hint="eastAsia" w:ascii="宋体" w:hAnsi="宋体"/>
                <w:b/>
                <w:kern w:val="0"/>
                <w:szCs w:val="21"/>
              </w:rPr>
              <w:t>责任事项</w:t>
            </w:r>
          </w:p>
        </w:tc>
        <w:tc>
          <w:tcPr>
            <w:tcW w:w="7109" w:type="dxa"/>
            <w:vAlign w:val="center"/>
          </w:tcPr>
          <w:p>
            <w:pPr>
              <w:jc w:val="left"/>
              <w:rPr>
                <w:rFonts w:ascii="宋体" w:cs="仿宋_GB2312"/>
                <w:szCs w:val="21"/>
              </w:rPr>
            </w:pPr>
            <w:r>
              <w:rPr>
                <w:rFonts w:ascii="宋体" w:hAnsi="宋体" w:cs="仿宋_GB2312"/>
                <w:szCs w:val="21"/>
              </w:rPr>
              <w:t>1.</w:t>
            </w:r>
            <w:r>
              <w:rPr>
                <w:rFonts w:hint="eastAsia" w:ascii="宋体" w:hAnsi="宋体" w:cs="仿宋_GB2312"/>
                <w:szCs w:val="21"/>
              </w:rPr>
              <w:t>受理责任：公示应当提交的材料，一次性告知补正材料，依法受理或不予受理（不予受理应当告知理由）。</w:t>
            </w:r>
          </w:p>
          <w:p>
            <w:pPr>
              <w:jc w:val="left"/>
              <w:rPr>
                <w:rFonts w:ascii="宋体" w:cs="仿宋_GB2312"/>
                <w:szCs w:val="21"/>
              </w:rPr>
            </w:pPr>
            <w:r>
              <w:rPr>
                <w:rFonts w:ascii="宋体" w:hAnsi="宋体" w:cs="仿宋_GB2312"/>
                <w:szCs w:val="21"/>
              </w:rPr>
              <w:t>2.</w:t>
            </w:r>
            <w:r>
              <w:rPr>
                <w:rFonts w:hint="eastAsia" w:ascii="宋体" w:hAnsi="宋体" w:cs="仿宋_GB2312"/>
                <w:szCs w:val="21"/>
              </w:rPr>
              <w:t>审查责任：按照</w:t>
            </w:r>
            <w:r>
              <w:rPr>
                <w:rFonts w:hint="eastAsia" w:ascii="宋体" w:hAnsi="宋体" w:cs="宋体"/>
                <w:color w:val="000000"/>
                <w:kern w:val="0"/>
                <w:szCs w:val="21"/>
              </w:rPr>
              <w:t>《代理记账管理办法》要求</w:t>
            </w:r>
            <w:r>
              <w:rPr>
                <w:rFonts w:ascii="宋体" w:cs="宋体"/>
                <w:color w:val="000000"/>
                <w:kern w:val="0"/>
                <w:szCs w:val="21"/>
              </w:rPr>
              <w:t>,</w:t>
            </w:r>
            <w:r>
              <w:rPr>
                <w:rFonts w:hint="eastAsia" w:ascii="宋体" w:hAnsi="宋体" w:cs="仿宋_GB2312"/>
                <w:szCs w:val="21"/>
              </w:rPr>
              <w:t>对书面申请材料进行审查，提出是否同意审批意见，组织现场检查验收。</w:t>
            </w:r>
          </w:p>
          <w:p>
            <w:pPr>
              <w:jc w:val="left"/>
              <w:rPr>
                <w:rFonts w:ascii="宋体" w:cs="仿宋_GB2312"/>
                <w:szCs w:val="21"/>
              </w:rPr>
            </w:pPr>
            <w:r>
              <w:rPr>
                <w:rFonts w:ascii="宋体" w:hAnsi="宋体" w:cs="仿宋_GB2312"/>
                <w:szCs w:val="21"/>
              </w:rPr>
              <w:t>3.</w:t>
            </w:r>
            <w:r>
              <w:rPr>
                <w:rFonts w:hint="eastAsia" w:ascii="宋体" w:hAnsi="宋体" w:cs="仿宋_GB2312"/>
                <w:szCs w:val="21"/>
              </w:rPr>
              <w:t>决定责任：作出行政许可或者不予行政许可决定，法定告知（不予许可的应当书面告知理由），</w:t>
            </w:r>
            <w:r>
              <w:rPr>
                <w:rFonts w:hint="eastAsia" w:ascii="宋体" w:hAnsi="宋体" w:cs="宋体"/>
                <w:color w:val="363636"/>
                <w:kern w:val="0"/>
                <w:szCs w:val="21"/>
              </w:rPr>
              <w:t>并告知申请人享有依法申请行政复议或者提起行政诉讼的权利。</w:t>
            </w:r>
          </w:p>
          <w:p>
            <w:pPr>
              <w:jc w:val="left"/>
              <w:rPr>
                <w:rFonts w:ascii="宋体" w:cs="仿宋_GB2312"/>
                <w:szCs w:val="21"/>
              </w:rPr>
            </w:pPr>
            <w:r>
              <w:rPr>
                <w:rFonts w:ascii="宋体" w:hAnsi="宋体" w:cs="仿宋_GB2312"/>
                <w:szCs w:val="21"/>
              </w:rPr>
              <w:t>4.</w:t>
            </w:r>
            <w:r>
              <w:rPr>
                <w:rFonts w:hint="eastAsia" w:ascii="宋体" w:hAnsi="宋体" w:cs="仿宋_GB2312"/>
                <w:szCs w:val="21"/>
              </w:rPr>
              <w:t>事后监管责任：建立实施监督检查的运行机制和管理制度，开展定期和不定期检查，依法采取相关处置措施。</w:t>
            </w:r>
          </w:p>
          <w:p>
            <w:pPr>
              <w:jc w:val="left"/>
              <w:rPr>
                <w:rFonts w:ascii="宋体" w:cs="仿宋_GB2312"/>
                <w:b/>
                <w:szCs w:val="21"/>
              </w:rPr>
            </w:pPr>
            <w:r>
              <w:rPr>
                <w:rFonts w:ascii="宋体" w:hAnsi="宋体" w:cs="仿宋_GB2312"/>
                <w:szCs w:val="21"/>
              </w:rPr>
              <w:t>5.</w:t>
            </w:r>
            <w:r>
              <w:rPr>
                <w:rFonts w:hint="eastAsia" w:ascii="宋体" w:hAnsi="宋体" w:cs="仿宋_GB2312"/>
                <w:szCs w:val="21"/>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1951" w:type="dxa"/>
            <w:vAlign w:val="center"/>
          </w:tcPr>
          <w:p>
            <w:pPr>
              <w:rPr>
                <w:rFonts w:ascii="宋体" w:cs="仿宋_GB2312"/>
                <w:szCs w:val="21"/>
              </w:rPr>
            </w:pPr>
            <w:r>
              <w:rPr>
                <w:rFonts w:hint="eastAsia" w:ascii="宋体" w:hAnsi="宋体"/>
                <w:b/>
                <w:kern w:val="0"/>
                <w:szCs w:val="21"/>
              </w:rPr>
              <w:t>责任事项依据</w:t>
            </w:r>
          </w:p>
        </w:tc>
        <w:tc>
          <w:tcPr>
            <w:tcW w:w="7109" w:type="dxa"/>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jc w:val="left"/>
              <w:rPr>
                <w:rFonts w:ascii="宋体" w:cs="仿宋_GB2312"/>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1951" w:type="dxa"/>
            <w:vAlign w:val="center"/>
          </w:tcPr>
          <w:p>
            <w:pPr>
              <w:rPr>
                <w:rFonts w:ascii="宋体" w:cs="仿宋_GB2312"/>
                <w:szCs w:val="21"/>
              </w:rPr>
            </w:pPr>
            <w:r>
              <w:rPr>
                <w:rFonts w:hint="eastAsia" w:ascii="宋体" w:hAnsi="宋体"/>
                <w:b/>
                <w:kern w:val="0"/>
                <w:szCs w:val="21"/>
              </w:rPr>
              <w:t>问责依据</w:t>
            </w:r>
          </w:p>
        </w:tc>
        <w:tc>
          <w:tcPr>
            <w:tcW w:w="7109" w:type="dxa"/>
            <w:vAlign w:val="center"/>
          </w:tcPr>
          <w:p>
            <w:pPr>
              <w:rPr>
                <w:rFonts w:ascii="宋体" w:cs="仿宋_GB2312"/>
                <w:szCs w:val="21"/>
              </w:rPr>
            </w:pPr>
            <w:r>
              <w:rPr>
                <w:rFonts w:hint="eastAsia" w:ascii="宋体" w:hAnsi="宋体" w:cs="仿宋_GB2312"/>
                <w:szCs w:val="21"/>
              </w:rPr>
              <w:t>对不履行或不正确履行行政职责的行政机关及其工作人员，依据《中华人民共和国监察法》、《中华人民共和国行政许可法》、《行政机关公务员处分条例》、《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1951" w:type="dxa"/>
            <w:vAlign w:val="center"/>
          </w:tcPr>
          <w:p>
            <w:pPr>
              <w:rPr>
                <w:rFonts w:ascii="宋体" w:cs="仿宋_GB2312"/>
                <w:szCs w:val="21"/>
              </w:rPr>
            </w:pPr>
            <w:r>
              <w:rPr>
                <w:rFonts w:hint="eastAsia" w:ascii="宋体" w:hAnsi="宋体"/>
                <w:b/>
                <w:kern w:val="0"/>
                <w:szCs w:val="21"/>
              </w:rPr>
              <w:t>监督电话</w:t>
            </w:r>
          </w:p>
        </w:tc>
        <w:tc>
          <w:tcPr>
            <w:tcW w:w="7109" w:type="dxa"/>
            <w:vAlign w:val="center"/>
          </w:tcPr>
          <w:p>
            <w:pPr>
              <w:jc w:val="center"/>
              <w:rPr>
                <w:rFonts w:ascii="宋体" w:cs="仿宋_GB2312"/>
                <w:szCs w:val="21"/>
              </w:rPr>
            </w:pPr>
            <w:r>
              <w:rPr>
                <w:rFonts w:ascii="宋体" w:hAnsi="宋体" w:cs="仿宋_GB2312"/>
                <w:szCs w:val="21"/>
              </w:rPr>
              <w:t>0837—2481507</w:t>
            </w:r>
            <w:r>
              <w:rPr>
                <w:rFonts w:hint="eastAsia" w:ascii="宋体" w:hAnsi="宋体" w:cs="仿宋_GB2312"/>
                <w:szCs w:val="21"/>
              </w:rPr>
              <w:t>（监督监察室）</w:t>
            </w:r>
          </w:p>
        </w:tc>
      </w:tr>
    </w:tbl>
    <w:p>
      <w:pPr>
        <w:spacing w:line="400" w:lineRule="exact"/>
        <w:rPr>
          <w:rFonts w:ascii="方正小标宋简体" w:eastAsia="方正小标宋简体"/>
          <w:sz w:val="36"/>
          <w:szCs w:val="36"/>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093A"/>
    <w:multiLevelType w:val="multilevel"/>
    <w:tmpl w:val="0308093A"/>
    <w:lvl w:ilvl="0" w:tentative="0">
      <w:start w:val="1"/>
      <w:numFmt w:val="japaneseCounting"/>
      <w:lvlText w:val="%1."/>
      <w:lvlJc w:val="left"/>
      <w:pPr>
        <w:tabs>
          <w:tab w:val="left" w:pos="945"/>
        </w:tabs>
        <w:ind w:left="945" w:hanging="765"/>
      </w:pPr>
      <w:rPr>
        <w:rFonts w:hint="default" w:cs="Times New Roman"/>
      </w:rPr>
    </w:lvl>
    <w:lvl w:ilvl="1" w:tentative="0">
      <w:start w:val="1"/>
      <w:numFmt w:val="lowerLetter"/>
      <w:lvlText w:val="%2)"/>
      <w:lvlJc w:val="left"/>
      <w:pPr>
        <w:tabs>
          <w:tab w:val="left" w:pos="1020"/>
        </w:tabs>
        <w:ind w:left="1020" w:hanging="420"/>
      </w:pPr>
      <w:rPr>
        <w:rFonts w:cs="Times New Roman"/>
      </w:rPr>
    </w:lvl>
    <w:lvl w:ilvl="2" w:tentative="0">
      <w:start w:val="1"/>
      <w:numFmt w:val="lowerRoman"/>
      <w:lvlText w:val="%3."/>
      <w:lvlJc w:val="right"/>
      <w:pPr>
        <w:tabs>
          <w:tab w:val="left" w:pos="1440"/>
        </w:tabs>
        <w:ind w:left="1440" w:hanging="420"/>
      </w:pPr>
      <w:rPr>
        <w:rFonts w:cs="Times New Roman"/>
      </w:rPr>
    </w:lvl>
    <w:lvl w:ilvl="3" w:tentative="0">
      <w:start w:val="1"/>
      <w:numFmt w:val="decimal"/>
      <w:lvlText w:val="%4."/>
      <w:lvlJc w:val="left"/>
      <w:pPr>
        <w:tabs>
          <w:tab w:val="left" w:pos="1860"/>
        </w:tabs>
        <w:ind w:left="1860" w:hanging="420"/>
      </w:pPr>
      <w:rPr>
        <w:rFonts w:cs="Times New Roman"/>
      </w:rPr>
    </w:lvl>
    <w:lvl w:ilvl="4" w:tentative="0">
      <w:start w:val="1"/>
      <w:numFmt w:val="lowerLetter"/>
      <w:lvlText w:val="%5)"/>
      <w:lvlJc w:val="left"/>
      <w:pPr>
        <w:tabs>
          <w:tab w:val="left" w:pos="2280"/>
        </w:tabs>
        <w:ind w:left="2280" w:hanging="420"/>
      </w:pPr>
      <w:rPr>
        <w:rFonts w:cs="Times New Roman"/>
      </w:rPr>
    </w:lvl>
    <w:lvl w:ilvl="5" w:tentative="0">
      <w:start w:val="1"/>
      <w:numFmt w:val="lowerRoman"/>
      <w:lvlText w:val="%6."/>
      <w:lvlJc w:val="right"/>
      <w:pPr>
        <w:tabs>
          <w:tab w:val="left" w:pos="2700"/>
        </w:tabs>
        <w:ind w:left="2700" w:hanging="420"/>
      </w:pPr>
      <w:rPr>
        <w:rFonts w:cs="Times New Roman"/>
      </w:rPr>
    </w:lvl>
    <w:lvl w:ilvl="6" w:tentative="0">
      <w:start w:val="1"/>
      <w:numFmt w:val="decimal"/>
      <w:lvlText w:val="%7."/>
      <w:lvlJc w:val="left"/>
      <w:pPr>
        <w:tabs>
          <w:tab w:val="left" w:pos="3120"/>
        </w:tabs>
        <w:ind w:left="3120" w:hanging="420"/>
      </w:pPr>
      <w:rPr>
        <w:rFonts w:cs="Times New Roman"/>
      </w:rPr>
    </w:lvl>
    <w:lvl w:ilvl="7" w:tentative="0">
      <w:start w:val="1"/>
      <w:numFmt w:val="lowerLetter"/>
      <w:lvlText w:val="%8)"/>
      <w:lvlJc w:val="left"/>
      <w:pPr>
        <w:tabs>
          <w:tab w:val="left" w:pos="3540"/>
        </w:tabs>
        <w:ind w:left="3540" w:hanging="420"/>
      </w:pPr>
      <w:rPr>
        <w:rFonts w:cs="Times New Roman"/>
      </w:rPr>
    </w:lvl>
    <w:lvl w:ilvl="8" w:tentative="0">
      <w:start w:val="1"/>
      <w:numFmt w:val="lowerRoman"/>
      <w:lvlText w:val="%9."/>
      <w:lvlJc w:val="right"/>
      <w:pPr>
        <w:tabs>
          <w:tab w:val="left" w:pos="3960"/>
        </w:tabs>
        <w:ind w:left="396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C1E"/>
    <w:rsid w:val="00045FEF"/>
    <w:rsid w:val="00255932"/>
    <w:rsid w:val="00293874"/>
    <w:rsid w:val="002B7804"/>
    <w:rsid w:val="005105A5"/>
    <w:rsid w:val="005E0467"/>
    <w:rsid w:val="006C2E15"/>
    <w:rsid w:val="006E240E"/>
    <w:rsid w:val="00927532"/>
    <w:rsid w:val="009A5B73"/>
    <w:rsid w:val="00B62C1E"/>
    <w:rsid w:val="00C073AC"/>
    <w:rsid w:val="00C27FCC"/>
    <w:rsid w:val="00D51674"/>
    <w:rsid w:val="00DA691E"/>
    <w:rsid w:val="00E168B2"/>
    <w:rsid w:val="00EC1B36"/>
    <w:rsid w:val="00ED04D3"/>
    <w:rsid w:val="00F5413B"/>
    <w:rsid w:val="00F54BBC"/>
    <w:rsid w:val="00FB25EC"/>
    <w:rsid w:val="787301F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2"/>
    <w:basedOn w:val="1"/>
    <w:link w:val="7"/>
    <w:qFormat/>
    <w:uiPriority w:val="99"/>
    <w:pPr>
      <w:ind w:firstLine="600" w:firstLineChars="200"/>
    </w:pPr>
    <w:rPr>
      <w:rFonts w:ascii="宋体" w:hAnsi="宋体"/>
      <w:sz w:val="30"/>
    </w:rPr>
  </w:style>
  <w:style w:type="paragraph" w:styleId="3">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6">
    <w:name w:val="Table Grid"/>
    <w:basedOn w:val="5"/>
    <w:qFormat/>
    <w:uiPriority w:val="99"/>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正文文本缩进 2 Char"/>
    <w:basedOn w:val="4"/>
    <w:link w:val="2"/>
    <w:qFormat/>
    <w:locked/>
    <w:uiPriority w:val="99"/>
    <w:rPr>
      <w:rFonts w:ascii="宋体" w:hAnsi="宋体" w:eastAsia="宋体" w:cs="Times New Roman"/>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435DB3-C882-437D-A980-613C543A6F20}">
  <ds:schemaRefs/>
</ds:datastoreItem>
</file>

<file path=docProps/app.xml><?xml version="1.0" encoding="utf-8"?>
<Properties xmlns="http://schemas.openxmlformats.org/officeDocument/2006/extended-properties" xmlns:vt="http://schemas.openxmlformats.org/officeDocument/2006/docPropsVTypes">
  <Template>Normal</Template>
  <Pages>6</Pages>
  <Words>2404</Words>
  <Characters>387</Characters>
  <Lines>3</Lines>
  <Paragraphs>5</Paragraphs>
  <TotalTime>0</TotalTime>
  <ScaleCrop>false</ScaleCrop>
  <LinksUpToDate>false</LinksUpToDate>
  <CharactersWithSpaces>2786</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2018-04-25T08:03:00Z</dcterms:created>
  <dc:creator>Administrator</dc:creator>
  <cp:lastModifiedBy>Administrator</cp:lastModifiedBy>
  <cp:lastPrinted>2018-04-26T03:21:00Z</cp:lastPrinted>
  <dcterms:modified xsi:type="dcterms:W3CDTF">2018-05-09T03:50:22Z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