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keepLines/>
        <w:shd w:val="clear" w:color="auto" w:fill="auto"/>
        <w:spacing w:after="140"/>
        <w:rPr>
          <w:highlight w:val="none"/>
        </w:rPr>
      </w:pPr>
      <w:bookmarkStart w:id="2" w:name="_GoBack"/>
      <w:bookmarkEnd w:id="2"/>
      <w:r>
        <w:rPr>
          <w:rFonts w:hint="eastAsia"/>
          <w:highlight w:val="none"/>
          <w:lang w:eastAsia="zh-CN"/>
        </w:rPr>
        <w:t>阿坝县</w:t>
      </w:r>
      <w:r>
        <w:rPr>
          <w:highlight w:val="none"/>
        </w:rPr>
        <w:t>赋予乡镇（街道）县级行政权力事项指导目录</w:t>
      </w:r>
    </w:p>
    <w:p>
      <w:pPr>
        <w:pStyle w:val="4"/>
        <w:shd w:val="clear" w:color="auto" w:fill="auto"/>
        <w:spacing w:after="140"/>
        <w:ind w:firstLine="600"/>
        <w:rPr>
          <w:sz w:val="32"/>
          <w:szCs w:val="32"/>
        </w:rPr>
      </w:pPr>
    </w:p>
    <w:tbl>
      <w:tblPr>
        <w:tblStyle w:val="2"/>
        <w:tblW w:w="15231" w:type="dxa"/>
        <w:jc w:val="center"/>
        <w:tblInd w:w="0" w:type="dxa"/>
        <w:tblLayout w:type="fixed"/>
        <w:tblCellMar>
          <w:top w:w="0" w:type="dxa"/>
          <w:left w:w="10" w:type="dxa"/>
          <w:bottom w:w="0" w:type="dxa"/>
          <w:right w:w="10" w:type="dxa"/>
        </w:tblCellMar>
      </w:tblPr>
      <w:tblGrid>
        <w:gridCol w:w="667"/>
        <w:gridCol w:w="1450"/>
        <w:gridCol w:w="1166"/>
        <w:gridCol w:w="2443"/>
        <w:gridCol w:w="8098"/>
        <w:gridCol w:w="701"/>
        <w:gridCol w:w="706"/>
      </w:tblGrid>
      <w:tr>
        <w:tblPrEx>
          <w:tblLayout w:type="fixed"/>
          <w:tblCellMar>
            <w:top w:w="0" w:type="dxa"/>
            <w:left w:w="10" w:type="dxa"/>
            <w:bottom w:w="0" w:type="dxa"/>
            <w:right w:w="10" w:type="dxa"/>
          </w:tblCellMar>
        </w:tblPrEx>
        <w:trPr>
          <w:trHeight w:val="350" w:hRule="exact"/>
          <w:jc w:val="center"/>
        </w:trPr>
        <w:tc>
          <w:tcPr>
            <w:tcW w:w="667" w:type="dxa"/>
            <w:vMerge w:val="restart"/>
            <w:tcBorders>
              <w:top w:val="single" w:color="auto" w:sz="4" w:space="0"/>
              <w:left w:val="single" w:color="auto" w:sz="4" w:space="0"/>
            </w:tcBorders>
            <w:shd w:val="clear" w:color="auto" w:fill="FFFFFF"/>
            <w:vAlign w:val="center"/>
          </w:tcPr>
          <w:p>
            <w:pPr>
              <w:pStyle w:val="5"/>
              <w:keepNext/>
              <w:keepLines/>
              <w:shd w:val="clear" w:color="auto" w:fill="auto"/>
              <w:spacing w:after="140"/>
              <w:rPr>
                <w:highlight w:val="none"/>
              </w:rPr>
            </w:pPr>
            <w:bookmarkStart w:id="0" w:name="bookmark3"/>
            <w:bookmarkStart w:id="1" w:name="bookmark2"/>
            <w:r>
              <w:rPr>
                <w:rFonts w:hint="eastAsia"/>
                <w:highlight w:val="none"/>
                <w:lang w:eastAsia="zh-CN"/>
              </w:rPr>
              <w:t>阿坝县</w:t>
            </w:r>
            <w:r>
              <w:rPr>
                <w:highlight w:val="none"/>
              </w:rPr>
              <w:t>赋予乡镇（街道）县级行政权力事项指导目录</w:t>
            </w:r>
            <w:bookmarkEnd w:id="0"/>
            <w:bookmarkEnd w:id="1"/>
          </w:p>
          <w:p>
            <w:pPr>
              <w:pStyle w:val="6"/>
              <w:shd w:val="clear" w:color="auto" w:fill="auto"/>
              <w:jc w:val="center"/>
              <w:rPr>
                <w:sz w:val="24"/>
                <w:szCs w:val="24"/>
              </w:rPr>
            </w:pPr>
            <w:r>
              <w:rPr>
                <w:sz w:val="24"/>
                <w:szCs w:val="24"/>
              </w:rPr>
              <w:t>序号</w:t>
            </w:r>
          </w:p>
        </w:tc>
        <w:tc>
          <w:tcPr>
            <w:tcW w:w="1450"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领域</w:t>
            </w:r>
          </w:p>
        </w:tc>
        <w:tc>
          <w:tcPr>
            <w:tcW w:w="116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权力类型</w:t>
            </w:r>
          </w:p>
        </w:tc>
        <w:tc>
          <w:tcPr>
            <w:tcW w:w="2443"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权力名称</w:t>
            </w:r>
          </w:p>
        </w:tc>
        <w:tc>
          <w:tcPr>
            <w:tcW w:w="8098"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设定依据</w:t>
            </w:r>
          </w:p>
        </w:tc>
        <w:tc>
          <w:tcPr>
            <w:tcW w:w="1407" w:type="dxa"/>
            <w:gridSpan w:val="2"/>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承接主体</w:t>
            </w:r>
          </w:p>
        </w:tc>
      </w:tr>
      <w:tr>
        <w:tblPrEx>
          <w:tblLayout w:type="fixed"/>
          <w:tblCellMar>
            <w:top w:w="0" w:type="dxa"/>
            <w:left w:w="10" w:type="dxa"/>
            <w:bottom w:w="0" w:type="dxa"/>
            <w:right w:w="10" w:type="dxa"/>
          </w:tblCellMar>
        </w:tblPrEx>
        <w:trPr>
          <w:trHeight w:val="346" w:hRule="exact"/>
          <w:jc w:val="center"/>
        </w:trPr>
        <w:tc>
          <w:tcPr>
            <w:tcW w:w="667" w:type="dxa"/>
            <w:vMerge w:val="continue"/>
            <w:tcBorders>
              <w:left w:val="single" w:color="auto" w:sz="4" w:space="0"/>
            </w:tcBorders>
            <w:shd w:val="clear" w:color="auto" w:fill="FFFFFF"/>
            <w:vAlign w:val="center"/>
          </w:tcPr>
          <w:p/>
        </w:tc>
        <w:tc>
          <w:tcPr>
            <w:tcW w:w="1450" w:type="dxa"/>
            <w:vMerge w:val="continue"/>
            <w:tcBorders>
              <w:left w:val="single" w:color="auto" w:sz="4" w:space="0"/>
            </w:tcBorders>
            <w:shd w:val="clear" w:color="auto" w:fill="FFFFFF"/>
            <w:vAlign w:val="center"/>
          </w:tcPr>
          <w:p/>
        </w:tc>
        <w:tc>
          <w:tcPr>
            <w:tcW w:w="1166" w:type="dxa"/>
            <w:vMerge w:val="continue"/>
            <w:tcBorders>
              <w:left w:val="single" w:color="auto" w:sz="4" w:space="0"/>
            </w:tcBorders>
            <w:shd w:val="clear" w:color="auto" w:fill="FFFFFF"/>
            <w:vAlign w:val="center"/>
          </w:tcPr>
          <w:p/>
        </w:tc>
        <w:tc>
          <w:tcPr>
            <w:tcW w:w="2443" w:type="dxa"/>
            <w:vMerge w:val="continue"/>
            <w:tcBorders>
              <w:left w:val="single" w:color="auto" w:sz="4" w:space="0"/>
            </w:tcBorders>
            <w:shd w:val="clear" w:color="auto" w:fill="FFFFFF"/>
            <w:vAlign w:val="center"/>
          </w:tcPr>
          <w:p/>
        </w:tc>
        <w:tc>
          <w:tcPr>
            <w:tcW w:w="8098" w:type="dxa"/>
            <w:vMerge w:val="continue"/>
            <w:tcBorders>
              <w:left w:val="single" w:color="auto" w:sz="4" w:space="0"/>
            </w:tcBorders>
            <w:shd w:val="clear" w:color="auto" w:fill="FFFFFF"/>
            <w:vAlign w:val="center"/>
          </w:tcP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乡镇</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街道</w:t>
            </w:r>
          </w:p>
        </w:tc>
      </w:tr>
      <w:tr>
        <w:tblPrEx>
          <w:tblLayout w:type="fixed"/>
          <w:tblCellMar>
            <w:top w:w="0" w:type="dxa"/>
            <w:left w:w="10" w:type="dxa"/>
            <w:bottom w:w="0" w:type="dxa"/>
            <w:right w:w="10" w:type="dxa"/>
          </w:tblCellMar>
        </w:tblPrEx>
        <w:trPr>
          <w:trHeight w:val="384" w:hRule="exact"/>
          <w:jc w:val="center"/>
        </w:trPr>
        <w:tc>
          <w:tcPr>
            <w:tcW w:w="15231" w:type="dxa"/>
            <w:gridSpan w:val="7"/>
            <w:tcBorders>
              <w:top w:val="single" w:color="auto" w:sz="4" w:space="0"/>
              <w:left w:val="single" w:color="auto" w:sz="4" w:space="0"/>
              <w:right w:val="single" w:color="auto" w:sz="4" w:space="0"/>
            </w:tcBorders>
            <w:shd w:val="clear" w:color="auto" w:fill="FFFFFF"/>
            <w:vAlign w:val="bottom"/>
          </w:tcPr>
          <w:p>
            <w:pPr>
              <w:pStyle w:val="6"/>
              <w:shd w:val="clear" w:color="auto" w:fill="auto"/>
              <w:jc w:val="both"/>
              <w:rPr>
                <w:sz w:val="24"/>
                <w:szCs w:val="24"/>
              </w:rPr>
            </w:pPr>
            <w:r>
              <w:rPr>
                <w:sz w:val="24"/>
                <w:szCs w:val="24"/>
              </w:rPr>
              <w:t>一、行政征收（</w:t>
            </w:r>
            <w:r>
              <w:rPr>
                <w:rFonts w:ascii="Times New Roman" w:hAnsi="Times New Roman" w:eastAsia="Times New Roman" w:cs="Times New Roman"/>
                <w:sz w:val="24"/>
                <w:szCs w:val="24"/>
              </w:rPr>
              <w:t xml:space="preserve">3 </w:t>
            </w:r>
            <w:r>
              <w:rPr>
                <w:sz w:val="24"/>
                <w:szCs w:val="24"/>
              </w:rPr>
              <w:t>项）</w:t>
            </w:r>
          </w:p>
        </w:tc>
      </w:tr>
      <w:tr>
        <w:tblPrEx>
          <w:tblLayout w:type="fixed"/>
          <w:tblCellMar>
            <w:top w:w="0" w:type="dxa"/>
            <w:left w:w="10" w:type="dxa"/>
            <w:bottom w:w="0" w:type="dxa"/>
            <w:right w:w="10" w:type="dxa"/>
          </w:tblCellMar>
        </w:tblPrEx>
        <w:trPr>
          <w:trHeight w:val="2434"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1</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住房城乡建设</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行政征收</w:t>
            </w:r>
          </w:p>
        </w:tc>
        <w:tc>
          <w:tcPr>
            <w:tcW w:w="2443" w:type="dxa"/>
            <w:tcBorders>
              <w:top w:val="single" w:color="auto" w:sz="4" w:space="0"/>
              <w:left w:val="single" w:color="auto" w:sz="4" w:space="0"/>
            </w:tcBorders>
            <w:shd w:val="clear" w:color="auto" w:fill="FFFFFF"/>
            <w:vAlign w:val="center"/>
          </w:tcPr>
          <w:p>
            <w:pPr>
              <w:pStyle w:val="6"/>
              <w:shd w:val="clear" w:color="auto" w:fill="auto"/>
              <w:spacing w:after="60"/>
            </w:pPr>
            <w:r>
              <w:t>城市生活垃圾处理费的</w:t>
            </w:r>
          </w:p>
          <w:p>
            <w:pPr>
              <w:pStyle w:val="6"/>
              <w:shd w:val="clear" w:color="auto" w:fill="auto"/>
            </w:pPr>
            <w:r>
              <w:t>征收</w:t>
            </w:r>
          </w:p>
        </w:tc>
        <w:tc>
          <w:tcPr>
            <w:tcW w:w="8098" w:type="dxa"/>
            <w:tcBorders>
              <w:top w:val="single" w:color="auto" w:sz="4" w:space="0"/>
              <w:left w:val="single" w:color="auto" w:sz="4" w:space="0"/>
            </w:tcBorders>
            <w:shd w:val="clear" w:color="auto" w:fill="FFFFFF"/>
            <w:vAlign w:val="center"/>
          </w:tcPr>
          <w:p>
            <w:pPr>
              <w:pStyle w:val="6"/>
              <w:shd w:val="clear" w:color="auto" w:fill="auto"/>
            </w:pPr>
            <w:r>
              <w:rPr>
                <w:rFonts w:ascii="Times New Roman" w:hAnsi="Times New Roman" w:eastAsia="Times New Roman" w:cs="Times New Roman"/>
                <w:sz w:val="22"/>
                <w:szCs w:val="22"/>
              </w:rPr>
              <w:t>1.</w:t>
            </w:r>
            <w:r>
              <w:t>《城市生活垃圾管理办法》第四条第一款 产生城市生活垃圾的单位和个人，应当 按照城市人民政府确定的生活垃圾处理费收费标准和有关规定缴纳城市生活垃圾处 理费。</w:t>
            </w:r>
          </w:p>
          <w:p>
            <w:pPr>
              <w:pStyle w:val="6"/>
              <w:shd w:val="clear" w:color="auto" w:fill="auto"/>
            </w:pPr>
            <w:r>
              <w:rPr>
                <w:rFonts w:ascii="Times New Roman" w:hAnsi="Times New Roman" w:eastAsia="Times New Roman" w:cs="Times New Roman"/>
                <w:sz w:val="22"/>
                <w:szCs w:val="22"/>
              </w:rPr>
              <w:t>2.</w:t>
            </w:r>
            <w:r>
              <w:t>《四川省城市生活垃圾及危险废物处理收费管理暂行办法》第十三条第一项 （一） 城市生活垃圾处理费由环卫部门按月征收，也可委托电力、天然气、自来水、广电网 络公司、银行等企业或街道办事处代收。对代收单位，可从收取的垃圾处理费中提取 一定比例的手续费。具体手续费标准由各地物价部门核定。</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tcPr>
          <w:p>
            <w:pPr>
              <w:rPr>
                <w:sz w:val="10"/>
                <w:szCs w:val="10"/>
              </w:rPr>
            </w:pPr>
          </w:p>
        </w:tc>
      </w:tr>
      <w:tr>
        <w:tblPrEx>
          <w:tblLayout w:type="fixed"/>
          <w:tblCellMar>
            <w:top w:w="0" w:type="dxa"/>
            <w:left w:w="10" w:type="dxa"/>
            <w:bottom w:w="0" w:type="dxa"/>
            <w:right w:w="10" w:type="dxa"/>
          </w:tblCellMar>
        </w:tblPrEx>
        <w:trPr>
          <w:trHeight w:val="2606" w:hRule="exact"/>
          <w:jc w:val="center"/>
        </w:trPr>
        <w:tc>
          <w:tcPr>
            <w:tcW w:w="667"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2</w:t>
            </w:r>
          </w:p>
        </w:tc>
        <w:tc>
          <w:tcPr>
            <w:tcW w:w="1450"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住房城乡建设</w:t>
            </w:r>
          </w:p>
        </w:tc>
        <w:tc>
          <w:tcPr>
            <w:tcW w:w="116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行政征收</w:t>
            </w:r>
          </w:p>
        </w:tc>
        <w:tc>
          <w:tcPr>
            <w:tcW w:w="2443" w:type="dxa"/>
            <w:tcBorders>
              <w:top w:val="single" w:color="auto" w:sz="4" w:space="0"/>
              <w:left w:val="single" w:color="auto" w:sz="4" w:space="0"/>
              <w:bottom w:val="single" w:color="auto" w:sz="4" w:space="0"/>
            </w:tcBorders>
            <w:shd w:val="clear" w:color="auto" w:fill="FFFFFF"/>
            <w:vAlign w:val="center"/>
          </w:tcPr>
          <w:p>
            <w:pPr>
              <w:pStyle w:val="6"/>
              <w:shd w:val="clear" w:color="auto" w:fill="auto"/>
            </w:pPr>
            <w:r>
              <w:t>污水处理费的征收</w:t>
            </w:r>
          </w:p>
        </w:tc>
        <w:tc>
          <w:tcPr>
            <w:tcW w:w="8098" w:type="dxa"/>
            <w:tcBorders>
              <w:top w:val="single" w:color="auto" w:sz="4" w:space="0"/>
              <w:left w:val="single" w:color="auto" w:sz="4" w:space="0"/>
              <w:bottom w:val="single" w:color="auto" w:sz="4" w:space="0"/>
            </w:tcBorders>
            <w:shd w:val="clear" w:color="auto" w:fill="FFFFFF"/>
            <w:vAlign w:val="center"/>
          </w:tcPr>
          <w:p>
            <w:pPr>
              <w:pStyle w:val="6"/>
              <w:shd w:val="clear" w:color="auto" w:fill="auto"/>
            </w:pPr>
            <w:r>
              <w:rPr>
                <w:rFonts w:ascii="Times New Roman" w:hAnsi="Times New Roman" w:eastAsia="Times New Roman" w:cs="Times New Roman"/>
                <w:sz w:val="22"/>
                <w:szCs w:val="22"/>
              </w:rPr>
              <w:t>1.</w:t>
            </w:r>
            <w:r>
              <w:t>《城镇排水与污水处理条例》第三十二条第一款 排水单位和个人应当按照国家有 关规定缴纳污水处理费。</w:t>
            </w:r>
          </w:p>
          <w:p>
            <w:pPr>
              <w:pStyle w:val="6"/>
              <w:shd w:val="clear" w:color="auto" w:fill="auto"/>
            </w:pPr>
            <w:r>
              <w:rPr>
                <w:rFonts w:ascii="Times New Roman" w:hAnsi="Times New Roman" w:eastAsia="Times New Roman" w:cs="Times New Roman"/>
                <w:sz w:val="22"/>
                <w:szCs w:val="22"/>
              </w:rPr>
              <w:t>2.</w:t>
            </w:r>
            <w:r>
              <w:t>《污水处理费征收使用管理办法》第十三条第一款 使用公共供水的单位和个人， 其污水处理费由城镇排水主管部门委托公共供水企业在收取水费时一并代征，并在发 票中单独列明污水处理费的缴款数额。</w:t>
            </w:r>
          </w:p>
          <w:p>
            <w:pPr>
              <w:pStyle w:val="6"/>
              <w:shd w:val="clear" w:color="auto" w:fill="auto"/>
            </w:pPr>
            <w:r>
              <w:t>《污水处理费征收使用管理办法》第十四条 使用自备水源的单位和个人，其污水处 理费由城镇排水主管部门或其委托的单位征收。各地区应当加强对自备水源的管理， 加大对使用自备水源单位和个人污水处理费的征收力度。</w:t>
            </w:r>
          </w:p>
        </w:tc>
        <w:tc>
          <w:tcPr>
            <w:tcW w:w="701"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r>
    </w:tbl>
    <w:p>
      <w:pPr>
        <w:rPr>
          <w:sz w:val="2"/>
          <w:szCs w:val="2"/>
        </w:rPr>
      </w:pPr>
      <w:r>
        <w:br w:type="page"/>
      </w:r>
    </w:p>
    <w:tbl>
      <w:tblPr>
        <w:tblStyle w:val="2"/>
        <w:tblW w:w="15231" w:type="dxa"/>
        <w:jc w:val="center"/>
        <w:tblInd w:w="0" w:type="dxa"/>
        <w:tblLayout w:type="fixed"/>
        <w:tblCellMar>
          <w:top w:w="0" w:type="dxa"/>
          <w:left w:w="10" w:type="dxa"/>
          <w:bottom w:w="0" w:type="dxa"/>
          <w:right w:w="10" w:type="dxa"/>
        </w:tblCellMar>
      </w:tblPr>
      <w:tblGrid>
        <w:gridCol w:w="667"/>
        <w:gridCol w:w="1450"/>
        <w:gridCol w:w="1166"/>
        <w:gridCol w:w="2443"/>
        <w:gridCol w:w="8098"/>
        <w:gridCol w:w="701"/>
        <w:gridCol w:w="706"/>
      </w:tblGrid>
      <w:tr>
        <w:tblPrEx>
          <w:tblLayout w:type="fixed"/>
          <w:tblCellMar>
            <w:top w:w="0" w:type="dxa"/>
            <w:left w:w="10" w:type="dxa"/>
            <w:bottom w:w="0" w:type="dxa"/>
            <w:right w:w="10" w:type="dxa"/>
          </w:tblCellMar>
        </w:tblPrEx>
        <w:trPr>
          <w:trHeight w:val="360" w:hRule="exact"/>
          <w:jc w:val="center"/>
        </w:trPr>
        <w:tc>
          <w:tcPr>
            <w:tcW w:w="667"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序号</w:t>
            </w:r>
          </w:p>
        </w:tc>
        <w:tc>
          <w:tcPr>
            <w:tcW w:w="1450"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领域</w:t>
            </w:r>
          </w:p>
        </w:tc>
        <w:tc>
          <w:tcPr>
            <w:tcW w:w="116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权力类型</w:t>
            </w:r>
          </w:p>
        </w:tc>
        <w:tc>
          <w:tcPr>
            <w:tcW w:w="2443"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权力名称</w:t>
            </w:r>
          </w:p>
        </w:tc>
        <w:tc>
          <w:tcPr>
            <w:tcW w:w="8098"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设定依据</w:t>
            </w:r>
          </w:p>
        </w:tc>
        <w:tc>
          <w:tcPr>
            <w:tcW w:w="1407" w:type="dxa"/>
            <w:gridSpan w:val="2"/>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承接主体</w:t>
            </w:r>
          </w:p>
        </w:tc>
      </w:tr>
      <w:tr>
        <w:tblPrEx>
          <w:tblLayout w:type="fixed"/>
          <w:tblCellMar>
            <w:top w:w="0" w:type="dxa"/>
            <w:left w:w="10" w:type="dxa"/>
            <w:bottom w:w="0" w:type="dxa"/>
            <w:right w:w="10" w:type="dxa"/>
          </w:tblCellMar>
        </w:tblPrEx>
        <w:trPr>
          <w:trHeight w:val="346" w:hRule="exact"/>
          <w:jc w:val="center"/>
        </w:trPr>
        <w:tc>
          <w:tcPr>
            <w:tcW w:w="667" w:type="dxa"/>
            <w:vMerge w:val="continue"/>
            <w:tcBorders>
              <w:left w:val="single" w:color="auto" w:sz="4" w:space="0"/>
            </w:tcBorders>
            <w:shd w:val="clear" w:color="auto" w:fill="FFFFFF"/>
            <w:vAlign w:val="center"/>
          </w:tcPr>
          <w:p/>
        </w:tc>
        <w:tc>
          <w:tcPr>
            <w:tcW w:w="1450" w:type="dxa"/>
            <w:vMerge w:val="continue"/>
            <w:tcBorders>
              <w:left w:val="single" w:color="auto" w:sz="4" w:space="0"/>
            </w:tcBorders>
            <w:shd w:val="clear" w:color="auto" w:fill="FFFFFF"/>
            <w:vAlign w:val="center"/>
          </w:tcPr>
          <w:p/>
        </w:tc>
        <w:tc>
          <w:tcPr>
            <w:tcW w:w="1166" w:type="dxa"/>
            <w:vMerge w:val="continue"/>
            <w:tcBorders>
              <w:left w:val="single" w:color="auto" w:sz="4" w:space="0"/>
            </w:tcBorders>
            <w:shd w:val="clear" w:color="auto" w:fill="FFFFFF"/>
            <w:vAlign w:val="center"/>
          </w:tcPr>
          <w:p/>
        </w:tc>
        <w:tc>
          <w:tcPr>
            <w:tcW w:w="2443" w:type="dxa"/>
            <w:vMerge w:val="continue"/>
            <w:tcBorders>
              <w:left w:val="single" w:color="auto" w:sz="4" w:space="0"/>
            </w:tcBorders>
            <w:shd w:val="clear" w:color="auto" w:fill="FFFFFF"/>
            <w:vAlign w:val="center"/>
          </w:tcPr>
          <w:p/>
        </w:tc>
        <w:tc>
          <w:tcPr>
            <w:tcW w:w="8098" w:type="dxa"/>
            <w:vMerge w:val="continue"/>
            <w:tcBorders>
              <w:left w:val="single" w:color="auto" w:sz="4" w:space="0"/>
            </w:tcBorders>
            <w:shd w:val="clear" w:color="auto" w:fill="FFFFFF"/>
            <w:vAlign w:val="center"/>
          </w:tcP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乡镇</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街道</w:t>
            </w:r>
          </w:p>
        </w:tc>
      </w:tr>
      <w:tr>
        <w:tblPrEx>
          <w:tblLayout w:type="fixed"/>
          <w:tblCellMar>
            <w:top w:w="0" w:type="dxa"/>
            <w:left w:w="10" w:type="dxa"/>
            <w:bottom w:w="0" w:type="dxa"/>
            <w:right w:w="10" w:type="dxa"/>
          </w:tblCellMar>
        </w:tblPrEx>
        <w:trPr>
          <w:trHeight w:val="3998"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3</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住房城乡建设</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行政征收</w:t>
            </w:r>
          </w:p>
        </w:tc>
        <w:tc>
          <w:tcPr>
            <w:tcW w:w="2443" w:type="dxa"/>
            <w:tcBorders>
              <w:top w:val="single" w:color="auto" w:sz="4" w:space="0"/>
              <w:left w:val="single" w:color="auto" w:sz="4" w:space="0"/>
            </w:tcBorders>
            <w:shd w:val="clear" w:color="auto" w:fill="FFFFFF"/>
            <w:vAlign w:val="center"/>
          </w:tcPr>
          <w:p>
            <w:pPr>
              <w:pStyle w:val="6"/>
              <w:shd w:val="clear" w:color="auto" w:fill="auto"/>
            </w:pPr>
            <w:r>
              <w:t>征收建筑垃圾处置费</w:t>
            </w:r>
          </w:p>
        </w:tc>
        <w:tc>
          <w:tcPr>
            <w:tcW w:w="8098" w:type="dxa"/>
            <w:tcBorders>
              <w:top w:val="single" w:color="auto" w:sz="4" w:space="0"/>
              <w:left w:val="single" w:color="auto" w:sz="4" w:space="0"/>
            </w:tcBorders>
            <w:shd w:val="clear" w:color="auto" w:fill="FFFFFF"/>
            <w:vAlign w:val="center"/>
          </w:tcPr>
          <w:p>
            <w:pPr>
              <w:pStyle w:val="6"/>
              <w:shd w:val="clear" w:color="auto" w:fill="auto"/>
            </w:pPr>
            <w:r>
              <w:rPr>
                <w:rFonts w:ascii="Times New Roman" w:hAnsi="Times New Roman" w:eastAsia="Times New Roman" w:cs="Times New Roman"/>
                <w:sz w:val="22"/>
                <w:szCs w:val="22"/>
              </w:rPr>
              <w:t>1.</w:t>
            </w:r>
            <w:r>
              <w:t>《城市建筑垃圾管理规定》第十六条 建筑垃圾处置实行收费制度，收费标准依据 国家有关规定执行。</w:t>
            </w:r>
          </w:p>
          <w:p>
            <w:pPr>
              <w:pStyle w:val="6"/>
              <w:shd w:val="clear" w:color="auto" w:fill="auto"/>
            </w:pPr>
            <w:r>
              <w:rPr>
                <w:rFonts w:ascii="Times New Roman" w:hAnsi="Times New Roman" w:eastAsia="Times New Roman" w:cs="Times New Roman"/>
                <w:sz w:val="22"/>
                <w:szCs w:val="22"/>
              </w:rPr>
              <w:t>2.</w:t>
            </w:r>
            <w:r>
              <w:t>《四川省城市生活垃圾及危险废物处理收费管理暂行办法》第五条 城市生活垃圾 是指城市人口在日常生活中产生或为城市日常生活提供服务产生的固体废物以及法 律、行政法规规定，视为城市生活垃圾的固体废物（包括建筑垃圾和渣土、不包括工 业固体废物和危险废物）。</w:t>
            </w:r>
          </w:p>
          <w:p>
            <w:pPr>
              <w:pStyle w:val="6"/>
              <w:shd w:val="clear" w:color="auto" w:fill="auto"/>
            </w:pPr>
            <w:r>
              <w:t>《四川省城市生活垃圾及危险废物处理收费管理暂行办法》第十三条第一项 （一）城市生活垃圾处理费由环卫部门按月征收，也可委托电力、天然气、自来水、 广电网络公司、银行等企业或街道办事处代收。对代收单位，可从收取的垃圾处理费 中提取一定比例的手续费。具体手续费标准由各地物价部门核定。</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tcPr>
          <w:p>
            <w:pPr>
              <w:rPr>
                <w:sz w:val="10"/>
                <w:szCs w:val="10"/>
              </w:rPr>
            </w:pPr>
          </w:p>
        </w:tc>
      </w:tr>
      <w:tr>
        <w:tblPrEx>
          <w:tblLayout w:type="fixed"/>
          <w:tblCellMar>
            <w:top w:w="0" w:type="dxa"/>
            <w:left w:w="10" w:type="dxa"/>
            <w:bottom w:w="0" w:type="dxa"/>
            <w:right w:w="10" w:type="dxa"/>
          </w:tblCellMar>
        </w:tblPrEx>
        <w:trPr>
          <w:trHeight w:val="384" w:hRule="exact"/>
          <w:jc w:val="center"/>
        </w:trPr>
        <w:tc>
          <w:tcPr>
            <w:tcW w:w="15231" w:type="dxa"/>
            <w:gridSpan w:val="7"/>
            <w:tcBorders>
              <w:top w:val="single" w:color="auto" w:sz="4" w:space="0"/>
              <w:left w:val="single" w:color="auto" w:sz="4" w:space="0"/>
              <w:right w:val="single" w:color="auto" w:sz="4" w:space="0"/>
            </w:tcBorders>
            <w:shd w:val="clear" w:color="auto" w:fill="FFFFFF"/>
            <w:vAlign w:val="bottom"/>
          </w:tcPr>
          <w:p>
            <w:pPr>
              <w:pStyle w:val="6"/>
              <w:shd w:val="clear" w:color="auto" w:fill="auto"/>
              <w:jc w:val="both"/>
              <w:rPr>
                <w:sz w:val="24"/>
                <w:szCs w:val="24"/>
              </w:rPr>
            </w:pPr>
            <w:r>
              <w:rPr>
                <w:sz w:val="24"/>
                <w:szCs w:val="24"/>
              </w:rPr>
              <w:t>二、行政确认（</w:t>
            </w:r>
            <w:r>
              <w:rPr>
                <w:rFonts w:ascii="Times New Roman" w:hAnsi="Times New Roman" w:eastAsia="Times New Roman" w:cs="Times New Roman"/>
                <w:sz w:val="24"/>
                <w:szCs w:val="24"/>
              </w:rPr>
              <w:t xml:space="preserve">2 </w:t>
            </w:r>
            <w:r>
              <w:rPr>
                <w:sz w:val="24"/>
                <w:szCs w:val="24"/>
              </w:rPr>
              <w:t>项）</w:t>
            </w:r>
          </w:p>
        </w:tc>
      </w:tr>
      <w:tr>
        <w:tblPrEx>
          <w:tblLayout w:type="fixed"/>
          <w:tblCellMar>
            <w:top w:w="0" w:type="dxa"/>
            <w:left w:w="10" w:type="dxa"/>
            <w:bottom w:w="0" w:type="dxa"/>
            <w:right w:w="10" w:type="dxa"/>
          </w:tblCellMar>
        </w:tblPrEx>
        <w:trPr>
          <w:trHeight w:val="1622"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4</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农业农村</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行政确认</w:t>
            </w:r>
          </w:p>
        </w:tc>
        <w:tc>
          <w:tcPr>
            <w:tcW w:w="2443" w:type="dxa"/>
            <w:tcBorders>
              <w:top w:val="single" w:color="auto" w:sz="4" w:space="0"/>
              <w:left w:val="single" w:color="auto" w:sz="4" w:space="0"/>
            </w:tcBorders>
            <w:shd w:val="clear" w:color="auto" w:fill="FFFFFF"/>
            <w:vAlign w:val="center"/>
          </w:tcPr>
          <w:p>
            <w:pPr>
              <w:pStyle w:val="6"/>
              <w:shd w:val="clear" w:color="auto" w:fill="auto"/>
              <w:spacing w:after="60"/>
            </w:pPr>
            <w:r>
              <w:t>农村机电提灌站的产权</w:t>
            </w:r>
          </w:p>
          <w:p>
            <w:pPr>
              <w:pStyle w:val="6"/>
              <w:shd w:val="clear" w:color="auto" w:fill="auto"/>
            </w:pPr>
            <w:r>
              <w:t>登记</w:t>
            </w:r>
          </w:p>
        </w:tc>
        <w:tc>
          <w:tcPr>
            <w:tcW w:w="8098" w:type="dxa"/>
            <w:tcBorders>
              <w:top w:val="single" w:color="auto" w:sz="4" w:space="0"/>
              <w:left w:val="single" w:color="auto" w:sz="4" w:space="0"/>
            </w:tcBorders>
            <w:shd w:val="clear" w:color="auto" w:fill="FFFFFF"/>
            <w:vAlign w:val="center"/>
          </w:tcPr>
          <w:p>
            <w:pPr>
              <w:pStyle w:val="6"/>
              <w:shd w:val="clear" w:color="auto" w:fill="auto"/>
            </w:pPr>
            <w:r>
              <w:t>《四川省农村机电提灌管理条例》第十六条第二款 农村机电提灌站国有资产和非国 有资产的确认，应当依据投资的来源，由县级以上人民政府农业机械主管部门会同有 关部门决定，并按国家有关规定进行产权登记。</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1406" w:hRule="exact"/>
          <w:jc w:val="center"/>
        </w:trPr>
        <w:tc>
          <w:tcPr>
            <w:tcW w:w="667"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5</w:t>
            </w:r>
          </w:p>
        </w:tc>
        <w:tc>
          <w:tcPr>
            <w:tcW w:w="1450"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农业农村</w:t>
            </w:r>
          </w:p>
        </w:tc>
        <w:tc>
          <w:tcPr>
            <w:tcW w:w="116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行政确认</w:t>
            </w:r>
          </w:p>
        </w:tc>
        <w:tc>
          <w:tcPr>
            <w:tcW w:w="2443" w:type="dxa"/>
            <w:tcBorders>
              <w:top w:val="single" w:color="auto" w:sz="4" w:space="0"/>
              <w:left w:val="single" w:color="auto" w:sz="4" w:space="0"/>
              <w:bottom w:val="single" w:color="auto" w:sz="4" w:space="0"/>
            </w:tcBorders>
            <w:shd w:val="clear" w:color="auto" w:fill="FFFFFF"/>
            <w:vAlign w:val="center"/>
          </w:tcPr>
          <w:p>
            <w:pPr>
              <w:pStyle w:val="6"/>
              <w:shd w:val="clear" w:color="auto" w:fill="auto"/>
              <w:spacing w:after="60"/>
            </w:pPr>
            <w:r>
              <w:t>出售废旧机电提灌设备</w:t>
            </w:r>
          </w:p>
          <w:p>
            <w:pPr>
              <w:pStyle w:val="6"/>
              <w:shd w:val="clear" w:color="auto" w:fill="auto"/>
            </w:pPr>
            <w:r>
              <w:t>及其主要零部件的确认</w:t>
            </w:r>
          </w:p>
        </w:tc>
        <w:tc>
          <w:tcPr>
            <w:tcW w:w="8098" w:type="dxa"/>
            <w:tcBorders>
              <w:top w:val="single" w:color="auto" w:sz="4" w:space="0"/>
              <w:left w:val="single" w:color="auto" w:sz="4" w:space="0"/>
              <w:bottom w:val="single" w:color="auto" w:sz="4" w:space="0"/>
            </w:tcBorders>
            <w:shd w:val="clear" w:color="auto" w:fill="FFFFFF"/>
            <w:vAlign w:val="center"/>
          </w:tcPr>
          <w:p>
            <w:pPr>
              <w:pStyle w:val="6"/>
              <w:shd w:val="clear" w:color="auto" w:fill="auto"/>
            </w:pPr>
            <w:r>
              <w:t>《四川省农村机电提灌管理条例》第三十四条第一款 出售废旧机电提灌设备及其 主要零配件，必须持有县级以上人民政府农业机械主管部门开具的有关证明，废旧物 资收购单位应当验证收购。</w:t>
            </w:r>
          </w:p>
        </w:tc>
        <w:tc>
          <w:tcPr>
            <w:tcW w:w="701"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bl>
    <w:p>
      <w:pPr>
        <w:rPr>
          <w:sz w:val="2"/>
          <w:szCs w:val="2"/>
        </w:rPr>
      </w:pPr>
      <w:r>
        <w:br w:type="page"/>
      </w:r>
    </w:p>
    <w:tbl>
      <w:tblPr>
        <w:tblStyle w:val="2"/>
        <w:tblW w:w="15231" w:type="dxa"/>
        <w:jc w:val="center"/>
        <w:tblInd w:w="0" w:type="dxa"/>
        <w:tblLayout w:type="fixed"/>
        <w:tblCellMar>
          <w:top w:w="0" w:type="dxa"/>
          <w:left w:w="10" w:type="dxa"/>
          <w:bottom w:w="0" w:type="dxa"/>
          <w:right w:w="10" w:type="dxa"/>
        </w:tblCellMar>
      </w:tblPr>
      <w:tblGrid>
        <w:gridCol w:w="667"/>
        <w:gridCol w:w="1450"/>
        <w:gridCol w:w="1166"/>
        <w:gridCol w:w="2443"/>
        <w:gridCol w:w="8098"/>
        <w:gridCol w:w="701"/>
        <w:gridCol w:w="706"/>
      </w:tblGrid>
      <w:tr>
        <w:tblPrEx>
          <w:tblLayout w:type="fixed"/>
          <w:tblCellMar>
            <w:top w:w="0" w:type="dxa"/>
            <w:left w:w="10" w:type="dxa"/>
            <w:bottom w:w="0" w:type="dxa"/>
            <w:right w:w="10" w:type="dxa"/>
          </w:tblCellMar>
        </w:tblPrEx>
        <w:trPr>
          <w:trHeight w:val="360" w:hRule="exact"/>
          <w:jc w:val="center"/>
        </w:trPr>
        <w:tc>
          <w:tcPr>
            <w:tcW w:w="667"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序号</w:t>
            </w:r>
          </w:p>
        </w:tc>
        <w:tc>
          <w:tcPr>
            <w:tcW w:w="1450"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领域</w:t>
            </w:r>
          </w:p>
        </w:tc>
        <w:tc>
          <w:tcPr>
            <w:tcW w:w="116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权力类型</w:t>
            </w:r>
          </w:p>
        </w:tc>
        <w:tc>
          <w:tcPr>
            <w:tcW w:w="2443"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权力名称</w:t>
            </w:r>
          </w:p>
        </w:tc>
        <w:tc>
          <w:tcPr>
            <w:tcW w:w="8098"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设定依据</w:t>
            </w:r>
          </w:p>
        </w:tc>
        <w:tc>
          <w:tcPr>
            <w:tcW w:w="1407" w:type="dxa"/>
            <w:gridSpan w:val="2"/>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承接主体</w:t>
            </w:r>
          </w:p>
        </w:tc>
      </w:tr>
      <w:tr>
        <w:tblPrEx>
          <w:tblLayout w:type="fixed"/>
          <w:tblCellMar>
            <w:top w:w="0" w:type="dxa"/>
            <w:left w:w="10" w:type="dxa"/>
            <w:bottom w:w="0" w:type="dxa"/>
            <w:right w:w="10" w:type="dxa"/>
          </w:tblCellMar>
        </w:tblPrEx>
        <w:trPr>
          <w:trHeight w:val="346" w:hRule="exact"/>
          <w:jc w:val="center"/>
        </w:trPr>
        <w:tc>
          <w:tcPr>
            <w:tcW w:w="667" w:type="dxa"/>
            <w:vMerge w:val="continue"/>
            <w:tcBorders>
              <w:left w:val="single" w:color="auto" w:sz="4" w:space="0"/>
            </w:tcBorders>
            <w:shd w:val="clear" w:color="auto" w:fill="FFFFFF"/>
            <w:vAlign w:val="center"/>
          </w:tcPr>
          <w:p/>
        </w:tc>
        <w:tc>
          <w:tcPr>
            <w:tcW w:w="1450" w:type="dxa"/>
            <w:vMerge w:val="continue"/>
            <w:tcBorders>
              <w:left w:val="single" w:color="auto" w:sz="4" w:space="0"/>
            </w:tcBorders>
            <w:shd w:val="clear" w:color="auto" w:fill="FFFFFF"/>
            <w:vAlign w:val="center"/>
          </w:tcPr>
          <w:p/>
        </w:tc>
        <w:tc>
          <w:tcPr>
            <w:tcW w:w="1166" w:type="dxa"/>
            <w:vMerge w:val="continue"/>
            <w:tcBorders>
              <w:left w:val="single" w:color="auto" w:sz="4" w:space="0"/>
            </w:tcBorders>
            <w:shd w:val="clear" w:color="auto" w:fill="FFFFFF"/>
            <w:vAlign w:val="center"/>
          </w:tcPr>
          <w:p/>
        </w:tc>
        <w:tc>
          <w:tcPr>
            <w:tcW w:w="2443" w:type="dxa"/>
            <w:vMerge w:val="continue"/>
            <w:tcBorders>
              <w:left w:val="single" w:color="auto" w:sz="4" w:space="0"/>
            </w:tcBorders>
            <w:shd w:val="clear" w:color="auto" w:fill="FFFFFF"/>
            <w:vAlign w:val="center"/>
          </w:tcPr>
          <w:p/>
        </w:tc>
        <w:tc>
          <w:tcPr>
            <w:tcW w:w="8098" w:type="dxa"/>
            <w:vMerge w:val="continue"/>
            <w:tcBorders>
              <w:left w:val="single" w:color="auto" w:sz="4" w:space="0"/>
            </w:tcBorders>
            <w:shd w:val="clear" w:color="auto" w:fill="FFFFFF"/>
            <w:vAlign w:val="center"/>
          </w:tcP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乡镇</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街道</w:t>
            </w:r>
          </w:p>
        </w:tc>
      </w:tr>
      <w:tr>
        <w:tblPrEx>
          <w:tblLayout w:type="fixed"/>
          <w:tblCellMar>
            <w:top w:w="0" w:type="dxa"/>
            <w:left w:w="10" w:type="dxa"/>
            <w:bottom w:w="0" w:type="dxa"/>
            <w:right w:w="10" w:type="dxa"/>
          </w:tblCellMar>
        </w:tblPrEx>
        <w:trPr>
          <w:trHeight w:val="384" w:hRule="exact"/>
          <w:jc w:val="center"/>
        </w:trPr>
        <w:tc>
          <w:tcPr>
            <w:tcW w:w="15231" w:type="dxa"/>
            <w:gridSpan w:val="7"/>
            <w:tcBorders>
              <w:top w:val="single" w:color="auto" w:sz="4" w:space="0"/>
              <w:left w:val="single" w:color="auto" w:sz="4" w:space="0"/>
              <w:right w:val="single" w:color="auto" w:sz="4" w:space="0"/>
            </w:tcBorders>
            <w:shd w:val="clear" w:color="auto" w:fill="FFFFFF"/>
            <w:vAlign w:val="bottom"/>
          </w:tcPr>
          <w:p>
            <w:pPr>
              <w:pStyle w:val="6"/>
              <w:shd w:val="clear" w:color="auto" w:fill="auto"/>
              <w:jc w:val="both"/>
              <w:rPr>
                <w:sz w:val="24"/>
                <w:szCs w:val="24"/>
              </w:rPr>
            </w:pPr>
            <w:r>
              <w:rPr>
                <w:sz w:val="24"/>
                <w:szCs w:val="24"/>
              </w:rPr>
              <w:t>三、行政检查（</w:t>
            </w:r>
            <w:r>
              <w:rPr>
                <w:rFonts w:ascii="Times New Roman" w:hAnsi="Times New Roman" w:eastAsia="Times New Roman" w:cs="Times New Roman"/>
                <w:sz w:val="24"/>
                <w:szCs w:val="24"/>
              </w:rPr>
              <w:t xml:space="preserve">32 </w:t>
            </w:r>
            <w:r>
              <w:rPr>
                <w:sz w:val="24"/>
                <w:szCs w:val="24"/>
              </w:rPr>
              <w:t>项）</w:t>
            </w:r>
          </w:p>
        </w:tc>
      </w:tr>
      <w:tr>
        <w:tblPrEx>
          <w:tblLayout w:type="fixed"/>
          <w:tblCellMar>
            <w:top w:w="0" w:type="dxa"/>
            <w:left w:w="10" w:type="dxa"/>
            <w:bottom w:w="0" w:type="dxa"/>
            <w:right w:w="10" w:type="dxa"/>
          </w:tblCellMar>
        </w:tblPrEx>
        <w:trPr>
          <w:trHeight w:val="1800"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6</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民政</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tcBorders>
            <w:shd w:val="clear" w:color="auto" w:fill="FFFFFF"/>
            <w:vAlign w:val="center"/>
          </w:tcPr>
          <w:p>
            <w:pPr>
              <w:pStyle w:val="6"/>
              <w:shd w:val="clear" w:color="auto" w:fill="auto"/>
              <w:jc w:val="both"/>
            </w:pPr>
            <w:r>
              <w:t>对养老机构的监督检查</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《养老机构管理办法》第三十六条第一款 民政部门应当加强对养老机构服务和运营 的监督检查，发现违反本办法规定的，及时依法予以处理并向社会公布。</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1517"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7</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生态环境</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tcBorders>
            <w:shd w:val="clear" w:color="auto" w:fill="FFFFFF"/>
            <w:vAlign w:val="center"/>
          </w:tcPr>
          <w:p>
            <w:pPr>
              <w:pStyle w:val="6"/>
              <w:shd w:val="clear" w:color="auto" w:fill="auto"/>
              <w:spacing w:after="60"/>
              <w:jc w:val="both"/>
            </w:pPr>
            <w:r>
              <w:t>对重点排污单位环境信</w:t>
            </w:r>
          </w:p>
          <w:p>
            <w:pPr>
              <w:pStyle w:val="6"/>
              <w:shd w:val="clear" w:color="auto" w:fill="auto"/>
              <w:jc w:val="both"/>
            </w:pPr>
            <w:r>
              <w:t>息公开活动的监督检查</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《企业事业单位环境信息公开办法》第十四条 环境保护主管部门有权对重点排污单 位环境信息公开活动进行监督检查。被检查者应当如实反映情况，提供必要的资料。</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2808" w:hRule="exact"/>
          <w:jc w:val="center"/>
        </w:trPr>
        <w:tc>
          <w:tcPr>
            <w:tcW w:w="667"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8</w:t>
            </w:r>
          </w:p>
        </w:tc>
        <w:tc>
          <w:tcPr>
            <w:tcW w:w="1450"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生态环境</w:t>
            </w:r>
          </w:p>
        </w:tc>
        <w:tc>
          <w:tcPr>
            <w:tcW w:w="116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pPr>
            <w:r>
              <w:t>对从事可能造成土壤污 染活动的企业事业单位 和其他生产经营者进行 的监督检查</w:t>
            </w:r>
          </w:p>
        </w:tc>
        <w:tc>
          <w:tcPr>
            <w:tcW w:w="8098"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pPr>
            <w:r>
              <w:t>《中华人民共和国土壤污染防治法》 第七十七条 生态环境主管部门及其环境执法 机构和其他负有土壤污染防治监督管理职责的部门，有权对从事可能造成土壤污染活 动的企业事业单位和其他生产经营者进行现场检查、取样，要求被检查者提供有关资 料、就有关问题作出说明。被检查者应当配合检查工作，如实反映情况，提供必要的 资料。实施现场检查的部门、机构及其工作人员应当为被检查者保守商业秘密。</w:t>
            </w:r>
          </w:p>
        </w:tc>
        <w:tc>
          <w:tcPr>
            <w:tcW w:w="701"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bl>
    <w:p>
      <w:pPr>
        <w:rPr>
          <w:sz w:val="2"/>
          <w:szCs w:val="2"/>
        </w:rPr>
      </w:pPr>
      <w:r>
        <w:br w:type="page"/>
      </w:r>
    </w:p>
    <w:tbl>
      <w:tblPr>
        <w:tblStyle w:val="2"/>
        <w:tblW w:w="15231" w:type="dxa"/>
        <w:jc w:val="center"/>
        <w:tblInd w:w="0" w:type="dxa"/>
        <w:tblLayout w:type="fixed"/>
        <w:tblCellMar>
          <w:top w:w="0" w:type="dxa"/>
          <w:left w:w="10" w:type="dxa"/>
          <w:bottom w:w="0" w:type="dxa"/>
          <w:right w:w="10" w:type="dxa"/>
        </w:tblCellMar>
      </w:tblPr>
      <w:tblGrid>
        <w:gridCol w:w="667"/>
        <w:gridCol w:w="1450"/>
        <w:gridCol w:w="1166"/>
        <w:gridCol w:w="2443"/>
        <w:gridCol w:w="8098"/>
        <w:gridCol w:w="701"/>
        <w:gridCol w:w="706"/>
      </w:tblGrid>
      <w:tr>
        <w:tblPrEx>
          <w:tblLayout w:type="fixed"/>
          <w:tblCellMar>
            <w:top w:w="0" w:type="dxa"/>
            <w:left w:w="10" w:type="dxa"/>
            <w:bottom w:w="0" w:type="dxa"/>
            <w:right w:w="10" w:type="dxa"/>
          </w:tblCellMar>
        </w:tblPrEx>
        <w:trPr>
          <w:trHeight w:val="360" w:hRule="exact"/>
          <w:jc w:val="center"/>
        </w:trPr>
        <w:tc>
          <w:tcPr>
            <w:tcW w:w="667"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序号</w:t>
            </w:r>
          </w:p>
        </w:tc>
        <w:tc>
          <w:tcPr>
            <w:tcW w:w="1450"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领域</w:t>
            </w:r>
          </w:p>
        </w:tc>
        <w:tc>
          <w:tcPr>
            <w:tcW w:w="116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权力类型</w:t>
            </w:r>
          </w:p>
        </w:tc>
        <w:tc>
          <w:tcPr>
            <w:tcW w:w="2443"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权力名称</w:t>
            </w:r>
          </w:p>
        </w:tc>
        <w:tc>
          <w:tcPr>
            <w:tcW w:w="8098"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设定依据</w:t>
            </w:r>
          </w:p>
        </w:tc>
        <w:tc>
          <w:tcPr>
            <w:tcW w:w="1407" w:type="dxa"/>
            <w:gridSpan w:val="2"/>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承接主体</w:t>
            </w:r>
          </w:p>
        </w:tc>
      </w:tr>
      <w:tr>
        <w:tblPrEx>
          <w:tblLayout w:type="fixed"/>
          <w:tblCellMar>
            <w:top w:w="0" w:type="dxa"/>
            <w:left w:w="10" w:type="dxa"/>
            <w:bottom w:w="0" w:type="dxa"/>
            <w:right w:w="10" w:type="dxa"/>
          </w:tblCellMar>
        </w:tblPrEx>
        <w:trPr>
          <w:trHeight w:val="346" w:hRule="exact"/>
          <w:jc w:val="center"/>
        </w:trPr>
        <w:tc>
          <w:tcPr>
            <w:tcW w:w="667" w:type="dxa"/>
            <w:vMerge w:val="continue"/>
            <w:tcBorders>
              <w:left w:val="single" w:color="auto" w:sz="4" w:space="0"/>
            </w:tcBorders>
            <w:shd w:val="clear" w:color="auto" w:fill="FFFFFF"/>
            <w:vAlign w:val="center"/>
          </w:tcPr>
          <w:p/>
        </w:tc>
        <w:tc>
          <w:tcPr>
            <w:tcW w:w="1450" w:type="dxa"/>
            <w:vMerge w:val="continue"/>
            <w:tcBorders>
              <w:left w:val="single" w:color="auto" w:sz="4" w:space="0"/>
            </w:tcBorders>
            <w:shd w:val="clear" w:color="auto" w:fill="FFFFFF"/>
            <w:vAlign w:val="center"/>
          </w:tcPr>
          <w:p/>
        </w:tc>
        <w:tc>
          <w:tcPr>
            <w:tcW w:w="1166" w:type="dxa"/>
            <w:vMerge w:val="continue"/>
            <w:tcBorders>
              <w:left w:val="single" w:color="auto" w:sz="4" w:space="0"/>
            </w:tcBorders>
            <w:shd w:val="clear" w:color="auto" w:fill="FFFFFF"/>
            <w:vAlign w:val="center"/>
          </w:tcPr>
          <w:p/>
        </w:tc>
        <w:tc>
          <w:tcPr>
            <w:tcW w:w="2443" w:type="dxa"/>
            <w:vMerge w:val="continue"/>
            <w:tcBorders>
              <w:left w:val="single" w:color="auto" w:sz="4" w:space="0"/>
            </w:tcBorders>
            <w:shd w:val="clear" w:color="auto" w:fill="FFFFFF"/>
            <w:vAlign w:val="center"/>
          </w:tcPr>
          <w:p/>
        </w:tc>
        <w:tc>
          <w:tcPr>
            <w:tcW w:w="8098" w:type="dxa"/>
            <w:vMerge w:val="continue"/>
            <w:tcBorders>
              <w:left w:val="single" w:color="auto" w:sz="4" w:space="0"/>
            </w:tcBorders>
            <w:shd w:val="clear" w:color="auto" w:fill="FFFFFF"/>
            <w:vAlign w:val="center"/>
          </w:tcP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乡镇</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街道</w:t>
            </w:r>
          </w:p>
        </w:tc>
      </w:tr>
      <w:tr>
        <w:tblPrEx>
          <w:tblLayout w:type="fixed"/>
          <w:tblCellMar>
            <w:top w:w="0" w:type="dxa"/>
            <w:left w:w="10" w:type="dxa"/>
            <w:bottom w:w="0" w:type="dxa"/>
            <w:right w:w="10" w:type="dxa"/>
          </w:tblCellMar>
        </w:tblPrEx>
        <w:trPr>
          <w:trHeight w:val="7426" w:hRule="exact"/>
          <w:jc w:val="center"/>
        </w:trPr>
        <w:tc>
          <w:tcPr>
            <w:tcW w:w="667"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9</w:t>
            </w:r>
          </w:p>
        </w:tc>
        <w:tc>
          <w:tcPr>
            <w:tcW w:w="1450"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生态环境</w:t>
            </w:r>
          </w:p>
        </w:tc>
        <w:tc>
          <w:tcPr>
            <w:tcW w:w="116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bottom w:val="single" w:color="auto" w:sz="4" w:space="0"/>
            </w:tcBorders>
            <w:shd w:val="clear" w:color="auto" w:fill="FFFFFF"/>
            <w:vAlign w:val="center"/>
          </w:tcPr>
          <w:p>
            <w:pPr>
              <w:pStyle w:val="6"/>
              <w:shd w:val="clear" w:color="auto" w:fill="auto"/>
            </w:pPr>
            <w:r>
              <w:t>对排放污染物的企业事 业单位和其他生产经营 者的监督检查（不含监 测）</w:t>
            </w:r>
          </w:p>
        </w:tc>
        <w:tc>
          <w:tcPr>
            <w:tcW w:w="8098"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pPr>
            <w:r>
              <w:rPr>
                <w:rFonts w:ascii="Times New Roman" w:hAnsi="Times New Roman" w:eastAsia="Times New Roman" w:cs="Times New Roman"/>
                <w:sz w:val="22"/>
                <w:szCs w:val="22"/>
              </w:rPr>
              <w:t>1.</w:t>
            </w:r>
            <w:r>
              <w:t>《中华人民共和国环境保护法》第二十四条 县级以上人民政府环境保护主管部门 及其委托的环境监察机构和其他负有环境保护监督管理职责的部门，有权对排放污染 物的企业事业单位和其他生产经营者进行现场检查。被检查者应当如实反映情况，提 供必要的资料。实施现场检查的部门、机构及其工作人员应当为被检查者保守商业秘 密。</w:t>
            </w:r>
          </w:p>
          <w:p>
            <w:pPr>
              <w:pStyle w:val="6"/>
              <w:shd w:val="clear" w:color="auto" w:fill="auto"/>
              <w:jc w:val="both"/>
            </w:pPr>
            <w:r>
              <w:rPr>
                <w:rFonts w:ascii="Times New Roman" w:hAnsi="Times New Roman" w:eastAsia="Times New Roman" w:cs="Times New Roman"/>
                <w:sz w:val="22"/>
                <w:szCs w:val="22"/>
              </w:rPr>
              <w:t>2.</w:t>
            </w:r>
            <w:r>
              <w:t>《中华人民共和国水污染防治法》第三十条 环境保护主管部门和其他依照本法规 定行使监督管理权的部门，有权对管辖范围内的排污单位进行现场检查，被检查的单 位应当如实反映情况，提供必要的资料。检查机关有义务为被检查的单位保守在检查 中获取的商业秘密。</w:t>
            </w:r>
          </w:p>
          <w:p>
            <w:pPr>
              <w:pStyle w:val="6"/>
              <w:shd w:val="clear" w:color="auto" w:fill="auto"/>
              <w:jc w:val="both"/>
            </w:pPr>
            <w:r>
              <w:t>《中华人民共和国水污染防治法》第五十条第三款 环境保护主管部门应当对城镇污 水集中处理设施的出水水质和水量进行监督检查。</w:t>
            </w:r>
          </w:p>
          <w:p>
            <w:pPr>
              <w:pStyle w:val="6"/>
              <w:shd w:val="clear" w:color="auto" w:fill="auto"/>
              <w:jc w:val="both"/>
            </w:pPr>
            <w:r>
              <w:rPr>
                <w:rFonts w:ascii="Times New Roman" w:hAnsi="Times New Roman" w:eastAsia="Times New Roman" w:cs="Times New Roman"/>
                <w:sz w:val="22"/>
                <w:szCs w:val="22"/>
              </w:rPr>
              <w:t>3.</w:t>
            </w:r>
            <w:r>
              <w:t>《中华人民共和国大气污染防治法》第二十九条 生态环境主管部门及其环境执法 机构和其他负有大气环境保护监督管理职责的部门，有权通过现场检查监测、自动监 测、遥感监测、远红外摄像等方式，对排放大气污染物的企业事业单位和其他生产经 营者进行监督检查。被检查者应当如实反映情况，提供必要的资料。实施检查的部门、 机构及其工作人员应当为被检查者保守商业秘密。</w:t>
            </w:r>
          </w:p>
          <w:p>
            <w:pPr>
              <w:pStyle w:val="6"/>
              <w:shd w:val="clear" w:color="auto" w:fill="auto"/>
              <w:jc w:val="both"/>
            </w:pPr>
            <w:r>
              <w:rPr>
                <w:rFonts w:ascii="Times New Roman" w:hAnsi="Times New Roman" w:eastAsia="Times New Roman" w:cs="Times New Roman"/>
                <w:sz w:val="22"/>
                <w:szCs w:val="22"/>
              </w:rPr>
              <w:t>4.</w:t>
            </w:r>
            <w:r>
              <w:t>《中华人民共和国固体废物污染环境防治法》第二十六条 生态环境主管部门及其 环境执法机构和其他负有固体废物污染环境防治监督管理职责的部门，在各自职责范 围内有权对从事产生、收集、贮存、运输、利用、处置固体废物等活动的单位和其他 生产经营者进行现场检查。被检查者应当如实反映情况，并提供必要的资料。实施现 场检查，可以采取现场监测、采集样品、查阅或者复制与固体废物污染环境防治相关 的资料等措施。检查人员进行现场检查，应当出示证件。对现场检查中知悉的商业秘 密应当保密。</w:t>
            </w:r>
          </w:p>
        </w:tc>
        <w:tc>
          <w:tcPr>
            <w:tcW w:w="701"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17"/>
                <w:szCs w:val="17"/>
              </w:rPr>
            </w:pPr>
            <w:r>
              <w:rPr>
                <w:rFonts w:ascii="Times New Roman" w:hAnsi="Times New Roman" w:eastAsia="Times New Roman" w:cs="Times New Roman"/>
                <w:sz w:val="17"/>
                <w:szCs w:val="17"/>
              </w:rPr>
              <w:t>√</w:t>
            </w: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bl>
    <w:p>
      <w:pPr>
        <w:rPr>
          <w:sz w:val="2"/>
          <w:szCs w:val="2"/>
        </w:rPr>
      </w:pPr>
      <w:r>
        <w:br w:type="page"/>
      </w:r>
    </w:p>
    <w:tbl>
      <w:tblPr>
        <w:tblStyle w:val="2"/>
        <w:tblW w:w="15231" w:type="dxa"/>
        <w:jc w:val="center"/>
        <w:tblInd w:w="0" w:type="dxa"/>
        <w:tblLayout w:type="fixed"/>
        <w:tblCellMar>
          <w:top w:w="0" w:type="dxa"/>
          <w:left w:w="10" w:type="dxa"/>
          <w:bottom w:w="0" w:type="dxa"/>
          <w:right w:w="10" w:type="dxa"/>
        </w:tblCellMar>
      </w:tblPr>
      <w:tblGrid>
        <w:gridCol w:w="667"/>
        <w:gridCol w:w="1450"/>
        <w:gridCol w:w="1166"/>
        <w:gridCol w:w="2443"/>
        <w:gridCol w:w="8098"/>
        <w:gridCol w:w="701"/>
        <w:gridCol w:w="706"/>
      </w:tblGrid>
      <w:tr>
        <w:tblPrEx>
          <w:tblLayout w:type="fixed"/>
          <w:tblCellMar>
            <w:top w:w="0" w:type="dxa"/>
            <w:left w:w="10" w:type="dxa"/>
            <w:bottom w:w="0" w:type="dxa"/>
            <w:right w:w="10" w:type="dxa"/>
          </w:tblCellMar>
        </w:tblPrEx>
        <w:trPr>
          <w:trHeight w:val="360" w:hRule="exact"/>
          <w:jc w:val="center"/>
        </w:trPr>
        <w:tc>
          <w:tcPr>
            <w:tcW w:w="667"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序号</w:t>
            </w:r>
          </w:p>
        </w:tc>
        <w:tc>
          <w:tcPr>
            <w:tcW w:w="1450"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领域</w:t>
            </w:r>
          </w:p>
        </w:tc>
        <w:tc>
          <w:tcPr>
            <w:tcW w:w="116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权力类型</w:t>
            </w:r>
          </w:p>
        </w:tc>
        <w:tc>
          <w:tcPr>
            <w:tcW w:w="2443"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权力名称</w:t>
            </w:r>
          </w:p>
        </w:tc>
        <w:tc>
          <w:tcPr>
            <w:tcW w:w="8098"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设定依据</w:t>
            </w:r>
          </w:p>
        </w:tc>
        <w:tc>
          <w:tcPr>
            <w:tcW w:w="1407" w:type="dxa"/>
            <w:gridSpan w:val="2"/>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承接主体</w:t>
            </w:r>
          </w:p>
        </w:tc>
      </w:tr>
      <w:tr>
        <w:tblPrEx>
          <w:tblLayout w:type="fixed"/>
          <w:tblCellMar>
            <w:top w:w="0" w:type="dxa"/>
            <w:left w:w="10" w:type="dxa"/>
            <w:bottom w:w="0" w:type="dxa"/>
            <w:right w:w="10" w:type="dxa"/>
          </w:tblCellMar>
        </w:tblPrEx>
        <w:trPr>
          <w:trHeight w:val="346" w:hRule="exact"/>
          <w:jc w:val="center"/>
        </w:trPr>
        <w:tc>
          <w:tcPr>
            <w:tcW w:w="667" w:type="dxa"/>
            <w:vMerge w:val="continue"/>
            <w:tcBorders>
              <w:left w:val="single" w:color="auto" w:sz="4" w:space="0"/>
            </w:tcBorders>
            <w:shd w:val="clear" w:color="auto" w:fill="FFFFFF"/>
            <w:vAlign w:val="center"/>
          </w:tcPr>
          <w:p/>
        </w:tc>
        <w:tc>
          <w:tcPr>
            <w:tcW w:w="1450" w:type="dxa"/>
            <w:vMerge w:val="continue"/>
            <w:tcBorders>
              <w:left w:val="single" w:color="auto" w:sz="4" w:space="0"/>
            </w:tcBorders>
            <w:shd w:val="clear" w:color="auto" w:fill="FFFFFF"/>
            <w:vAlign w:val="center"/>
          </w:tcPr>
          <w:p/>
        </w:tc>
        <w:tc>
          <w:tcPr>
            <w:tcW w:w="1166" w:type="dxa"/>
            <w:vMerge w:val="continue"/>
            <w:tcBorders>
              <w:left w:val="single" w:color="auto" w:sz="4" w:space="0"/>
            </w:tcBorders>
            <w:shd w:val="clear" w:color="auto" w:fill="FFFFFF"/>
            <w:vAlign w:val="center"/>
          </w:tcPr>
          <w:p/>
        </w:tc>
        <w:tc>
          <w:tcPr>
            <w:tcW w:w="2443" w:type="dxa"/>
            <w:vMerge w:val="continue"/>
            <w:tcBorders>
              <w:left w:val="single" w:color="auto" w:sz="4" w:space="0"/>
            </w:tcBorders>
            <w:shd w:val="clear" w:color="auto" w:fill="FFFFFF"/>
            <w:vAlign w:val="center"/>
          </w:tcPr>
          <w:p/>
        </w:tc>
        <w:tc>
          <w:tcPr>
            <w:tcW w:w="8098" w:type="dxa"/>
            <w:vMerge w:val="continue"/>
            <w:tcBorders>
              <w:left w:val="single" w:color="auto" w:sz="4" w:space="0"/>
            </w:tcBorders>
            <w:shd w:val="clear" w:color="auto" w:fill="FFFFFF"/>
            <w:vAlign w:val="center"/>
          </w:tcP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乡镇</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街道</w:t>
            </w:r>
          </w:p>
        </w:tc>
      </w:tr>
      <w:tr>
        <w:tblPrEx>
          <w:tblLayout w:type="fixed"/>
          <w:tblCellMar>
            <w:top w:w="0" w:type="dxa"/>
            <w:left w:w="10" w:type="dxa"/>
            <w:bottom w:w="0" w:type="dxa"/>
            <w:right w:w="10" w:type="dxa"/>
          </w:tblCellMar>
        </w:tblPrEx>
        <w:trPr>
          <w:trHeight w:val="4997" w:hRule="exact"/>
          <w:jc w:val="center"/>
        </w:trPr>
        <w:tc>
          <w:tcPr>
            <w:tcW w:w="667" w:type="dxa"/>
            <w:tcBorders>
              <w:top w:val="single" w:color="auto" w:sz="4" w:space="0"/>
              <w:left w:val="single" w:color="auto" w:sz="4" w:space="0"/>
              <w:bottom w:val="single" w:color="auto" w:sz="4" w:space="0"/>
            </w:tcBorders>
            <w:shd w:val="clear" w:color="auto" w:fill="FFFFFF"/>
          </w:tcPr>
          <w:p>
            <w:pPr>
              <w:rPr>
                <w:sz w:val="10"/>
                <w:szCs w:val="10"/>
              </w:rPr>
            </w:pPr>
          </w:p>
        </w:tc>
        <w:tc>
          <w:tcPr>
            <w:tcW w:w="1450" w:type="dxa"/>
            <w:tcBorders>
              <w:top w:val="single" w:color="auto" w:sz="4" w:space="0"/>
              <w:left w:val="single" w:color="auto" w:sz="4" w:space="0"/>
              <w:bottom w:val="single" w:color="auto" w:sz="4" w:space="0"/>
            </w:tcBorders>
            <w:shd w:val="clear" w:color="auto" w:fill="FFFFFF"/>
          </w:tcPr>
          <w:p>
            <w:pPr>
              <w:rPr>
                <w:sz w:val="10"/>
                <w:szCs w:val="10"/>
              </w:rPr>
            </w:pPr>
          </w:p>
        </w:tc>
        <w:tc>
          <w:tcPr>
            <w:tcW w:w="1166" w:type="dxa"/>
            <w:tcBorders>
              <w:top w:val="single" w:color="auto" w:sz="4" w:space="0"/>
              <w:left w:val="single" w:color="auto" w:sz="4" w:space="0"/>
              <w:bottom w:val="single" w:color="auto" w:sz="4" w:space="0"/>
            </w:tcBorders>
            <w:shd w:val="clear" w:color="auto" w:fill="FFFFFF"/>
          </w:tcPr>
          <w:p>
            <w:pPr>
              <w:rPr>
                <w:sz w:val="10"/>
                <w:szCs w:val="10"/>
              </w:rPr>
            </w:pPr>
          </w:p>
        </w:tc>
        <w:tc>
          <w:tcPr>
            <w:tcW w:w="2443" w:type="dxa"/>
            <w:tcBorders>
              <w:top w:val="single" w:color="auto" w:sz="4" w:space="0"/>
              <w:left w:val="single" w:color="auto" w:sz="4" w:space="0"/>
              <w:bottom w:val="single" w:color="auto" w:sz="4" w:space="0"/>
            </w:tcBorders>
            <w:shd w:val="clear" w:color="auto" w:fill="FFFFFF"/>
          </w:tcPr>
          <w:p>
            <w:pPr>
              <w:rPr>
                <w:sz w:val="10"/>
                <w:szCs w:val="10"/>
              </w:rPr>
            </w:pPr>
          </w:p>
        </w:tc>
        <w:tc>
          <w:tcPr>
            <w:tcW w:w="8098" w:type="dxa"/>
            <w:tcBorders>
              <w:top w:val="single" w:color="auto" w:sz="4" w:space="0"/>
              <w:left w:val="single" w:color="auto" w:sz="4" w:space="0"/>
              <w:bottom w:val="single" w:color="auto" w:sz="4" w:space="0"/>
            </w:tcBorders>
            <w:shd w:val="clear" w:color="auto" w:fill="FFFFFF"/>
          </w:tcPr>
          <w:p>
            <w:pPr>
              <w:pStyle w:val="6"/>
              <w:shd w:val="clear" w:color="auto" w:fill="auto"/>
              <w:jc w:val="both"/>
            </w:pPr>
            <w:r>
              <w:rPr>
                <w:rFonts w:ascii="Times New Roman" w:hAnsi="Times New Roman" w:eastAsia="Times New Roman" w:cs="Times New Roman"/>
                <w:sz w:val="22"/>
                <w:szCs w:val="22"/>
              </w:rPr>
              <w:t>5.</w:t>
            </w:r>
            <w:r>
              <w:t>《中华人民共和国环境噪声污染防治法》第二十一条 县级以上人民政府生态环境 主管部门和其他环境噪声污染防治工作的监督管理部门、机构，有权依据各自的职责 对管辖范围内排放环境噪声的单位进行现场检查。被检查的单位必须如实反映情况， 并提供必要的资料。检查部门、机构应当为被检查的单位保守技术秘密和业务秘密。 检查人员进行现场检查，应当出示证件。</w:t>
            </w:r>
          </w:p>
          <w:p>
            <w:pPr>
              <w:pStyle w:val="6"/>
              <w:shd w:val="clear" w:color="auto" w:fill="auto"/>
              <w:jc w:val="both"/>
            </w:pPr>
            <w:r>
              <w:rPr>
                <w:rFonts w:ascii="Times New Roman" w:hAnsi="Times New Roman" w:eastAsia="Times New Roman" w:cs="Times New Roman"/>
                <w:sz w:val="22"/>
                <w:szCs w:val="22"/>
              </w:rPr>
              <w:t>6.</w:t>
            </w:r>
            <w:r>
              <w:t>《畜禽规模养殖污染防治条例》第二十三条 县级以上人民政府环境保护主管部门 应当依据职责对畜禽养殖污染防治情况进行监督检查，并加强对畜禽养殖环境污染的 监测。乡镇人民政府、基层群众自治组织发现畜禽养殖环境污染行为的，应当及时制 止和报告。</w:t>
            </w:r>
          </w:p>
          <w:p>
            <w:pPr>
              <w:pStyle w:val="6"/>
              <w:shd w:val="clear" w:color="auto" w:fill="auto"/>
              <w:jc w:val="both"/>
            </w:pPr>
            <w:r>
              <w:rPr>
                <w:rFonts w:ascii="Times New Roman" w:hAnsi="Times New Roman" w:eastAsia="Times New Roman" w:cs="Times New Roman"/>
                <w:sz w:val="22"/>
                <w:szCs w:val="22"/>
              </w:rPr>
              <w:t>7.</w:t>
            </w:r>
            <w:r>
              <w:t>《四川省〈中华人民共和国大气污染防治法〉实施办法》第二十条 生态环境主管 部门及其环境执法机构和其他负有大气环境保护监督管理职责的部门，有权通过现场 检查监测、自动监测、遥感监测、远红外摄像等方式，对排放大气污染物的企业事业 单位和其他生产经营者进行监督检查。被检查者应当如实反映情况，提供必要资料， 不得拒绝、阻挠和拖延。实施监督检查的部门、机构及其工作人员应当为被检查者保 守商业秘密。</w:t>
            </w:r>
          </w:p>
        </w:tc>
        <w:tc>
          <w:tcPr>
            <w:tcW w:w="701" w:type="dxa"/>
            <w:tcBorders>
              <w:top w:val="single" w:color="auto" w:sz="4" w:space="0"/>
              <w:left w:val="single" w:color="auto" w:sz="4" w:space="0"/>
              <w:bottom w:val="single" w:color="auto" w:sz="4" w:space="0"/>
            </w:tcBorders>
            <w:shd w:val="clear" w:color="auto" w:fill="FFFFFF"/>
          </w:tcPr>
          <w:p>
            <w:pPr>
              <w:rPr>
                <w:sz w:val="10"/>
                <w:szCs w:val="10"/>
                <w:lang w:eastAsia="zh-CN"/>
              </w:rPr>
            </w:pPr>
          </w:p>
        </w:tc>
        <w:tc>
          <w:tcPr>
            <w:tcW w:w="706"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lang w:eastAsia="zh-CN"/>
              </w:rPr>
            </w:pPr>
          </w:p>
        </w:tc>
      </w:tr>
    </w:tbl>
    <w:p>
      <w:pPr>
        <w:rPr>
          <w:sz w:val="2"/>
          <w:szCs w:val="2"/>
          <w:lang w:eastAsia="zh-CN"/>
        </w:rPr>
      </w:pPr>
      <w:r>
        <w:rPr>
          <w:lang w:eastAsia="zh-CN"/>
        </w:rPr>
        <w:br w:type="page"/>
      </w:r>
    </w:p>
    <w:tbl>
      <w:tblPr>
        <w:tblStyle w:val="2"/>
        <w:tblW w:w="15231" w:type="dxa"/>
        <w:jc w:val="center"/>
        <w:tblInd w:w="0" w:type="dxa"/>
        <w:tblLayout w:type="fixed"/>
        <w:tblCellMar>
          <w:top w:w="0" w:type="dxa"/>
          <w:left w:w="10" w:type="dxa"/>
          <w:bottom w:w="0" w:type="dxa"/>
          <w:right w:w="10" w:type="dxa"/>
        </w:tblCellMar>
      </w:tblPr>
      <w:tblGrid>
        <w:gridCol w:w="667"/>
        <w:gridCol w:w="1450"/>
        <w:gridCol w:w="1166"/>
        <w:gridCol w:w="2443"/>
        <w:gridCol w:w="8098"/>
        <w:gridCol w:w="701"/>
        <w:gridCol w:w="706"/>
      </w:tblGrid>
      <w:tr>
        <w:tblPrEx>
          <w:tblLayout w:type="fixed"/>
          <w:tblCellMar>
            <w:top w:w="0" w:type="dxa"/>
            <w:left w:w="10" w:type="dxa"/>
            <w:bottom w:w="0" w:type="dxa"/>
            <w:right w:w="10" w:type="dxa"/>
          </w:tblCellMar>
        </w:tblPrEx>
        <w:trPr>
          <w:trHeight w:val="360" w:hRule="exact"/>
          <w:jc w:val="center"/>
        </w:trPr>
        <w:tc>
          <w:tcPr>
            <w:tcW w:w="667"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序号</w:t>
            </w:r>
          </w:p>
        </w:tc>
        <w:tc>
          <w:tcPr>
            <w:tcW w:w="1450"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领域</w:t>
            </w:r>
          </w:p>
        </w:tc>
        <w:tc>
          <w:tcPr>
            <w:tcW w:w="116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权力类型</w:t>
            </w:r>
          </w:p>
        </w:tc>
        <w:tc>
          <w:tcPr>
            <w:tcW w:w="2443"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权力名称</w:t>
            </w:r>
          </w:p>
        </w:tc>
        <w:tc>
          <w:tcPr>
            <w:tcW w:w="8098"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设定依据</w:t>
            </w:r>
          </w:p>
        </w:tc>
        <w:tc>
          <w:tcPr>
            <w:tcW w:w="1407" w:type="dxa"/>
            <w:gridSpan w:val="2"/>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承接主体</w:t>
            </w:r>
          </w:p>
        </w:tc>
      </w:tr>
      <w:tr>
        <w:tblPrEx>
          <w:tblLayout w:type="fixed"/>
          <w:tblCellMar>
            <w:top w:w="0" w:type="dxa"/>
            <w:left w:w="10" w:type="dxa"/>
            <w:bottom w:w="0" w:type="dxa"/>
            <w:right w:w="10" w:type="dxa"/>
          </w:tblCellMar>
        </w:tblPrEx>
        <w:trPr>
          <w:trHeight w:val="346" w:hRule="exact"/>
          <w:jc w:val="center"/>
        </w:trPr>
        <w:tc>
          <w:tcPr>
            <w:tcW w:w="667" w:type="dxa"/>
            <w:vMerge w:val="continue"/>
            <w:tcBorders>
              <w:left w:val="single" w:color="auto" w:sz="4" w:space="0"/>
            </w:tcBorders>
            <w:shd w:val="clear" w:color="auto" w:fill="FFFFFF"/>
            <w:vAlign w:val="center"/>
          </w:tcPr>
          <w:p/>
        </w:tc>
        <w:tc>
          <w:tcPr>
            <w:tcW w:w="1450" w:type="dxa"/>
            <w:vMerge w:val="continue"/>
            <w:tcBorders>
              <w:left w:val="single" w:color="auto" w:sz="4" w:space="0"/>
            </w:tcBorders>
            <w:shd w:val="clear" w:color="auto" w:fill="FFFFFF"/>
            <w:vAlign w:val="center"/>
          </w:tcPr>
          <w:p/>
        </w:tc>
        <w:tc>
          <w:tcPr>
            <w:tcW w:w="1166" w:type="dxa"/>
            <w:vMerge w:val="continue"/>
            <w:tcBorders>
              <w:left w:val="single" w:color="auto" w:sz="4" w:space="0"/>
            </w:tcBorders>
            <w:shd w:val="clear" w:color="auto" w:fill="FFFFFF"/>
            <w:vAlign w:val="center"/>
          </w:tcPr>
          <w:p/>
        </w:tc>
        <w:tc>
          <w:tcPr>
            <w:tcW w:w="2443" w:type="dxa"/>
            <w:vMerge w:val="continue"/>
            <w:tcBorders>
              <w:left w:val="single" w:color="auto" w:sz="4" w:space="0"/>
            </w:tcBorders>
            <w:shd w:val="clear" w:color="auto" w:fill="FFFFFF"/>
            <w:vAlign w:val="center"/>
          </w:tcPr>
          <w:p/>
        </w:tc>
        <w:tc>
          <w:tcPr>
            <w:tcW w:w="8098" w:type="dxa"/>
            <w:vMerge w:val="continue"/>
            <w:tcBorders>
              <w:left w:val="single" w:color="auto" w:sz="4" w:space="0"/>
            </w:tcBorders>
            <w:shd w:val="clear" w:color="auto" w:fill="FFFFFF"/>
            <w:vAlign w:val="center"/>
          </w:tcP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乡镇</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街道</w:t>
            </w:r>
          </w:p>
        </w:tc>
      </w:tr>
      <w:tr>
        <w:tblPrEx>
          <w:tblLayout w:type="fixed"/>
          <w:tblCellMar>
            <w:top w:w="0" w:type="dxa"/>
            <w:left w:w="10" w:type="dxa"/>
            <w:bottom w:w="0" w:type="dxa"/>
            <w:right w:w="10" w:type="dxa"/>
          </w:tblCellMar>
        </w:tblPrEx>
        <w:trPr>
          <w:trHeight w:val="3034"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10</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住房城乡建设</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tcBorders>
            <w:shd w:val="clear" w:color="auto" w:fill="FFFFFF"/>
            <w:vAlign w:val="center"/>
          </w:tcPr>
          <w:p>
            <w:pPr>
              <w:pStyle w:val="6"/>
              <w:shd w:val="clear" w:color="auto" w:fill="auto"/>
              <w:spacing w:after="60"/>
            </w:pPr>
            <w:r>
              <w:t>对房屋和市政工程施工</w:t>
            </w:r>
          </w:p>
          <w:p>
            <w:pPr>
              <w:pStyle w:val="6"/>
              <w:shd w:val="clear" w:color="auto" w:fill="auto"/>
            </w:pPr>
            <w:r>
              <w:t>扬尘的监督检查</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《中华人民共和国大气污染防治法》第二十九条 生态环境主管部门及其环境执法机 构和其他负有大气环境保护监督管理职责的部门，有权通过现场检查监测、自动监测、 遥感监测、远红外摄像等方式，对排放大气污染物的企业事业单位和其他生产经营者 进行监督检查。被检查者应当如实反映情况，提供必要的资料。实施检查的部门、机 构及其工作人员应当为被检查者保守商业秘密。</w:t>
            </w:r>
          </w:p>
          <w:p>
            <w:pPr>
              <w:pStyle w:val="6"/>
              <w:shd w:val="clear" w:color="auto" w:fill="auto"/>
              <w:jc w:val="both"/>
            </w:pPr>
            <w:r>
              <w:t>《中华人民共和国大气污染防治法》第六十八条 地方各级人民政府应当加强对建设 施工和运输的管理，保持道路清洁，控制料堆和渣土堆放，扩大绿地、水面、湿地和 地面铺装面积，防治扬尘污染。住房城乡建设、市容环境卫生、交通运输、国土资源 等有关部门，应当根据本级人民政府确定的职责，做好扬尘污染防治工作。</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2131"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11</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住房城乡建设</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tcBorders>
            <w:shd w:val="clear" w:color="auto" w:fill="FFFFFF"/>
            <w:vAlign w:val="center"/>
          </w:tcPr>
          <w:p>
            <w:pPr>
              <w:pStyle w:val="6"/>
              <w:shd w:val="clear" w:color="auto" w:fill="auto"/>
              <w:spacing w:after="60"/>
            </w:pPr>
            <w:r>
              <w:t>对燃气经营、燃气使用安</w:t>
            </w:r>
          </w:p>
          <w:p>
            <w:pPr>
              <w:pStyle w:val="6"/>
              <w:shd w:val="clear" w:color="auto" w:fill="auto"/>
            </w:pPr>
            <w:r>
              <w:t>全状况的监督检查</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《城镇燃气管理条例》第四十一条 燃气经营者应当建立健全燃气安全评估和风险管 理体系，发现燃气安全事故隐患的，应当及时采取措施消除隐患。燃气管理部门以及 其他有关部门和单位应当根据各自职责，对燃气经营、燃气使用的安全状况等进行监 督检查，发现燃气安全事故隐患的，应当通知燃气经营者、燃气用户及时采取措施消 除隐患；不及时消除隐患可能严重威胁公共安全的，燃气管理部门以及其他有关部门 和单位应当依法采取措施，及时组织消除隐患，有关单位和个人应当予以配合。</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tcPr>
          <w:p>
            <w:pPr>
              <w:rPr>
                <w:sz w:val="10"/>
                <w:szCs w:val="10"/>
              </w:rPr>
            </w:pPr>
          </w:p>
        </w:tc>
      </w:tr>
      <w:tr>
        <w:tblPrEx>
          <w:tblLayout w:type="fixed"/>
          <w:tblCellMar>
            <w:top w:w="0" w:type="dxa"/>
            <w:left w:w="10" w:type="dxa"/>
            <w:bottom w:w="0" w:type="dxa"/>
            <w:right w:w="10" w:type="dxa"/>
          </w:tblCellMar>
        </w:tblPrEx>
        <w:trPr>
          <w:trHeight w:val="2136" w:hRule="exact"/>
          <w:jc w:val="center"/>
        </w:trPr>
        <w:tc>
          <w:tcPr>
            <w:tcW w:w="667"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12</w:t>
            </w:r>
          </w:p>
        </w:tc>
        <w:tc>
          <w:tcPr>
            <w:tcW w:w="1450"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交通运输</w:t>
            </w:r>
          </w:p>
        </w:tc>
        <w:tc>
          <w:tcPr>
            <w:tcW w:w="116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bottom w:val="single" w:color="auto" w:sz="4" w:space="0"/>
            </w:tcBorders>
            <w:shd w:val="clear" w:color="auto" w:fill="FFFFFF"/>
            <w:vAlign w:val="center"/>
          </w:tcPr>
          <w:p>
            <w:pPr>
              <w:pStyle w:val="6"/>
              <w:shd w:val="clear" w:color="auto" w:fill="auto"/>
            </w:pPr>
            <w:r>
              <w:t>对道路运输及相关业务 经营场所、客货集散地的 监督检查</w:t>
            </w:r>
          </w:p>
        </w:tc>
        <w:tc>
          <w:tcPr>
            <w:tcW w:w="8098"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pPr>
            <w:r>
              <w:rPr>
                <w:rFonts w:ascii="Times New Roman" w:hAnsi="Times New Roman" w:eastAsia="Times New Roman" w:cs="Times New Roman"/>
                <w:sz w:val="22"/>
                <w:szCs w:val="22"/>
              </w:rPr>
              <w:t>1.</w:t>
            </w:r>
            <w:r>
              <w:t>《中华人民共和国道路运输条例》第五十八条第二款 道路运输管理机构的工作人 员应当重点在道路运输及相关业务经营场所、客货集散地进行监督检查。</w:t>
            </w:r>
          </w:p>
          <w:p>
            <w:pPr>
              <w:pStyle w:val="6"/>
              <w:shd w:val="clear" w:color="auto" w:fill="auto"/>
              <w:jc w:val="both"/>
            </w:pPr>
            <w:r>
              <w:rPr>
                <w:rFonts w:ascii="Times New Roman" w:hAnsi="Times New Roman" w:eastAsia="Times New Roman" w:cs="Times New Roman"/>
                <w:sz w:val="22"/>
                <w:szCs w:val="22"/>
              </w:rPr>
              <w:t>2.</w:t>
            </w:r>
            <w:r>
              <w:t>《四川省道路运输条例》第五十三条第一款 道路运输行政执法人员应当在道路运 输及相关业务经营场所、客货集散地进行监督检查，可以在省人民政府批准的交通检 查站或者道路宽阔、视线良好的路段检查道路运输车辆。</w:t>
            </w:r>
          </w:p>
        </w:tc>
        <w:tc>
          <w:tcPr>
            <w:tcW w:w="701"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r>
    </w:tbl>
    <w:p>
      <w:pPr>
        <w:sectPr>
          <w:footerReference r:id="rId4" w:type="first"/>
          <w:footerReference r:id="rId3" w:type="default"/>
          <w:pgSz w:w="16840" w:h="11900" w:orient="landscape"/>
          <w:pgMar w:top="1781" w:right="802" w:bottom="1629" w:left="807" w:header="0" w:footer="3" w:gutter="0"/>
          <w:cols w:space="720" w:num="1"/>
          <w:titlePg/>
          <w:docGrid w:linePitch="360" w:charSpace="0"/>
        </w:sectPr>
      </w:pPr>
    </w:p>
    <w:tbl>
      <w:tblPr>
        <w:tblStyle w:val="2"/>
        <w:tblW w:w="15231" w:type="dxa"/>
        <w:jc w:val="center"/>
        <w:tblInd w:w="0" w:type="dxa"/>
        <w:tblLayout w:type="fixed"/>
        <w:tblCellMar>
          <w:top w:w="0" w:type="dxa"/>
          <w:left w:w="10" w:type="dxa"/>
          <w:bottom w:w="0" w:type="dxa"/>
          <w:right w:w="10" w:type="dxa"/>
        </w:tblCellMar>
      </w:tblPr>
      <w:tblGrid>
        <w:gridCol w:w="667"/>
        <w:gridCol w:w="1450"/>
        <w:gridCol w:w="1166"/>
        <w:gridCol w:w="2443"/>
        <w:gridCol w:w="8098"/>
        <w:gridCol w:w="701"/>
        <w:gridCol w:w="706"/>
      </w:tblGrid>
      <w:tr>
        <w:tblPrEx>
          <w:tblLayout w:type="fixed"/>
          <w:tblCellMar>
            <w:top w:w="0" w:type="dxa"/>
            <w:left w:w="10" w:type="dxa"/>
            <w:bottom w:w="0" w:type="dxa"/>
            <w:right w:w="10" w:type="dxa"/>
          </w:tblCellMar>
        </w:tblPrEx>
        <w:trPr>
          <w:trHeight w:val="360" w:hRule="exact"/>
          <w:jc w:val="center"/>
        </w:trPr>
        <w:tc>
          <w:tcPr>
            <w:tcW w:w="667"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序号</w:t>
            </w:r>
          </w:p>
        </w:tc>
        <w:tc>
          <w:tcPr>
            <w:tcW w:w="1450"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领域</w:t>
            </w:r>
          </w:p>
        </w:tc>
        <w:tc>
          <w:tcPr>
            <w:tcW w:w="116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权力类型</w:t>
            </w:r>
          </w:p>
        </w:tc>
        <w:tc>
          <w:tcPr>
            <w:tcW w:w="2443"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权力名称</w:t>
            </w:r>
          </w:p>
        </w:tc>
        <w:tc>
          <w:tcPr>
            <w:tcW w:w="8098"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设定依据</w:t>
            </w:r>
          </w:p>
        </w:tc>
        <w:tc>
          <w:tcPr>
            <w:tcW w:w="1407" w:type="dxa"/>
            <w:gridSpan w:val="2"/>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承接主体</w:t>
            </w:r>
          </w:p>
        </w:tc>
      </w:tr>
      <w:tr>
        <w:tblPrEx>
          <w:tblLayout w:type="fixed"/>
          <w:tblCellMar>
            <w:top w:w="0" w:type="dxa"/>
            <w:left w:w="10" w:type="dxa"/>
            <w:bottom w:w="0" w:type="dxa"/>
            <w:right w:w="10" w:type="dxa"/>
          </w:tblCellMar>
        </w:tblPrEx>
        <w:trPr>
          <w:trHeight w:val="346" w:hRule="exact"/>
          <w:jc w:val="center"/>
        </w:trPr>
        <w:tc>
          <w:tcPr>
            <w:tcW w:w="667" w:type="dxa"/>
            <w:vMerge w:val="continue"/>
            <w:tcBorders>
              <w:left w:val="single" w:color="auto" w:sz="4" w:space="0"/>
            </w:tcBorders>
            <w:shd w:val="clear" w:color="auto" w:fill="FFFFFF"/>
            <w:vAlign w:val="center"/>
          </w:tcPr>
          <w:p/>
        </w:tc>
        <w:tc>
          <w:tcPr>
            <w:tcW w:w="1450" w:type="dxa"/>
            <w:vMerge w:val="continue"/>
            <w:tcBorders>
              <w:left w:val="single" w:color="auto" w:sz="4" w:space="0"/>
            </w:tcBorders>
            <w:shd w:val="clear" w:color="auto" w:fill="FFFFFF"/>
            <w:vAlign w:val="center"/>
          </w:tcPr>
          <w:p/>
        </w:tc>
        <w:tc>
          <w:tcPr>
            <w:tcW w:w="1166" w:type="dxa"/>
            <w:vMerge w:val="continue"/>
            <w:tcBorders>
              <w:left w:val="single" w:color="auto" w:sz="4" w:space="0"/>
            </w:tcBorders>
            <w:shd w:val="clear" w:color="auto" w:fill="FFFFFF"/>
            <w:vAlign w:val="center"/>
          </w:tcPr>
          <w:p/>
        </w:tc>
        <w:tc>
          <w:tcPr>
            <w:tcW w:w="2443" w:type="dxa"/>
            <w:vMerge w:val="continue"/>
            <w:tcBorders>
              <w:left w:val="single" w:color="auto" w:sz="4" w:space="0"/>
            </w:tcBorders>
            <w:shd w:val="clear" w:color="auto" w:fill="FFFFFF"/>
            <w:vAlign w:val="center"/>
          </w:tcPr>
          <w:p/>
        </w:tc>
        <w:tc>
          <w:tcPr>
            <w:tcW w:w="8098" w:type="dxa"/>
            <w:vMerge w:val="continue"/>
            <w:tcBorders>
              <w:left w:val="single" w:color="auto" w:sz="4" w:space="0"/>
            </w:tcBorders>
            <w:shd w:val="clear" w:color="auto" w:fill="FFFFFF"/>
            <w:vAlign w:val="center"/>
          </w:tcP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乡镇</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街道</w:t>
            </w:r>
          </w:p>
        </w:tc>
      </w:tr>
      <w:tr>
        <w:tblPrEx>
          <w:tblLayout w:type="fixed"/>
          <w:tblCellMar>
            <w:top w:w="0" w:type="dxa"/>
            <w:left w:w="10" w:type="dxa"/>
            <w:bottom w:w="0" w:type="dxa"/>
            <w:right w:w="10" w:type="dxa"/>
          </w:tblCellMar>
        </w:tblPrEx>
        <w:trPr>
          <w:trHeight w:val="1858"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13</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交通运输</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tcBorders>
            <w:shd w:val="clear" w:color="auto" w:fill="FFFFFF"/>
            <w:vAlign w:val="center"/>
          </w:tcPr>
          <w:p>
            <w:pPr>
              <w:pStyle w:val="6"/>
              <w:shd w:val="clear" w:color="auto" w:fill="auto"/>
              <w:spacing w:after="60"/>
              <w:jc w:val="both"/>
            </w:pPr>
            <w:r>
              <w:t>对道路运输车辆的监督</w:t>
            </w:r>
          </w:p>
          <w:p>
            <w:pPr>
              <w:pStyle w:val="6"/>
              <w:shd w:val="clear" w:color="auto" w:fill="auto"/>
              <w:jc w:val="both"/>
            </w:pPr>
            <w:r>
              <w:t>检查</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rPr>
                <w:rFonts w:ascii="Times New Roman" w:hAnsi="Times New Roman" w:eastAsia="Times New Roman" w:cs="Times New Roman"/>
                <w:sz w:val="22"/>
                <w:szCs w:val="22"/>
              </w:rPr>
              <w:t>1.</w:t>
            </w:r>
            <w:r>
              <w:t>《中华人民共和国道路运输条例》第五十八条第三款 道路运输管理机构的工作人 员在公路路口进行监督检查时，不得随意拦截正常行驶的道路运输车辆。</w:t>
            </w:r>
          </w:p>
          <w:p>
            <w:pPr>
              <w:pStyle w:val="6"/>
              <w:shd w:val="clear" w:color="auto" w:fill="auto"/>
              <w:jc w:val="both"/>
            </w:pPr>
            <w:r>
              <w:rPr>
                <w:rFonts w:ascii="Times New Roman" w:hAnsi="Times New Roman" w:eastAsia="Times New Roman" w:cs="Times New Roman"/>
                <w:sz w:val="22"/>
                <w:szCs w:val="22"/>
              </w:rPr>
              <w:t>2.</w:t>
            </w:r>
            <w:r>
              <w:t>《四川省道路运输条例》第五十三条第一款 道路运输行政执法人员应当在道路运 输及相关业务经营场所、客货集散地进行监督检查，可以在省人民政府批准的交通检 查站或者道路宽阔、视线良好的路段检查道路运输车辆。</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tcPr>
          <w:p>
            <w:pPr>
              <w:rPr>
                <w:sz w:val="10"/>
                <w:szCs w:val="10"/>
              </w:rPr>
            </w:pPr>
          </w:p>
        </w:tc>
      </w:tr>
      <w:tr>
        <w:tblPrEx>
          <w:tblLayout w:type="fixed"/>
          <w:tblCellMar>
            <w:top w:w="0" w:type="dxa"/>
            <w:left w:w="10" w:type="dxa"/>
            <w:bottom w:w="0" w:type="dxa"/>
            <w:right w:w="10" w:type="dxa"/>
          </w:tblCellMar>
        </w:tblPrEx>
        <w:trPr>
          <w:trHeight w:val="2285" w:hRule="exact"/>
          <w:jc w:val="center"/>
        </w:trPr>
        <w:tc>
          <w:tcPr>
            <w:tcW w:w="667"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14</w:t>
            </w:r>
          </w:p>
        </w:tc>
        <w:tc>
          <w:tcPr>
            <w:tcW w:w="1450"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交通运输</w:t>
            </w:r>
          </w:p>
        </w:tc>
        <w:tc>
          <w:tcPr>
            <w:tcW w:w="116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pPr>
            <w:r>
              <w:t>对有关单位、个人或其他 组织执行公路管理法律、 法规、规章情况进行的监 督检查（仅下放对超限运 输车辆、公路路产路权的 检查）</w:t>
            </w:r>
          </w:p>
        </w:tc>
        <w:tc>
          <w:tcPr>
            <w:tcW w:w="8098"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pPr>
            <w:r>
              <w:rPr>
                <w:rFonts w:ascii="Times New Roman" w:hAnsi="Times New Roman" w:eastAsia="Times New Roman" w:cs="Times New Roman"/>
                <w:sz w:val="22"/>
                <w:szCs w:val="22"/>
              </w:rPr>
              <w:t>1.</w:t>
            </w:r>
            <w:r>
              <w:t>《公路安全保护条例》第四十条 公路管理机构在监督检查中发现车辆超过公路、 公路桥梁、公路隧道或者汽车渡船的限载、限高、限宽、限长标准的，应当就近引导 至固定超限检测站点进行处理。车辆应当按照超限检测指示标志或者公路管理机构监 督检查人员的指挥接受超限检测，不得故意堵塞固定超限检测站点通行车道、强行通 过固定超限检测站点或者以其他方式扰乱超限检测秩序，不得采取短途驳载等方式逃 避超限检测。禁止通过引路绕行等方式为不符合国家有关载运标准的车辆逃避超限检 测提供便利。</w:t>
            </w:r>
          </w:p>
        </w:tc>
        <w:tc>
          <w:tcPr>
            <w:tcW w:w="701"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r>
    </w:tbl>
    <w:p>
      <w:pPr>
        <w:rPr>
          <w:sz w:val="2"/>
          <w:szCs w:val="2"/>
        </w:rPr>
      </w:pPr>
      <w:r>
        <w:br w:type="page"/>
      </w:r>
    </w:p>
    <w:tbl>
      <w:tblPr>
        <w:tblStyle w:val="2"/>
        <w:tblW w:w="15231" w:type="dxa"/>
        <w:jc w:val="center"/>
        <w:tblInd w:w="0" w:type="dxa"/>
        <w:tblLayout w:type="fixed"/>
        <w:tblCellMar>
          <w:top w:w="0" w:type="dxa"/>
          <w:left w:w="10" w:type="dxa"/>
          <w:bottom w:w="0" w:type="dxa"/>
          <w:right w:w="10" w:type="dxa"/>
        </w:tblCellMar>
      </w:tblPr>
      <w:tblGrid>
        <w:gridCol w:w="667"/>
        <w:gridCol w:w="1450"/>
        <w:gridCol w:w="1166"/>
        <w:gridCol w:w="2443"/>
        <w:gridCol w:w="8098"/>
        <w:gridCol w:w="701"/>
        <w:gridCol w:w="706"/>
      </w:tblGrid>
      <w:tr>
        <w:tblPrEx>
          <w:tblLayout w:type="fixed"/>
          <w:tblCellMar>
            <w:top w:w="0" w:type="dxa"/>
            <w:left w:w="10" w:type="dxa"/>
            <w:bottom w:w="0" w:type="dxa"/>
            <w:right w:w="10" w:type="dxa"/>
          </w:tblCellMar>
        </w:tblPrEx>
        <w:trPr>
          <w:trHeight w:val="360" w:hRule="exact"/>
          <w:jc w:val="center"/>
        </w:trPr>
        <w:tc>
          <w:tcPr>
            <w:tcW w:w="667"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序号</w:t>
            </w:r>
          </w:p>
        </w:tc>
        <w:tc>
          <w:tcPr>
            <w:tcW w:w="1450"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领域</w:t>
            </w:r>
          </w:p>
        </w:tc>
        <w:tc>
          <w:tcPr>
            <w:tcW w:w="116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权力类型</w:t>
            </w:r>
          </w:p>
        </w:tc>
        <w:tc>
          <w:tcPr>
            <w:tcW w:w="2443"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权力名称</w:t>
            </w:r>
          </w:p>
        </w:tc>
        <w:tc>
          <w:tcPr>
            <w:tcW w:w="8098"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设定依据</w:t>
            </w:r>
          </w:p>
        </w:tc>
        <w:tc>
          <w:tcPr>
            <w:tcW w:w="1407" w:type="dxa"/>
            <w:gridSpan w:val="2"/>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承接主体</w:t>
            </w:r>
          </w:p>
        </w:tc>
      </w:tr>
      <w:tr>
        <w:tblPrEx>
          <w:tblLayout w:type="fixed"/>
          <w:tblCellMar>
            <w:top w:w="0" w:type="dxa"/>
            <w:left w:w="10" w:type="dxa"/>
            <w:bottom w:w="0" w:type="dxa"/>
            <w:right w:w="10" w:type="dxa"/>
          </w:tblCellMar>
        </w:tblPrEx>
        <w:trPr>
          <w:trHeight w:val="346" w:hRule="exact"/>
          <w:jc w:val="center"/>
        </w:trPr>
        <w:tc>
          <w:tcPr>
            <w:tcW w:w="667" w:type="dxa"/>
            <w:vMerge w:val="continue"/>
            <w:tcBorders>
              <w:left w:val="single" w:color="auto" w:sz="4" w:space="0"/>
            </w:tcBorders>
            <w:shd w:val="clear" w:color="auto" w:fill="FFFFFF"/>
            <w:vAlign w:val="center"/>
          </w:tcPr>
          <w:p/>
        </w:tc>
        <w:tc>
          <w:tcPr>
            <w:tcW w:w="1450" w:type="dxa"/>
            <w:vMerge w:val="continue"/>
            <w:tcBorders>
              <w:left w:val="single" w:color="auto" w:sz="4" w:space="0"/>
            </w:tcBorders>
            <w:shd w:val="clear" w:color="auto" w:fill="FFFFFF"/>
            <w:vAlign w:val="center"/>
          </w:tcPr>
          <w:p/>
        </w:tc>
        <w:tc>
          <w:tcPr>
            <w:tcW w:w="1166" w:type="dxa"/>
            <w:vMerge w:val="continue"/>
            <w:tcBorders>
              <w:left w:val="single" w:color="auto" w:sz="4" w:space="0"/>
            </w:tcBorders>
            <w:shd w:val="clear" w:color="auto" w:fill="FFFFFF"/>
            <w:vAlign w:val="center"/>
          </w:tcPr>
          <w:p/>
        </w:tc>
        <w:tc>
          <w:tcPr>
            <w:tcW w:w="2443" w:type="dxa"/>
            <w:vMerge w:val="continue"/>
            <w:tcBorders>
              <w:left w:val="single" w:color="auto" w:sz="4" w:space="0"/>
            </w:tcBorders>
            <w:shd w:val="clear" w:color="auto" w:fill="FFFFFF"/>
            <w:vAlign w:val="center"/>
          </w:tcPr>
          <w:p/>
        </w:tc>
        <w:tc>
          <w:tcPr>
            <w:tcW w:w="8098" w:type="dxa"/>
            <w:vMerge w:val="continue"/>
            <w:tcBorders>
              <w:left w:val="single" w:color="auto" w:sz="4" w:space="0"/>
            </w:tcBorders>
            <w:shd w:val="clear" w:color="auto" w:fill="FFFFFF"/>
            <w:vAlign w:val="center"/>
          </w:tcP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乡镇</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街道</w:t>
            </w:r>
          </w:p>
        </w:tc>
      </w:tr>
      <w:tr>
        <w:tblPrEx>
          <w:tblLayout w:type="fixed"/>
          <w:tblCellMar>
            <w:top w:w="0" w:type="dxa"/>
            <w:left w:w="10" w:type="dxa"/>
            <w:bottom w:w="0" w:type="dxa"/>
            <w:right w:w="10" w:type="dxa"/>
          </w:tblCellMar>
        </w:tblPrEx>
        <w:trPr>
          <w:trHeight w:val="2280" w:hRule="exact"/>
          <w:jc w:val="center"/>
        </w:trPr>
        <w:tc>
          <w:tcPr>
            <w:tcW w:w="667" w:type="dxa"/>
            <w:tcBorders>
              <w:top w:val="single" w:color="auto" w:sz="4" w:space="0"/>
              <w:left w:val="single" w:color="auto" w:sz="4" w:space="0"/>
            </w:tcBorders>
            <w:shd w:val="clear" w:color="auto" w:fill="FFFFFF"/>
          </w:tcPr>
          <w:p>
            <w:pPr>
              <w:rPr>
                <w:sz w:val="10"/>
                <w:szCs w:val="10"/>
              </w:rPr>
            </w:pPr>
          </w:p>
        </w:tc>
        <w:tc>
          <w:tcPr>
            <w:tcW w:w="1450" w:type="dxa"/>
            <w:tcBorders>
              <w:top w:val="single" w:color="auto" w:sz="4" w:space="0"/>
              <w:left w:val="single" w:color="auto" w:sz="4" w:space="0"/>
            </w:tcBorders>
            <w:shd w:val="clear" w:color="auto" w:fill="FFFFFF"/>
          </w:tcPr>
          <w:p>
            <w:pPr>
              <w:rPr>
                <w:sz w:val="10"/>
                <w:szCs w:val="10"/>
              </w:rPr>
            </w:pPr>
          </w:p>
        </w:tc>
        <w:tc>
          <w:tcPr>
            <w:tcW w:w="1166" w:type="dxa"/>
            <w:tcBorders>
              <w:top w:val="single" w:color="auto" w:sz="4" w:space="0"/>
              <w:left w:val="single" w:color="auto" w:sz="4" w:space="0"/>
            </w:tcBorders>
            <w:shd w:val="clear" w:color="auto" w:fill="FFFFFF"/>
          </w:tcPr>
          <w:p>
            <w:pPr>
              <w:rPr>
                <w:sz w:val="10"/>
                <w:szCs w:val="10"/>
              </w:rPr>
            </w:pPr>
          </w:p>
        </w:tc>
        <w:tc>
          <w:tcPr>
            <w:tcW w:w="2443" w:type="dxa"/>
            <w:tcBorders>
              <w:top w:val="single" w:color="auto" w:sz="4" w:space="0"/>
              <w:left w:val="single" w:color="auto" w:sz="4" w:space="0"/>
            </w:tcBorders>
            <w:shd w:val="clear" w:color="auto" w:fill="FFFFFF"/>
          </w:tcPr>
          <w:p>
            <w:pPr>
              <w:rPr>
                <w:sz w:val="10"/>
                <w:szCs w:val="10"/>
              </w:rPr>
            </w:pP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rPr>
                <w:rFonts w:ascii="Times New Roman" w:hAnsi="Times New Roman" w:eastAsia="Times New Roman" w:cs="Times New Roman"/>
                <w:sz w:val="22"/>
                <w:szCs w:val="22"/>
              </w:rPr>
              <w:t>2.</w:t>
            </w:r>
            <w:r>
              <w:t>《四川省公路路政管理条例》第九条 各级公路路政管理机构的职责是：（一）负 责贯彻执行公路路政管理法律、法规和规章；（二）负责管理和保护公路路产；（三） 实施公路路政巡查；（四）对违反公路路政管理法律、法规、规章的行为，有权制止 并依法进行处罚；（五）与规划、国土、城建部门共同依法控制公路两侧建筑红线； （六）审理从地下、地面、上空穿（跨）越公路的其它建筑设施事宜；（七）核批公 路的特殊占用及超限运输，并对其实施行为进行监督检查；（八）维护公路、公路渡 口的养护、施工作业的正常秩序；（九）法律、法规、规章规定的其他职权。</w:t>
            </w:r>
          </w:p>
        </w:tc>
        <w:tc>
          <w:tcPr>
            <w:tcW w:w="701" w:type="dxa"/>
            <w:tcBorders>
              <w:top w:val="single" w:color="auto" w:sz="4" w:space="0"/>
              <w:left w:val="single" w:color="auto" w:sz="4" w:space="0"/>
            </w:tcBorders>
            <w:shd w:val="clear" w:color="auto" w:fill="FFFFFF"/>
          </w:tcPr>
          <w:p>
            <w:pPr>
              <w:rPr>
                <w:sz w:val="10"/>
                <w:szCs w:val="10"/>
                <w:lang w:eastAsia="zh-CN"/>
              </w:rPr>
            </w:pPr>
          </w:p>
        </w:tc>
        <w:tc>
          <w:tcPr>
            <w:tcW w:w="706" w:type="dxa"/>
            <w:tcBorders>
              <w:top w:val="single" w:color="auto" w:sz="4" w:space="0"/>
              <w:left w:val="single" w:color="auto" w:sz="4" w:space="0"/>
              <w:right w:val="single" w:color="auto" w:sz="4" w:space="0"/>
            </w:tcBorders>
            <w:shd w:val="clear" w:color="auto" w:fill="FFFFFF"/>
          </w:tcPr>
          <w:p>
            <w:pPr>
              <w:rPr>
                <w:sz w:val="10"/>
                <w:szCs w:val="10"/>
                <w:lang w:eastAsia="zh-CN"/>
              </w:rPr>
            </w:pPr>
          </w:p>
        </w:tc>
      </w:tr>
      <w:tr>
        <w:tblPrEx>
          <w:tblLayout w:type="fixed"/>
          <w:tblCellMar>
            <w:top w:w="0" w:type="dxa"/>
            <w:left w:w="10" w:type="dxa"/>
            <w:bottom w:w="0" w:type="dxa"/>
            <w:right w:w="10" w:type="dxa"/>
          </w:tblCellMar>
        </w:tblPrEx>
        <w:trPr>
          <w:trHeight w:val="998"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15</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水利</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tcBorders>
            <w:shd w:val="clear" w:color="auto" w:fill="FFFFFF"/>
            <w:vAlign w:val="center"/>
          </w:tcPr>
          <w:p>
            <w:pPr>
              <w:pStyle w:val="6"/>
              <w:shd w:val="clear" w:color="auto" w:fill="auto"/>
            </w:pPr>
            <w:r>
              <w:t>水土保持监督检查</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《中华人民共和国水土保持法》第四十三条 县级以上人民政府水行政主管部门负责 对水土保持情况进行监督检查。流域管理机构在其管辖范围内可以行使国务院水行政 主管部门的监督检查职权。</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tcPr>
          <w:p>
            <w:pPr>
              <w:rPr>
                <w:sz w:val="10"/>
                <w:szCs w:val="10"/>
              </w:rPr>
            </w:pPr>
          </w:p>
        </w:tc>
      </w:tr>
      <w:tr>
        <w:tblPrEx>
          <w:tblLayout w:type="fixed"/>
          <w:tblCellMar>
            <w:top w:w="0" w:type="dxa"/>
            <w:left w:w="10" w:type="dxa"/>
            <w:bottom w:w="0" w:type="dxa"/>
            <w:right w:w="10" w:type="dxa"/>
          </w:tblCellMar>
        </w:tblPrEx>
        <w:trPr>
          <w:trHeight w:val="2602"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sz w:val="22"/>
                <w:szCs w:val="22"/>
                <w:lang w:val="en-US" w:eastAsia="zh-CN"/>
              </w:rPr>
              <w:t>16</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水利</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tcBorders>
            <w:shd w:val="clear" w:color="auto" w:fill="FFFFFF"/>
            <w:vAlign w:val="center"/>
          </w:tcPr>
          <w:p>
            <w:pPr>
              <w:pStyle w:val="6"/>
              <w:shd w:val="clear" w:color="auto" w:fill="auto"/>
            </w:pPr>
            <w:r>
              <w:t>检查督促防洪工程设施 的建设和水毁工程的修 复</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《四川省〈中华人民共和国防洪法〉实施办法》第十三条 有防汛抗洪任务的县级以 上地方人民政府应当设立防汛指挥机构，负责领导、组织本行政区域的防汛抗洪工作。 防汛指挥机构的主要职责是：（一）编制本地区防御洪水方案；（二）负责本地区的防 汛检查，督促有关部门及时处理影响安全度汛的有关问题；（三）贯彻执行上级防汛 调度指令和批准的洪水调度方案，实施洪水调度并落实各项措施；（四）发布本地区 的汛情、灾情，宣布紧急防汛期；（五）负责防汛经费和物资的计划、管理和调度； （六）检查督促防洪工程设施的建设和水毁工程的修复。防汛指挥机构的办事机构设 在同级人民政府水行政主管部门。</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tcPr>
          <w:p>
            <w:pPr>
              <w:rPr>
                <w:sz w:val="10"/>
                <w:szCs w:val="10"/>
              </w:rPr>
            </w:pPr>
          </w:p>
        </w:tc>
      </w:tr>
      <w:tr>
        <w:tblPrEx>
          <w:tblLayout w:type="fixed"/>
          <w:tblCellMar>
            <w:top w:w="0" w:type="dxa"/>
            <w:left w:w="10" w:type="dxa"/>
            <w:bottom w:w="0" w:type="dxa"/>
            <w:right w:w="10" w:type="dxa"/>
          </w:tblCellMar>
        </w:tblPrEx>
        <w:trPr>
          <w:trHeight w:val="1320" w:hRule="exact"/>
          <w:jc w:val="center"/>
        </w:trPr>
        <w:tc>
          <w:tcPr>
            <w:tcW w:w="667"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17</w:t>
            </w:r>
          </w:p>
        </w:tc>
        <w:tc>
          <w:tcPr>
            <w:tcW w:w="1450"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水利</w:t>
            </w:r>
          </w:p>
        </w:tc>
        <w:tc>
          <w:tcPr>
            <w:tcW w:w="116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bottom w:val="single" w:color="auto" w:sz="4" w:space="0"/>
            </w:tcBorders>
            <w:shd w:val="clear" w:color="auto" w:fill="FFFFFF"/>
            <w:vAlign w:val="center"/>
          </w:tcPr>
          <w:p>
            <w:pPr>
              <w:pStyle w:val="6"/>
              <w:shd w:val="clear" w:color="auto" w:fill="auto"/>
            </w:pPr>
            <w:r>
              <w:t>监督检查其他有防汛抗 洪任务的部门和单位做 好本行业和本单位防汛 工作的情况</w:t>
            </w:r>
          </w:p>
        </w:tc>
        <w:tc>
          <w:tcPr>
            <w:tcW w:w="8098"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pPr>
            <w:r>
              <w:t>《四川省〈中华人民共和国防洪法〉实施办法》第十四条 各级防汛指挥机构的组成 部门和单位应当按照各自的职责分工承担相应的防汛任务。其他有防汛抗洪任务的部 门和单位，应当负责做好本行业和本单位的防汛工作，并接受当地防汛指挥机构的统 一指挥、监督和检查。</w:t>
            </w:r>
          </w:p>
        </w:tc>
        <w:tc>
          <w:tcPr>
            <w:tcW w:w="701"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r>
    </w:tbl>
    <w:p>
      <w:pPr>
        <w:rPr>
          <w:sz w:val="2"/>
          <w:szCs w:val="2"/>
        </w:rPr>
      </w:pPr>
      <w:r>
        <w:br w:type="page"/>
      </w:r>
    </w:p>
    <w:tbl>
      <w:tblPr>
        <w:tblStyle w:val="2"/>
        <w:tblW w:w="15231" w:type="dxa"/>
        <w:jc w:val="center"/>
        <w:tblInd w:w="0" w:type="dxa"/>
        <w:tblLayout w:type="fixed"/>
        <w:tblCellMar>
          <w:top w:w="0" w:type="dxa"/>
          <w:left w:w="10" w:type="dxa"/>
          <w:bottom w:w="0" w:type="dxa"/>
          <w:right w:w="10" w:type="dxa"/>
        </w:tblCellMar>
      </w:tblPr>
      <w:tblGrid>
        <w:gridCol w:w="667"/>
        <w:gridCol w:w="1450"/>
        <w:gridCol w:w="1166"/>
        <w:gridCol w:w="2443"/>
        <w:gridCol w:w="8098"/>
        <w:gridCol w:w="701"/>
        <w:gridCol w:w="706"/>
      </w:tblGrid>
      <w:tr>
        <w:tblPrEx>
          <w:tblLayout w:type="fixed"/>
          <w:tblCellMar>
            <w:top w:w="0" w:type="dxa"/>
            <w:left w:w="10" w:type="dxa"/>
            <w:bottom w:w="0" w:type="dxa"/>
            <w:right w:w="10" w:type="dxa"/>
          </w:tblCellMar>
        </w:tblPrEx>
        <w:trPr>
          <w:trHeight w:val="360" w:hRule="exact"/>
          <w:jc w:val="center"/>
        </w:trPr>
        <w:tc>
          <w:tcPr>
            <w:tcW w:w="667"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序号</w:t>
            </w:r>
          </w:p>
        </w:tc>
        <w:tc>
          <w:tcPr>
            <w:tcW w:w="1450"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领域</w:t>
            </w:r>
          </w:p>
        </w:tc>
        <w:tc>
          <w:tcPr>
            <w:tcW w:w="116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权力类型</w:t>
            </w:r>
          </w:p>
        </w:tc>
        <w:tc>
          <w:tcPr>
            <w:tcW w:w="2443"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权力名称</w:t>
            </w:r>
          </w:p>
        </w:tc>
        <w:tc>
          <w:tcPr>
            <w:tcW w:w="8098"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设定依据</w:t>
            </w:r>
          </w:p>
        </w:tc>
        <w:tc>
          <w:tcPr>
            <w:tcW w:w="1407" w:type="dxa"/>
            <w:gridSpan w:val="2"/>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承接主体</w:t>
            </w:r>
          </w:p>
        </w:tc>
      </w:tr>
      <w:tr>
        <w:tblPrEx>
          <w:tblLayout w:type="fixed"/>
          <w:tblCellMar>
            <w:top w:w="0" w:type="dxa"/>
            <w:left w:w="10" w:type="dxa"/>
            <w:bottom w:w="0" w:type="dxa"/>
            <w:right w:w="10" w:type="dxa"/>
          </w:tblCellMar>
        </w:tblPrEx>
        <w:trPr>
          <w:trHeight w:val="346" w:hRule="exact"/>
          <w:jc w:val="center"/>
        </w:trPr>
        <w:tc>
          <w:tcPr>
            <w:tcW w:w="667" w:type="dxa"/>
            <w:vMerge w:val="continue"/>
            <w:tcBorders>
              <w:left w:val="single" w:color="auto" w:sz="4" w:space="0"/>
            </w:tcBorders>
            <w:shd w:val="clear" w:color="auto" w:fill="FFFFFF"/>
            <w:vAlign w:val="center"/>
          </w:tcPr>
          <w:p/>
        </w:tc>
        <w:tc>
          <w:tcPr>
            <w:tcW w:w="1450" w:type="dxa"/>
            <w:vMerge w:val="continue"/>
            <w:tcBorders>
              <w:left w:val="single" w:color="auto" w:sz="4" w:space="0"/>
            </w:tcBorders>
            <w:shd w:val="clear" w:color="auto" w:fill="FFFFFF"/>
            <w:vAlign w:val="center"/>
          </w:tcPr>
          <w:p/>
        </w:tc>
        <w:tc>
          <w:tcPr>
            <w:tcW w:w="1166" w:type="dxa"/>
            <w:vMerge w:val="continue"/>
            <w:tcBorders>
              <w:left w:val="single" w:color="auto" w:sz="4" w:space="0"/>
            </w:tcBorders>
            <w:shd w:val="clear" w:color="auto" w:fill="FFFFFF"/>
            <w:vAlign w:val="center"/>
          </w:tcPr>
          <w:p/>
        </w:tc>
        <w:tc>
          <w:tcPr>
            <w:tcW w:w="2443" w:type="dxa"/>
            <w:vMerge w:val="continue"/>
            <w:tcBorders>
              <w:left w:val="single" w:color="auto" w:sz="4" w:space="0"/>
            </w:tcBorders>
            <w:shd w:val="clear" w:color="auto" w:fill="FFFFFF"/>
            <w:vAlign w:val="center"/>
          </w:tcPr>
          <w:p/>
        </w:tc>
        <w:tc>
          <w:tcPr>
            <w:tcW w:w="8098" w:type="dxa"/>
            <w:vMerge w:val="continue"/>
            <w:tcBorders>
              <w:left w:val="single" w:color="auto" w:sz="4" w:space="0"/>
            </w:tcBorders>
            <w:shd w:val="clear" w:color="auto" w:fill="FFFFFF"/>
            <w:vAlign w:val="center"/>
          </w:tcP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乡镇</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街道</w:t>
            </w:r>
          </w:p>
        </w:tc>
      </w:tr>
      <w:tr>
        <w:tblPrEx>
          <w:tblLayout w:type="fixed"/>
          <w:tblCellMar>
            <w:top w:w="0" w:type="dxa"/>
            <w:left w:w="10" w:type="dxa"/>
            <w:bottom w:w="0" w:type="dxa"/>
            <w:right w:w="10" w:type="dxa"/>
          </w:tblCellMar>
        </w:tblPrEx>
        <w:trPr>
          <w:trHeight w:val="2280"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18</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水利</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tcBorders>
            <w:shd w:val="clear" w:color="auto" w:fill="FFFFFF"/>
            <w:vAlign w:val="center"/>
          </w:tcPr>
          <w:p>
            <w:pPr>
              <w:pStyle w:val="6"/>
              <w:shd w:val="clear" w:color="auto" w:fill="auto"/>
            </w:pPr>
            <w:r>
              <w:t>对供用水单位的取水、供 水和用水情况进行监督 检查</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rPr>
                <w:rFonts w:ascii="Times New Roman" w:hAnsi="Times New Roman" w:eastAsia="Times New Roman" w:cs="Times New Roman"/>
                <w:sz w:val="22"/>
                <w:szCs w:val="22"/>
              </w:rPr>
              <w:t>1.</w:t>
            </w:r>
            <w:r>
              <w:t>《四川省〈中华人民共和国水法〉实施办法》第三十二条第二款 县级以上水行政 主管部门和有关主管部门在各自的职责范围内对供用水单位的取水、供水和用水情况 进行监督检查。供用水单位应当对供水管网定期进行普查和检测，建立技术档案，制 定节水技术改造计划，降低管网漏失率。</w:t>
            </w:r>
          </w:p>
          <w:p>
            <w:pPr>
              <w:pStyle w:val="6"/>
              <w:shd w:val="clear" w:color="auto" w:fill="auto"/>
              <w:jc w:val="both"/>
            </w:pPr>
            <w:r>
              <w:rPr>
                <w:rFonts w:ascii="Times New Roman" w:hAnsi="Times New Roman" w:eastAsia="Times New Roman" w:cs="Times New Roman"/>
                <w:sz w:val="22"/>
                <w:szCs w:val="22"/>
              </w:rPr>
              <w:t>2.</w:t>
            </w:r>
            <w:r>
              <w:t>《四川省取水许可和水资源费征收管理办法》第二十四条 县级以上地方人民政府 水行政主管部门进入取水单位或者个人的生产场所进行检查时，取水单位或者个人应 当予以配合，提供有关文件、证照、资料等，并说明情况。</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tcPr>
          <w:p>
            <w:pPr>
              <w:rPr>
                <w:sz w:val="10"/>
                <w:szCs w:val="10"/>
              </w:rPr>
            </w:pPr>
          </w:p>
        </w:tc>
      </w:tr>
      <w:tr>
        <w:tblPrEx>
          <w:tblLayout w:type="fixed"/>
          <w:tblCellMar>
            <w:top w:w="0" w:type="dxa"/>
            <w:left w:w="10" w:type="dxa"/>
            <w:bottom w:w="0" w:type="dxa"/>
            <w:right w:w="10" w:type="dxa"/>
          </w:tblCellMar>
        </w:tblPrEx>
        <w:trPr>
          <w:trHeight w:val="3336" w:hRule="exact"/>
          <w:jc w:val="center"/>
        </w:trPr>
        <w:tc>
          <w:tcPr>
            <w:tcW w:w="667"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19</w:t>
            </w:r>
          </w:p>
        </w:tc>
        <w:tc>
          <w:tcPr>
            <w:tcW w:w="1450"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水利</w:t>
            </w:r>
          </w:p>
        </w:tc>
        <w:tc>
          <w:tcPr>
            <w:tcW w:w="116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bottom w:val="single" w:color="auto" w:sz="4" w:space="0"/>
            </w:tcBorders>
            <w:shd w:val="clear" w:color="auto" w:fill="FFFFFF"/>
            <w:vAlign w:val="center"/>
          </w:tcPr>
          <w:p>
            <w:pPr>
              <w:pStyle w:val="6"/>
              <w:shd w:val="clear" w:color="auto" w:fill="auto"/>
            </w:pPr>
            <w:r>
              <w:t>河道采砂检查（仅下放对 村民生活自用河砂开采 及使用的检查）</w:t>
            </w:r>
          </w:p>
        </w:tc>
        <w:tc>
          <w:tcPr>
            <w:tcW w:w="8098"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pPr>
            <w:r>
              <w:t>《四川省河道采砂管理条例》第五条第一款 县级以上地方人民政府水行政主管部门 具体负责河道采砂的管理和监督工作。</w:t>
            </w:r>
          </w:p>
          <w:p>
            <w:pPr>
              <w:pStyle w:val="6"/>
              <w:shd w:val="clear" w:color="auto" w:fill="auto"/>
              <w:jc w:val="both"/>
            </w:pPr>
            <w:r>
              <w:t>《四川省河道采砂管理条例》第二十八条 从事河道采砂的单位或者个人应当做好采 砂安全管理工作，接受县级以上地方人民政府水行政主管部门及相关部门的现场监 管，如实提供有关资料，配合监督检查，并遵守下列规定：（一）按照河道采砂许可 证的规定和河道采砂权出让合同的约定采砂作业；（二）不得在禁采区、禁采期采砂 作业；（三）不得在河道采砂许可证有效期届满或者累计采砂量达到河道采砂许可证 规定的总量后继续采砂作业；（四）不得破坏河势稳定、损坏水工程、恶化通航条件、 破坏水生态环境等；（五）在航道和通航水域内采砂的，应当服从通航安全要求，并 在作业区设立明显标志；（六）不得违反相关法律法规的禁止性规定。</w:t>
            </w:r>
          </w:p>
        </w:tc>
        <w:tc>
          <w:tcPr>
            <w:tcW w:w="701"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r>
    </w:tbl>
    <w:p>
      <w:pPr>
        <w:rPr>
          <w:sz w:val="2"/>
          <w:szCs w:val="2"/>
        </w:rPr>
      </w:pPr>
      <w:r>
        <w:br w:type="page"/>
      </w:r>
    </w:p>
    <w:tbl>
      <w:tblPr>
        <w:tblStyle w:val="2"/>
        <w:tblW w:w="15231" w:type="dxa"/>
        <w:jc w:val="center"/>
        <w:tblInd w:w="0" w:type="dxa"/>
        <w:tblLayout w:type="fixed"/>
        <w:tblCellMar>
          <w:top w:w="0" w:type="dxa"/>
          <w:left w:w="10" w:type="dxa"/>
          <w:bottom w:w="0" w:type="dxa"/>
          <w:right w:w="10" w:type="dxa"/>
        </w:tblCellMar>
      </w:tblPr>
      <w:tblGrid>
        <w:gridCol w:w="667"/>
        <w:gridCol w:w="1450"/>
        <w:gridCol w:w="1166"/>
        <w:gridCol w:w="2443"/>
        <w:gridCol w:w="8098"/>
        <w:gridCol w:w="701"/>
        <w:gridCol w:w="706"/>
      </w:tblGrid>
      <w:tr>
        <w:tblPrEx>
          <w:tblLayout w:type="fixed"/>
          <w:tblCellMar>
            <w:top w:w="0" w:type="dxa"/>
            <w:left w:w="10" w:type="dxa"/>
            <w:bottom w:w="0" w:type="dxa"/>
            <w:right w:w="10" w:type="dxa"/>
          </w:tblCellMar>
        </w:tblPrEx>
        <w:trPr>
          <w:trHeight w:val="360" w:hRule="exact"/>
          <w:jc w:val="center"/>
        </w:trPr>
        <w:tc>
          <w:tcPr>
            <w:tcW w:w="667"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序号</w:t>
            </w:r>
          </w:p>
        </w:tc>
        <w:tc>
          <w:tcPr>
            <w:tcW w:w="1450"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领域</w:t>
            </w:r>
          </w:p>
        </w:tc>
        <w:tc>
          <w:tcPr>
            <w:tcW w:w="116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权力类型</w:t>
            </w:r>
          </w:p>
        </w:tc>
        <w:tc>
          <w:tcPr>
            <w:tcW w:w="2443"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权力名称</w:t>
            </w:r>
          </w:p>
        </w:tc>
        <w:tc>
          <w:tcPr>
            <w:tcW w:w="8098"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设定依据</w:t>
            </w:r>
          </w:p>
        </w:tc>
        <w:tc>
          <w:tcPr>
            <w:tcW w:w="1407" w:type="dxa"/>
            <w:gridSpan w:val="2"/>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承接主体</w:t>
            </w:r>
          </w:p>
        </w:tc>
      </w:tr>
      <w:tr>
        <w:tblPrEx>
          <w:tblLayout w:type="fixed"/>
          <w:tblCellMar>
            <w:top w:w="0" w:type="dxa"/>
            <w:left w:w="10" w:type="dxa"/>
            <w:bottom w:w="0" w:type="dxa"/>
            <w:right w:w="10" w:type="dxa"/>
          </w:tblCellMar>
        </w:tblPrEx>
        <w:trPr>
          <w:trHeight w:val="346" w:hRule="exact"/>
          <w:jc w:val="center"/>
        </w:trPr>
        <w:tc>
          <w:tcPr>
            <w:tcW w:w="667" w:type="dxa"/>
            <w:vMerge w:val="continue"/>
            <w:tcBorders>
              <w:left w:val="single" w:color="auto" w:sz="4" w:space="0"/>
            </w:tcBorders>
            <w:shd w:val="clear" w:color="auto" w:fill="FFFFFF"/>
            <w:vAlign w:val="center"/>
          </w:tcPr>
          <w:p/>
        </w:tc>
        <w:tc>
          <w:tcPr>
            <w:tcW w:w="1450" w:type="dxa"/>
            <w:vMerge w:val="continue"/>
            <w:tcBorders>
              <w:left w:val="single" w:color="auto" w:sz="4" w:space="0"/>
            </w:tcBorders>
            <w:shd w:val="clear" w:color="auto" w:fill="FFFFFF"/>
            <w:vAlign w:val="center"/>
          </w:tcPr>
          <w:p/>
        </w:tc>
        <w:tc>
          <w:tcPr>
            <w:tcW w:w="1166" w:type="dxa"/>
            <w:vMerge w:val="continue"/>
            <w:tcBorders>
              <w:left w:val="single" w:color="auto" w:sz="4" w:space="0"/>
            </w:tcBorders>
            <w:shd w:val="clear" w:color="auto" w:fill="FFFFFF"/>
            <w:vAlign w:val="center"/>
          </w:tcPr>
          <w:p/>
        </w:tc>
        <w:tc>
          <w:tcPr>
            <w:tcW w:w="2443" w:type="dxa"/>
            <w:vMerge w:val="continue"/>
            <w:tcBorders>
              <w:left w:val="single" w:color="auto" w:sz="4" w:space="0"/>
            </w:tcBorders>
            <w:shd w:val="clear" w:color="auto" w:fill="FFFFFF"/>
            <w:vAlign w:val="center"/>
          </w:tcPr>
          <w:p/>
        </w:tc>
        <w:tc>
          <w:tcPr>
            <w:tcW w:w="8098" w:type="dxa"/>
            <w:vMerge w:val="continue"/>
            <w:tcBorders>
              <w:left w:val="single" w:color="auto" w:sz="4" w:space="0"/>
            </w:tcBorders>
            <w:shd w:val="clear" w:color="auto" w:fill="FFFFFF"/>
            <w:vAlign w:val="center"/>
          </w:tcP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乡镇</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街道</w:t>
            </w:r>
          </w:p>
        </w:tc>
      </w:tr>
      <w:tr>
        <w:tblPrEx>
          <w:tblLayout w:type="fixed"/>
          <w:tblCellMar>
            <w:top w:w="0" w:type="dxa"/>
            <w:left w:w="10" w:type="dxa"/>
            <w:bottom w:w="0" w:type="dxa"/>
            <w:right w:w="10" w:type="dxa"/>
          </w:tblCellMar>
        </w:tblPrEx>
        <w:trPr>
          <w:trHeight w:val="2626"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20</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水利</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tcBorders>
            <w:shd w:val="clear" w:color="auto" w:fill="FFFFFF"/>
            <w:vAlign w:val="center"/>
          </w:tcPr>
          <w:p>
            <w:pPr>
              <w:pStyle w:val="6"/>
              <w:shd w:val="clear" w:color="auto" w:fill="auto"/>
            </w:pPr>
            <w:r>
              <w:t>农村饮水安全检查</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rPr>
                <w:rFonts w:ascii="Times New Roman" w:hAnsi="Times New Roman" w:eastAsia="Times New Roman" w:cs="Times New Roman"/>
                <w:sz w:val="22"/>
                <w:szCs w:val="22"/>
              </w:rPr>
              <w:t>1.</w:t>
            </w:r>
            <w:r>
              <w:t>《四川省〈中华人民共和国水法〉实施办法》第三十二条第二款 县级以上水行政 主管部门和有关主管部门在各自的职责范围内对供用水单位的取水、供水和用水情况 进行监督检查。供用水单位应当对供水管网定期进行普查和检测，建立技术档案，制 定节水技术改造计划，降低管网漏失率。</w:t>
            </w:r>
          </w:p>
          <w:p>
            <w:pPr>
              <w:pStyle w:val="6"/>
              <w:shd w:val="clear" w:color="auto" w:fill="auto"/>
              <w:jc w:val="both"/>
            </w:pPr>
            <w:r>
              <w:rPr>
                <w:rFonts w:ascii="Times New Roman" w:hAnsi="Times New Roman" w:eastAsia="Times New Roman" w:cs="Times New Roman"/>
                <w:sz w:val="22"/>
                <w:szCs w:val="22"/>
              </w:rPr>
              <w:t>2.</w:t>
            </w:r>
            <w:r>
              <w:t>《四川省村镇供水条例》第三十三条 供水单位应当遵守下列规定：（一）定期检 查、维护供水设施，保证供水正常；（二）供水水质、水量和水压符合国家规定标准； （三）依照村镇供水价格标准计量收费；（四）接受用水户的监督；（五）接受水行政 及卫生、环境保护、价格、审计、质量技术监督等有关部门的监督检查。</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tcPr>
          <w:p>
            <w:pPr>
              <w:rPr>
                <w:sz w:val="10"/>
                <w:szCs w:val="10"/>
              </w:rPr>
            </w:pPr>
          </w:p>
        </w:tc>
      </w:tr>
      <w:tr>
        <w:tblPrEx>
          <w:tblLayout w:type="fixed"/>
          <w:tblCellMar>
            <w:top w:w="0" w:type="dxa"/>
            <w:left w:w="10" w:type="dxa"/>
            <w:bottom w:w="0" w:type="dxa"/>
            <w:right w:w="10" w:type="dxa"/>
          </w:tblCellMar>
        </w:tblPrEx>
        <w:trPr>
          <w:trHeight w:val="4234" w:hRule="exact"/>
          <w:jc w:val="center"/>
        </w:trPr>
        <w:tc>
          <w:tcPr>
            <w:tcW w:w="667"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21</w:t>
            </w:r>
          </w:p>
        </w:tc>
        <w:tc>
          <w:tcPr>
            <w:tcW w:w="1450"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农业农村</w:t>
            </w:r>
          </w:p>
        </w:tc>
        <w:tc>
          <w:tcPr>
            <w:tcW w:w="116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bottom w:val="single" w:color="auto" w:sz="4" w:space="0"/>
            </w:tcBorders>
            <w:shd w:val="clear" w:color="auto" w:fill="FFFFFF"/>
            <w:vAlign w:val="center"/>
          </w:tcPr>
          <w:p>
            <w:pPr>
              <w:pStyle w:val="6"/>
              <w:shd w:val="clear" w:color="auto" w:fill="auto"/>
            </w:pPr>
            <w:r>
              <w:t>对农产品质量安全的监 督检查</w:t>
            </w:r>
            <w:r>
              <w:rPr>
                <w:rFonts w:ascii="Times New Roman" w:hAnsi="Times New Roman" w:eastAsia="Times New Roman" w:cs="Times New Roman"/>
                <w:sz w:val="22"/>
                <w:szCs w:val="22"/>
              </w:rPr>
              <w:t>（</w:t>
            </w:r>
            <w:r>
              <w:t>不含监督抽查）</w:t>
            </w:r>
          </w:p>
        </w:tc>
        <w:tc>
          <w:tcPr>
            <w:tcW w:w="8098"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pPr>
            <w:r>
              <w:rPr>
                <w:rFonts w:ascii="Times New Roman" w:hAnsi="Times New Roman" w:eastAsia="Times New Roman" w:cs="Times New Roman"/>
                <w:sz w:val="22"/>
                <w:szCs w:val="22"/>
              </w:rPr>
              <w:t>1.</w:t>
            </w:r>
            <w:r>
              <w:t>《国务院关于加强食品等产品安全监督管理的特别规定》第十五条 农业、卫生、 质检、商务、工商、药品等监督管理部门履行各自产品安全监督管理职责，有下列职 权：（一）进入生产经营场所实施现场检查；（二）查阅、复制、查封、扣押有关合同、 票据、账簿以及其他有关资料；（三）查封、扣押不符合法定要求的产品，违法使用 的原料、辅料、添加剂、农业投入品以及用于违法生产的工具、设备；（四）查封存 在危害人体健康和生命安全重大隐患的生产经营场所。</w:t>
            </w:r>
          </w:p>
          <w:p>
            <w:pPr>
              <w:pStyle w:val="6"/>
              <w:shd w:val="clear" w:color="auto" w:fill="auto"/>
              <w:jc w:val="both"/>
            </w:pPr>
            <w:r>
              <w:rPr>
                <w:rFonts w:ascii="Times New Roman" w:hAnsi="Times New Roman" w:eastAsia="Times New Roman" w:cs="Times New Roman"/>
                <w:sz w:val="22"/>
                <w:szCs w:val="22"/>
              </w:rPr>
              <w:t>2.</w:t>
            </w:r>
            <w:r>
              <w:t>《四川省〈中华人民共和国农产品质量安全法〉实施办法》第三十三条 县级以上 地方人民政府农业行政主管部门在农产品质量安全监督检查中，依法行使下列职权： （一）农产品产地环境发生重大变化的，组织检测机构进行现场抽查；对农产品生产、 包装、经营及仓储场所进行现场检查；（二）向当事人和其他有关人员调查了解农产 品质量安全的有关情况；查阅、复制涉及生产、经营活动的记录、档案、票据、账簿、 协议、证明等有关资料；（三）对国家禁止使用的农业投入品和不符合农产品质量安 全标准的农产品依法予以查封、扣押。</w:t>
            </w:r>
          </w:p>
        </w:tc>
        <w:tc>
          <w:tcPr>
            <w:tcW w:w="701"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bl>
    <w:p>
      <w:pPr>
        <w:rPr>
          <w:sz w:val="2"/>
          <w:szCs w:val="2"/>
        </w:rPr>
      </w:pPr>
      <w:r>
        <w:br w:type="page"/>
      </w:r>
    </w:p>
    <w:tbl>
      <w:tblPr>
        <w:tblStyle w:val="2"/>
        <w:tblW w:w="15231" w:type="dxa"/>
        <w:jc w:val="center"/>
        <w:tblInd w:w="0" w:type="dxa"/>
        <w:tblLayout w:type="fixed"/>
        <w:tblCellMar>
          <w:top w:w="0" w:type="dxa"/>
          <w:left w:w="10" w:type="dxa"/>
          <w:bottom w:w="0" w:type="dxa"/>
          <w:right w:w="10" w:type="dxa"/>
        </w:tblCellMar>
      </w:tblPr>
      <w:tblGrid>
        <w:gridCol w:w="667"/>
        <w:gridCol w:w="1450"/>
        <w:gridCol w:w="1166"/>
        <w:gridCol w:w="2443"/>
        <w:gridCol w:w="8098"/>
        <w:gridCol w:w="701"/>
        <w:gridCol w:w="706"/>
      </w:tblGrid>
      <w:tr>
        <w:tblPrEx>
          <w:tblLayout w:type="fixed"/>
          <w:tblCellMar>
            <w:top w:w="0" w:type="dxa"/>
            <w:left w:w="10" w:type="dxa"/>
            <w:bottom w:w="0" w:type="dxa"/>
            <w:right w:w="10" w:type="dxa"/>
          </w:tblCellMar>
        </w:tblPrEx>
        <w:trPr>
          <w:trHeight w:val="360" w:hRule="exact"/>
          <w:jc w:val="center"/>
        </w:trPr>
        <w:tc>
          <w:tcPr>
            <w:tcW w:w="667"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序号</w:t>
            </w:r>
          </w:p>
        </w:tc>
        <w:tc>
          <w:tcPr>
            <w:tcW w:w="1450"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领域</w:t>
            </w:r>
          </w:p>
        </w:tc>
        <w:tc>
          <w:tcPr>
            <w:tcW w:w="116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权力类型</w:t>
            </w:r>
          </w:p>
        </w:tc>
        <w:tc>
          <w:tcPr>
            <w:tcW w:w="2443"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权力名称</w:t>
            </w:r>
          </w:p>
        </w:tc>
        <w:tc>
          <w:tcPr>
            <w:tcW w:w="8098"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设定依据</w:t>
            </w:r>
          </w:p>
        </w:tc>
        <w:tc>
          <w:tcPr>
            <w:tcW w:w="1407" w:type="dxa"/>
            <w:gridSpan w:val="2"/>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承接主体</w:t>
            </w:r>
          </w:p>
        </w:tc>
      </w:tr>
      <w:tr>
        <w:tblPrEx>
          <w:tblLayout w:type="fixed"/>
          <w:tblCellMar>
            <w:top w:w="0" w:type="dxa"/>
            <w:left w:w="10" w:type="dxa"/>
            <w:bottom w:w="0" w:type="dxa"/>
            <w:right w:w="10" w:type="dxa"/>
          </w:tblCellMar>
        </w:tblPrEx>
        <w:trPr>
          <w:trHeight w:val="346" w:hRule="exact"/>
          <w:jc w:val="center"/>
        </w:trPr>
        <w:tc>
          <w:tcPr>
            <w:tcW w:w="667" w:type="dxa"/>
            <w:vMerge w:val="continue"/>
            <w:tcBorders>
              <w:left w:val="single" w:color="auto" w:sz="4" w:space="0"/>
            </w:tcBorders>
            <w:shd w:val="clear" w:color="auto" w:fill="FFFFFF"/>
            <w:vAlign w:val="center"/>
          </w:tcPr>
          <w:p/>
        </w:tc>
        <w:tc>
          <w:tcPr>
            <w:tcW w:w="1450" w:type="dxa"/>
            <w:vMerge w:val="continue"/>
            <w:tcBorders>
              <w:left w:val="single" w:color="auto" w:sz="4" w:space="0"/>
            </w:tcBorders>
            <w:shd w:val="clear" w:color="auto" w:fill="FFFFFF"/>
            <w:vAlign w:val="center"/>
          </w:tcPr>
          <w:p/>
        </w:tc>
        <w:tc>
          <w:tcPr>
            <w:tcW w:w="1166" w:type="dxa"/>
            <w:vMerge w:val="continue"/>
            <w:tcBorders>
              <w:left w:val="single" w:color="auto" w:sz="4" w:space="0"/>
            </w:tcBorders>
            <w:shd w:val="clear" w:color="auto" w:fill="FFFFFF"/>
            <w:vAlign w:val="center"/>
          </w:tcPr>
          <w:p/>
        </w:tc>
        <w:tc>
          <w:tcPr>
            <w:tcW w:w="2443" w:type="dxa"/>
            <w:vMerge w:val="continue"/>
            <w:tcBorders>
              <w:left w:val="single" w:color="auto" w:sz="4" w:space="0"/>
            </w:tcBorders>
            <w:shd w:val="clear" w:color="auto" w:fill="FFFFFF"/>
            <w:vAlign w:val="center"/>
          </w:tcPr>
          <w:p/>
        </w:tc>
        <w:tc>
          <w:tcPr>
            <w:tcW w:w="8098" w:type="dxa"/>
            <w:vMerge w:val="continue"/>
            <w:tcBorders>
              <w:left w:val="single" w:color="auto" w:sz="4" w:space="0"/>
            </w:tcBorders>
            <w:shd w:val="clear" w:color="auto" w:fill="FFFFFF"/>
            <w:vAlign w:val="center"/>
          </w:tcP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乡镇</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街道</w:t>
            </w:r>
          </w:p>
        </w:tc>
      </w:tr>
      <w:tr>
        <w:tblPrEx>
          <w:tblLayout w:type="fixed"/>
          <w:tblCellMar>
            <w:top w:w="0" w:type="dxa"/>
            <w:left w:w="10" w:type="dxa"/>
            <w:bottom w:w="0" w:type="dxa"/>
            <w:right w:w="10" w:type="dxa"/>
          </w:tblCellMar>
        </w:tblPrEx>
        <w:trPr>
          <w:trHeight w:val="1315"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22</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农业农村</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tcBorders>
            <w:shd w:val="clear" w:color="auto" w:fill="FFFFFF"/>
            <w:vAlign w:val="center"/>
          </w:tcPr>
          <w:p>
            <w:pPr>
              <w:pStyle w:val="6"/>
              <w:shd w:val="clear" w:color="auto" w:fill="auto"/>
            </w:pPr>
            <w:r>
              <w:t>对农产品地理标志的地 域范围、标志使用的监督 检查</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《农产品地理标志管理办法》第十八条 县级以上人民政府农业行政主管部门应当加 强农产品地理标志监督管理工作，定期对登记的地理标志农产品的地域范围、标志使 用等进行监督检查。登记的地理标志农产品或登记证书持有人不符合本办法第七条、 第八条规定的，由农业部注销其地理标志登记证书并对外公告。</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3936"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23</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农业农村</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tcBorders>
            <w:shd w:val="clear" w:color="auto" w:fill="FFFFFF"/>
            <w:vAlign w:val="center"/>
          </w:tcPr>
          <w:p>
            <w:pPr>
              <w:pStyle w:val="6"/>
              <w:shd w:val="clear" w:color="auto" w:fill="auto"/>
            </w:pPr>
            <w:r>
              <w:t>对农药生产、经营、使用 场所进行检查（不含对农 药实施抽查检测）</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rPr>
                <w:rFonts w:ascii="Times New Roman" w:hAnsi="Times New Roman" w:eastAsia="Times New Roman" w:cs="Times New Roman"/>
                <w:sz w:val="22"/>
                <w:szCs w:val="22"/>
              </w:rPr>
              <w:t>1.</w:t>
            </w:r>
            <w:r>
              <w:t xml:space="preserve">《四川省农药管理条例》三十八条 农药行政执法人员履行监督检查职能时，有关 单位和个人不得拒绝和阻挠。农药行政执法人员执行监督管理职务时可以依法进入农 药生产、经营、使用和仓贮场所进行检查，查阅、复制、拍摄、摘录与农药有关的资 料，询问当事人和有关证人，采取抽样取证的方法、先行登记保存和异地封存的措施。 农药行政执法人员对因公接触到的有关技术资料和商业秘密，负保密责任。 </w:t>
            </w:r>
            <w:r>
              <w:rPr>
                <w:rFonts w:ascii="Times New Roman" w:hAnsi="Times New Roman" w:eastAsia="Times New Roman" w:cs="Times New Roman"/>
                <w:sz w:val="22"/>
                <w:szCs w:val="22"/>
              </w:rPr>
              <w:t>2.</w:t>
            </w:r>
            <w:r>
              <w:t>《农药管理条例》第四十一条 县级以上人民政府农业主管部门履行农药监督管理 职责，可以依法采取下列措施：（一）进入农药生产、经营、使用场所实施现场检查； （二）对生产、经营、使用的农药实施抽查检测；（三）向有关人员调查了解有关情 况；（四）查阅、复制合同、票据、账簿以及其他有关资料；（五）查封、扣押违法生 产、经营、使用的农药，以及用于违法生产、经营、使用农药的工具、设备、原材料 等；（六）查封违法生产、经营、使用农药的场所。</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2285" w:hRule="exact"/>
          <w:jc w:val="center"/>
        </w:trPr>
        <w:tc>
          <w:tcPr>
            <w:tcW w:w="667"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24</w:t>
            </w:r>
          </w:p>
        </w:tc>
        <w:tc>
          <w:tcPr>
            <w:tcW w:w="1450"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农业农村</w:t>
            </w:r>
          </w:p>
        </w:tc>
        <w:tc>
          <w:tcPr>
            <w:tcW w:w="116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bottom w:val="single" w:color="auto" w:sz="4" w:space="0"/>
            </w:tcBorders>
            <w:shd w:val="clear" w:color="auto" w:fill="FFFFFF"/>
            <w:vAlign w:val="center"/>
          </w:tcPr>
          <w:p>
            <w:pPr>
              <w:pStyle w:val="6"/>
              <w:shd w:val="clear" w:color="auto" w:fill="auto"/>
            </w:pPr>
            <w:r>
              <w:t>对动物防疫的监督检查</w:t>
            </w:r>
          </w:p>
        </w:tc>
        <w:tc>
          <w:tcPr>
            <w:tcW w:w="8098"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pPr>
            <w:r>
              <w:t>《中华人民共和国动物防疫法》第五十九条 动物卫生监督机构执行监督检查任务， 可以采取下列措施，有关单位和个人不得拒绝或者阻碍：（一）对动物、动物产品按 照规定采样、留验、抽检；（二）对染疫或者疑似染疫的动物、动物产品及相关物品 进行隔离、查封、扣押和处理；（三）对依法应当检疫而未经检疫的动物实施补检； （四）对依法应当检疫而未经检疫的动物产品，具备补检条件的实施补检，不具备补 检条件的予以没收销毁；（五）查验检疫证明、检疫标志和畜禽标识；（六）进入有关 场所调查取证，查阅、复制与动物防疫有关的资料。动物卫生监督机构根据动物疫病</w:t>
            </w:r>
          </w:p>
        </w:tc>
        <w:tc>
          <w:tcPr>
            <w:tcW w:w="701"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bl>
    <w:p>
      <w:pPr>
        <w:rPr>
          <w:sz w:val="2"/>
          <w:szCs w:val="2"/>
        </w:rPr>
      </w:pPr>
      <w:r>
        <w:br w:type="page"/>
      </w:r>
    </w:p>
    <w:tbl>
      <w:tblPr>
        <w:tblStyle w:val="2"/>
        <w:tblW w:w="15231" w:type="dxa"/>
        <w:jc w:val="center"/>
        <w:tblInd w:w="0" w:type="dxa"/>
        <w:tblLayout w:type="fixed"/>
        <w:tblCellMar>
          <w:top w:w="0" w:type="dxa"/>
          <w:left w:w="10" w:type="dxa"/>
          <w:bottom w:w="0" w:type="dxa"/>
          <w:right w:w="10" w:type="dxa"/>
        </w:tblCellMar>
      </w:tblPr>
      <w:tblGrid>
        <w:gridCol w:w="667"/>
        <w:gridCol w:w="1450"/>
        <w:gridCol w:w="1166"/>
        <w:gridCol w:w="2443"/>
        <w:gridCol w:w="8098"/>
        <w:gridCol w:w="701"/>
        <w:gridCol w:w="706"/>
      </w:tblGrid>
      <w:tr>
        <w:tblPrEx>
          <w:tblLayout w:type="fixed"/>
          <w:tblCellMar>
            <w:top w:w="0" w:type="dxa"/>
            <w:left w:w="10" w:type="dxa"/>
            <w:bottom w:w="0" w:type="dxa"/>
            <w:right w:w="10" w:type="dxa"/>
          </w:tblCellMar>
        </w:tblPrEx>
        <w:trPr>
          <w:trHeight w:val="360" w:hRule="exact"/>
          <w:jc w:val="center"/>
        </w:trPr>
        <w:tc>
          <w:tcPr>
            <w:tcW w:w="667"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序号</w:t>
            </w:r>
          </w:p>
        </w:tc>
        <w:tc>
          <w:tcPr>
            <w:tcW w:w="1450"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领域</w:t>
            </w:r>
          </w:p>
        </w:tc>
        <w:tc>
          <w:tcPr>
            <w:tcW w:w="116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权力类型</w:t>
            </w:r>
          </w:p>
        </w:tc>
        <w:tc>
          <w:tcPr>
            <w:tcW w:w="2443"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权力名称</w:t>
            </w:r>
          </w:p>
        </w:tc>
        <w:tc>
          <w:tcPr>
            <w:tcW w:w="8098"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设定依据</w:t>
            </w:r>
          </w:p>
        </w:tc>
        <w:tc>
          <w:tcPr>
            <w:tcW w:w="1407" w:type="dxa"/>
            <w:gridSpan w:val="2"/>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承接主体</w:t>
            </w:r>
          </w:p>
        </w:tc>
      </w:tr>
      <w:tr>
        <w:tblPrEx>
          <w:tblLayout w:type="fixed"/>
          <w:tblCellMar>
            <w:top w:w="0" w:type="dxa"/>
            <w:left w:w="10" w:type="dxa"/>
            <w:bottom w:w="0" w:type="dxa"/>
            <w:right w:w="10" w:type="dxa"/>
          </w:tblCellMar>
        </w:tblPrEx>
        <w:trPr>
          <w:trHeight w:val="346" w:hRule="exact"/>
          <w:jc w:val="center"/>
        </w:trPr>
        <w:tc>
          <w:tcPr>
            <w:tcW w:w="667" w:type="dxa"/>
            <w:vMerge w:val="continue"/>
            <w:tcBorders>
              <w:left w:val="single" w:color="auto" w:sz="4" w:space="0"/>
            </w:tcBorders>
            <w:shd w:val="clear" w:color="auto" w:fill="FFFFFF"/>
            <w:vAlign w:val="center"/>
          </w:tcPr>
          <w:p/>
        </w:tc>
        <w:tc>
          <w:tcPr>
            <w:tcW w:w="1450" w:type="dxa"/>
            <w:vMerge w:val="continue"/>
            <w:tcBorders>
              <w:left w:val="single" w:color="auto" w:sz="4" w:space="0"/>
            </w:tcBorders>
            <w:shd w:val="clear" w:color="auto" w:fill="FFFFFF"/>
            <w:vAlign w:val="center"/>
          </w:tcPr>
          <w:p/>
        </w:tc>
        <w:tc>
          <w:tcPr>
            <w:tcW w:w="1166" w:type="dxa"/>
            <w:vMerge w:val="continue"/>
            <w:tcBorders>
              <w:left w:val="single" w:color="auto" w:sz="4" w:space="0"/>
            </w:tcBorders>
            <w:shd w:val="clear" w:color="auto" w:fill="FFFFFF"/>
            <w:vAlign w:val="center"/>
          </w:tcPr>
          <w:p/>
        </w:tc>
        <w:tc>
          <w:tcPr>
            <w:tcW w:w="2443" w:type="dxa"/>
            <w:vMerge w:val="continue"/>
            <w:tcBorders>
              <w:left w:val="single" w:color="auto" w:sz="4" w:space="0"/>
            </w:tcBorders>
            <w:shd w:val="clear" w:color="auto" w:fill="FFFFFF"/>
            <w:vAlign w:val="center"/>
          </w:tcPr>
          <w:p/>
        </w:tc>
        <w:tc>
          <w:tcPr>
            <w:tcW w:w="8098" w:type="dxa"/>
            <w:vMerge w:val="continue"/>
            <w:tcBorders>
              <w:left w:val="single" w:color="auto" w:sz="4" w:space="0"/>
            </w:tcBorders>
            <w:shd w:val="clear" w:color="auto" w:fill="FFFFFF"/>
            <w:vAlign w:val="center"/>
          </w:tcP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乡镇</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街道</w:t>
            </w:r>
          </w:p>
        </w:tc>
      </w:tr>
      <w:tr>
        <w:tblPrEx>
          <w:tblLayout w:type="fixed"/>
          <w:tblCellMar>
            <w:top w:w="0" w:type="dxa"/>
            <w:left w:w="10" w:type="dxa"/>
            <w:bottom w:w="0" w:type="dxa"/>
            <w:right w:w="10" w:type="dxa"/>
          </w:tblCellMar>
        </w:tblPrEx>
        <w:trPr>
          <w:trHeight w:val="672" w:hRule="exact"/>
          <w:jc w:val="center"/>
        </w:trPr>
        <w:tc>
          <w:tcPr>
            <w:tcW w:w="667" w:type="dxa"/>
            <w:tcBorders>
              <w:top w:val="single" w:color="auto" w:sz="4" w:space="0"/>
              <w:left w:val="single" w:color="auto" w:sz="4" w:space="0"/>
            </w:tcBorders>
            <w:shd w:val="clear" w:color="auto" w:fill="FFFFFF"/>
          </w:tcPr>
          <w:p>
            <w:pPr>
              <w:rPr>
                <w:sz w:val="10"/>
                <w:szCs w:val="10"/>
              </w:rPr>
            </w:pPr>
          </w:p>
        </w:tc>
        <w:tc>
          <w:tcPr>
            <w:tcW w:w="1450" w:type="dxa"/>
            <w:tcBorders>
              <w:top w:val="single" w:color="auto" w:sz="4" w:space="0"/>
              <w:left w:val="single" w:color="auto" w:sz="4" w:space="0"/>
            </w:tcBorders>
            <w:shd w:val="clear" w:color="auto" w:fill="FFFFFF"/>
          </w:tcPr>
          <w:p>
            <w:pPr>
              <w:rPr>
                <w:sz w:val="10"/>
                <w:szCs w:val="10"/>
              </w:rPr>
            </w:pPr>
          </w:p>
        </w:tc>
        <w:tc>
          <w:tcPr>
            <w:tcW w:w="1166" w:type="dxa"/>
            <w:tcBorders>
              <w:top w:val="single" w:color="auto" w:sz="4" w:space="0"/>
              <w:left w:val="single" w:color="auto" w:sz="4" w:space="0"/>
            </w:tcBorders>
            <w:shd w:val="clear" w:color="auto" w:fill="FFFFFF"/>
          </w:tcPr>
          <w:p>
            <w:pPr>
              <w:rPr>
                <w:sz w:val="10"/>
                <w:szCs w:val="10"/>
              </w:rPr>
            </w:pPr>
          </w:p>
        </w:tc>
        <w:tc>
          <w:tcPr>
            <w:tcW w:w="2443" w:type="dxa"/>
            <w:tcBorders>
              <w:top w:val="single" w:color="auto" w:sz="4" w:space="0"/>
              <w:left w:val="single" w:color="auto" w:sz="4" w:space="0"/>
            </w:tcBorders>
            <w:shd w:val="clear" w:color="auto" w:fill="FFFFFF"/>
          </w:tcPr>
          <w:p>
            <w:pPr>
              <w:rPr>
                <w:sz w:val="10"/>
                <w:szCs w:val="10"/>
              </w:rPr>
            </w:pP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预防、控制需要，经当地县级以上地方人民政府批准，可以在车站、港口、机场等相 关场所派驻官方兽医。</w:t>
            </w:r>
          </w:p>
        </w:tc>
        <w:tc>
          <w:tcPr>
            <w:tcW w:w="701" w:type="dxa"/>
            <w:tcBorders>
              <w:top w:val="single" w:color="auto" w:sz="4" w:space="0"/>
              <w:left w:val="single" w:color="auto" w:sz="4" w:space="0"/>
            </w:tcBorders>
            <w:shd w:val="clear" w:color="auto" w:fill="FFFFFF"/>
          </w:tcPr>
          <w:p>
            <w:pPr>
              <w:rPr>
                <w:sz w:val="10"/>
                <w:szCs w:val="10"/>
                <w:lang w:eastAsia="zh-CN"/>
              </w:rPr>
            </w:pPr>
          </w:p>
        </w:tc>
        <w:tc>
          <w:tcPr>
            <w:tcW w:w="706" w:type="dxa"/>
            <w:tcBorders>
              <w:top w:val="single" w:color="auto" w:sz="4" w:space="0"/>
              <w:left w:val="single" w:color="auto" w:sz="4" w:space="0"/>
              <w:right w:val="single" w:color="auto" w:sz="4" w:space="0"/>
            </w:tcBorders>
            <w:shd w:val="clear" w:color="auto" w:fill="FFFFFF"/>
          </w:tcPr>
          <w:p>
            <w:pPr>
              <w:rPr>
                <w:sz w:val="10"/>
                <w:szCs w:val="10"/>
                <w:lang w:eastAsia="zh-CN"/>
              </w:rPr>
            </w:pPr>
          </w:p>
        </w:tc>
      </w:tr>
      <w:tr>
        <w:tblPrEx>
          <w:tblLayout w:type="fixed"/>
          <w:tblCellMar>
            <w:top w:w="0" w:type="dxa"/>
            <w:left w:w="10" w:type="dxa"/>
            <w:bottom w:w="0" w:type="dxa"/>
            <w:right w:w="10" w:type="dxa"/>
          </w:tblCellMar>
        </w:tblPrEx>
        <w:trPr>
          <w:trHeight w:val="2736"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25</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农业农村</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tcBorders>
            <w:shd w:val="clear" w:color="auto" w:fill="FFFFFF"/>
            <w:vAlign w:val="center"/>
          </w:tcPr>
          <w:p>
            <w:pPr>
              <w:pStyle w:val="6"/>
              <w:shd w:val="clear" w:color="auto" w:fill="auto"/>
              <w:spacing w:after="60"/>
            </w:pPr>
            <w:r>
              <w:t>对生猪屠宰活动的监督</w:t>
            </w:r>
          </w:p>
          <w:p>
            <w:pPr>
              <w:pStyle w:val="6"/>
              <w:shd w:val="clear" w:color="auto" w:fill="auto"/>
            </w:pPr>
            <w:r>
              <w:t>检查</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《生猪屠宰管理条例》第二十一条 畜牧兽医行政主管部门应当依照本条例的规定严 格履行职责，加强对生猪屠宰活动的日常监督检查。畜牧兽医行政主管部门依法进行 监督检查，可以采取下列措施：（一）进入生猪屠宰等有关场所实施现场检查；（二） 向有关单位和个人了解情况；（三）查阅、复制有关记录、票据以及其他资料；（四） 查封与违法生猪屠宰活动有关的场所、设施，扣押与违法生猪屠宰活动有关的生猪、 生猪产品以及屠宰工具和设备。畜牧兽医行政主管部门进行监督检查时，监督检查人 员不得少于</w:t>
            </w:r>
            <w:r>
              <w:rPr>
                <w:rFonts w:ascii="Times New Roman" w:hAnsi="Times New Roman" w:eastAsia="Times New Roman" w:cs="Times New Roman"/>
                <w:sz w:val="22"/>
                <w:szCs w:val="22"/>
              </w:rPr>
              <w:t>2</w:t>
            </w:r>
            <w:r>
              <w:t>人，并应当出示执法证件。对畜牧兽医行政主管部门依法进行的监督检 查，有关单位和个人应当予以配合，不得拒绝、阻挠。</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1248"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26</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农业农村</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tcBorders>
            <w:shd w:val="clear" w:color="auto" w:fill="FFFFFF"/>
            <w:vAlign w:val="center"/>
          </w:tcPr>
          <w:p>
            <w:pPr>
              <w:pStyle w:val="6"/>
              <w:shd w:val="clear" w:color="auto" w:fill="auto"/>
            </w:pPr>
            <w:r>
              <w:t>对绿色食品及绿色食品 标志的监督检查（不含监 督抽查）</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《绿色食品标志管理办法》第二十四条 县级以上地方人民政府农业行政主管部门应 当加强绿色食品标志的监督管理工作，依法对辖区内绿色食品产地环境、产品质量、 包装标识、标志使用等情况进行监督检查</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2928" w:hRule="exact"/>
          <w:jc w:val="center"/>
        </w:trPr>
        <w:tc>
          <w:tcPr>
            <w:tcW w:w="667"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sz w:val="22"/>
                <w:szCs w:val="22"/>
                <w:lang w:val="en-US" w:eastAsia="zh-CN"/>
              </w:rPr>
              <w:t>27</w:t>
            </w:r>
          </w:p>
        </w:tc>
        <w:tc>
          <w:tcPr>
            <w:tcW w:w="1450"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农业农村</w:t>
            </w:r>
          </w:p>
        </w:tc>
        <w:tc>
          <w:tcPr>
            <w:tcW w:w="116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bottom w:val="single" w:color="auto" w:sz="4" w:space="0"/>
            </w:tcBorders>
            <w:shd w:val="clear" w:color="auto" w:fill="FFFFFF"/>
            <w:vAlign w:val="center"/>
          </w:tcPr>
          <w:p>
            <w:pPr>
              <w:pStyle w:val="6"/>
              <w:shd w:val="clear" w:color="auto" w:fill="auto"/>
              <w:spacing w:after="60"/>
            </w:pPr>
            <w:r>
              <w:t>对农业机械的安全监督</w:t>
            </w:r>
          </w:p>
          <w:p>
            <w:pPr>
              <w:pStyle w:val="6"/>
              <w:shd w:val="clear" w:color="auto" w:fill="auto"/>
            </w:pPr>
            <w:r>
              <w:t>检查</w:t>
            </w:r>
          </w:p>
        </w:tc>
        <w:tc>
          <w:tcPr>
            <w:tcW w:w="8098"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pPr>
            <w:r>
              <w:rPr>
                <w:rFonts w:ascii="Times New Roman" w:hAnsi="Times New Roman" w:eastAsia="Times New Roman" w:cs="Times New Roman"/>
                <w:sz w:val="22"/>
                <w:szCs w:val="22"/>
              </w:rPr>
              <w:t>1</w:t>
            </w:r>
            <w:r>
              <w:t>《</w:t>
            </w:r>
            <w:r>
              <w:rPr>
                <w:rFonts w:ascii="Times New Roman" w:hAnsi="Times New Roman" w:eastAsia="Times New Roman" w:cs="Times New Roman"/>
                <w:sz w:val="22"/>
                <w:szCs w:val="22"/>
              </w:rPr>
              <w:t xml:space="preserve">. </w:t>
            </w:r>
            <w:r>
              <w:t>农业机械安全监督管理条例》第四十条 农业机械安全监督管理执法人员在农田、 场院等场所进行农业机械安全监督检查时，可以采取下列措施：（一）向有关单位和 个人了解情况，查阅、复制有关资料；（二）查验拖拉机、联合收割机证书、牌照及 有关操作证件；（三）检查危及人身财产安全的农业机械的安全状况，对存在重大事 故隐患的农业机械，责令当事人立即停止作业或者停止农业机械的转移，并进行维修； （四）责令农业机械操作人员改正违规操作行为。</w:t>
            </w:r>
          </w:p>
          <w:p>
            <w:pPr>
              <w:pStyle w:val="6"/>
              <w:shd w:val="clear" w:color="auto" w:fill="auto"/>
              <w:jc w:val="both"/>
            </w:pPr>
            <w:r>
              <w:rPr>
                <w:rFonts w:ascii="Times New Roman" w:hAnsi="Times New Roman" w:eastAsia="Times New Roman" w:cs="Times New Roman"/>
                <w:sz w:val="22"/>
                <w:szCs w:val="22"/>
              </w:rPr>
              <w:t>2.</w:t>
            </w:r>
            <w:r>
              <w:t>《农业机械维修管理规定》第十六条 农业机械化主管部门、工商行政管理部门应 当按照各自职责，密切配合，加强对农业机械维修者的从业资格、维修人员资格、维 修质量、维修设备和检测仪器技术状态以及安全生产情况的监督检查。</w:t>
            </w:r>
          </w:p>
        </w:tc>
        <w:tc>
          <w:tcPr>
            <w:tcW w:w="701"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bl>
    <w:p>
      <w:pPr>
        <w:rPr>
          <w:sz w:val="2"/>
          <w:szCs w:val="2"/>
        </w:rPr>
      </w:pPr>
      <w:r>
        <w:br w:type="page"/>
      </w:r>
    </w:p>
    <w:tbl>
      <w:tblPr>
        <w:tblStyle w:val="2"/>
        <w:tblW w:w="15231" w:type="dxa"/>
        <w:jc w:val="center"/>
        <w:tblInd w:w="0" w:type="dxa"/>
        <w:tblLayout w:type="fixed"/>
        <w:tblCellMar>
          <w:top w:w="0" w:type="dxa"/>
          <w:left w:w="10" w:type="dxa"/>
          <w:bottom w:w="0" w:type="dxa"/>
          <w:right w:w="10" w:type="dxa"/>
        </w:tblCellMar>
      </w:tblPr>
      <w:tblGrid>
        <w:gridCol w:w="667"/>
        <w:gridCol w:w="1450"/>
        <w:gridCol w:w="1166"/>
        <w:gridCol w:w="2443"/>
        <w:gridCol w:w="8098"/>
        <w:gridCol w:w="701"/>
        <w:gridCol w:w="706"/>
      </w:tblGrid>
      <w:tr>
        <w:tblPrEx>
          <w:tblLayout w:type="fixed"/>
          <w:tblCellMar>
            <w:top w:w="0" w:type="dxa"/>
            <w:left w:w="10" w:type="dxa"/>
            <w:bottom w:w="0" w:type="dxa"/>
            <w:right w:w="10" w:type="dxa"/>
          </w:tblCellMar>
        </w:tblPrEx>
        <w:trPr>
          <w:trHeight w:val="360" w:hRule="exact"/>
          <w:jc w:val="center"/>
        </w:trPr>
        <w:tc>
          <w:tcPr>
            <w:tcW w:w="667"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序号</w:t>
            </w:r>
          </w:p>
        </w:tc>
        <w:tc>
          <w:tcPr>
            <w:tcW w:w="1450"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领域</w:t>
            </w:r>
          </w:p>
        </w:tc>
        <w:tc>
          <w:tcPr>
            <w:tcW w:w="116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权力类型</w:t>
            </w:r>
          </w:p>
        </w:tc>
        <w:tc>
          <w:tcPr>
            <w:tcW w:w="2443"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权力名称</w:t>
            </w:r>
          </w:p>
        </w:tc>
        <w:tc>
          <w:tcPr>
            <w:tcW w:w="8098"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设定依据</w:t>
            </w:r>
          </w:p>
        </w:tc>
        <w:tc>
          <w:tcPr>
            <w:tcW w:w="1407" w:type="dxa"/>
            <w:gridSpan w:val="2"/>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承接主体</w:t>
            </w:r>
          </w:p>
        </w:tc>
      </w:tr>
      <w:tr>
        <w:tblPrEx>
          <w:tblLayout w:type="fixed"/>
          <w:tblCellMar>
            <w:top w:w="0" w:type="dxa"/>
            <w:left w:w="10" w:type="dxa"/>
            <w:bottom w:w="0" w:type="dxa"/>
            <w:right w:w="10" w:type="dxa"/>
          </w:tblCellMar>
        </w:tblPrEx>
        <w:trPr>
          <w:trHeight w:val="346" w:hRule="exact"/>
          <w:jc w:val="center"/>
        </w:trPr>
        <w:tc>
          <w:tcPr>
            <w:tcW w:w="667" w:type="dxa"/>
            <w:vMerge w:val="continue"/>
            <w:tcBorders>
              <w:left w:val="single" w:color="auto" w:sz="4" w:space="0"/>
            </w:tcBorders>
            <w:shd w:val="clear" w:color="auto" w:fill="FFFFFF"/>
            <w:vAlign w:val="center"/>
          </w:tcPr>
          <w:p/>
        </w:tc>
        <w:tc>
          <w:tcPr>
            <w:tcW w:w="1450" w:type="dxa"/>
            <w:vMerge w:val="continue"/>
            <w:tcBorders>
              <w:left w:val="single" w:color="auto" w:sz="4" w:space="0"/>
            </w:tcBorders>
            <w:shd w:val="clear" w:color="auto" w:fill="FFFFFF"/>
            <w:vAlign w:val="center"/>
          </w:tcPr>
          <w:p/>
        </w:tc>
        <w:tc>
          <w:tcPr>
            <w:tcW w:w="1166" w:type="dxa"/>
            <w:vMerge w:val="continue"/>
            <w:tcBorders>
              <w:left w:val="single" w:color="auto" w:sz="4" w:space="0"/>
            </w:tcBorders>
            <w:shd w:val="clear" w:color="auto" w:fill="FFFFFF"/>
            <w:vAlign w:val="center"/>
          </w:tcPr>
          <w:p/>
        </w:tc>
        <w:tc>
          <w:tcPr>
            <w:tcW w:w="2443" w:type="dxa"/>
            <w:vMerge w:val="continue"/>
            <w:tcBorders>
              <w:left w:val="single" w:color="auto" w:sz="4" w:space="0"/>
            </w:tcBorders>
            <w:shd w:val="clear" w:color="auto" w:fill="FFFFFF"/>
            <w:vAlign w:val="center"/>
          </w:tcPr>
          <w:p/>
        </w:tc>
        <w:tc>
          <w:tcPr>
            <w:tcW w:w="8098" w:type="dxa"/>
            <w:vMerge w:val="continue"/>
            <w:tcBorders>
              <w:left w:val="single" w:color="auto" w:sz="4" w:space="0"/>
            </w:tcBorders>
            <w:shd w:val="clear" w:color="auto" w:fill="FFFFFF"/>
            <w:vAlign w:val="center"/>
          </w:tcP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乡镇</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街道</w:t>
            </w:r>
          </w:p>
        </w:tc>
      </w:tr>
      <w:tr>
        <w:tblPrEx>
          <w:tblLayout w:type="fixed"/>
          <w:tblCellMar>
            <w:top w:w="0" w:type="dxa"/>
            <w:left w:w="10" w:type="dxa"/>
            <w:bottom w:w="0" w:type="dxa"/>
            <w:right w:w="10" w:type="dxa"/>
          </w:tblCellMar>
        </w:tblPrEx>
        <w:trPr>
          <w:trHeight w:val="1392"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28</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农业农村</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tcBorders>
            <w:shd w:val="clear" w:color="auto" w:fill="FFFFFF"/>
            <w:vAlign w:val="center"/>
          </w:tcPr>
          <w:p>
            <w:pPr>
              <w:pStyle w:val="6"/>
              <w:shd w:val="clear" w:color="auto" w:fill="auto"/>
              <w:jc w:val="both"/>
            </w:pPr>
            <w:r>
              <w:t>对兽药的监督检查（仅下 放对兽药经营企业的监 督检查）</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《兽药管理条例》第二十五条 兽药经营企业，应当遵守国务院兽医行政管理部门制 定的兽药经营质量管理规范。县级以上地方人民政府兽医行政管理部门，应当对兽药 经营企业是否符合兽药经营质量管理规范的要求进行监督检查，并公布检查结果。</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2131"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29</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农业农村</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tcBorders>
            <w:shd w:val="clear" w:color="auto" w:fill="FFFFFF"/>
            <w:vAlign w:val="center"/>
          </w:tcPr>
          <w:p>
            <w:pPr>
              <w:pStyle w:val="6"/>
              <w:shd w:val="clear" w:color="auto" w:fill="auto"/>
              <w:spacing w:after="60"/>
              <w:jc w:val="both"/>
            </w:pPr>
            <w:r>
              <w:t>对渔业及渔业船舶的监</w:t>
            </w:r>
          </w:p>
          <w:p>
            <w:pPr>
              <w:pStyle w:val="6"/>
              <w:shd w:val="clear" w:color="auto" w:fill="auto"/>
              <w:jc w:val="both"/>
            </w:pPr>
            <w:r>
              <w:t>督检查</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rPr>
                <w:rFonts w:ascii="Times New Roman" w:hAnsi="Times New Roman" w:eastAsia="Times New Roman" w:cs="Times New Roman"/>
                <w:sz w:val="22"/>
                <w:szCs w:val="22"/>
              </w:rPr>
              <w:t>1.</w:t>
            </w:r>
            <w:r>
              <w:t>《中华人民共和国渔业法》第六条第二款 县级以上人民政府渔业行政主管部门及 其所属的渔政监督管理机构可以设渔政检查人员。渔政检查人员执行渔业行政主管部 门及其所属的渔政监督管理机构交付的任务。</w:t>
            </w:r>
          </w:p>
          <w:p>
            <w:pPr>
              <w:pStyle w:val="6"/>
              <w:shd w:val="clear" w:color="auto" w:fill="auto"/>
              <w:jc w:val="both"/>
            </w:pPr>
            <w:r>
              <w:rPr>
                <w:rFonts w:ascii="Times New Roman" w:hAnsi="Times New Roman" w:eastAsia="Times New Roman" w:cs="Times New Roman"/>
                <w:sz w:val="22"/>
                <w:szCs w:val="22"/>
              </w:rPr>
              <w:t>2.</w:t>
            </w:r>
            <w:r>
              <w:t>《中华人民共和国渔业法实施细则》第七条 渔政检查人员有权对各种渔业及渔业 船舶的证件、渔船、渔具、渔获物和捕捞方法，进行检查。渔政检查人员经国务院渔 业行政主管部门或者省级人民政府渔业行政主管部门考核，合格者方可执行公务。</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2438" w:hRule="exact"/>
          <w:jc w:val="center"/>
        </w:trPr>
        <w:tc>
          <w:tcPr>
            <w:tcW w:w="667"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30</w:t>
            </w:r>
          </w:p>
        </w:tc>
        <w:tc>
          <w:tcPr>
            <w:tcW w:w="1450"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农业农村</w:t>
            </w:r>
          </w:p>
        </w:tc>
        <w:tc>
          <w:tcPr>
            <w:tcW w:w="116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pPr>
            <w:r>
              <w:t>对经营利用水生野生动 物及其产品、捕捉国家重 点保护的水生野生动物 的监督检查</w:t>
            </w:r>
          </w:p>
        </w:tc>
        <w:tc>
          <w:tcPr>
            <w:tcW w:w="8098"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pPr>
            <w:r>
              <w:t>《中华人民共和国水生野生动物保护实施条例》第十五条第二款 县级人民政府渔业 行政主管部门或者其所属的渔政监督管理机构对在本行政区域内捕捉国家重点保护 的水生野生动物的活动，应当进行监督检查，并及时向批准捕捉的部门报告监督检查 结果。</w:t>
            </w:r>
          </w:p>
          <w:p>
            <w:pPr>
              <w:pStyle w:val="6"/>
              <w:shd w:val="clear" w:color="auto" w:fill="auto"/>
              <w:jc w:val="both"/>
            </w:pPr>
            <w:r>
              <w:t>《中华人民共和国水生野生动物保护实施条例》第十九条第一款 县级以上各级人民 政府渔业行政主管部门和工商行政管理部门，应当对水生野生动物或者其产品的经营 利用建立监督检查制度，加强对经营利用水生野生动物或者其产品的监督管理。</w:t>
            </w:r>
          </w:p>
        </w:tc>
        <w:tc>
          <w:tcPr>
            <w:tcW w:w="701"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bl>
    <w:p>
      <w:pPr>
        <w:rPr>
          <w:sz w:val="2"/>
          <w:szCs w:val="2"/>
        </w:rPr>
      </w:pPr>
      <w:r>
        <w:br w:type="page"/>
      </w:r>
    </w:p>
    <w:tbl>
      <w:tblPr>
        <w:tblStyle w:val="2"/>
        <w:tblW w:w="15231" w:type="dxa"/>
        <w:jc w:val="center"/>
        <w:tblInd w:w="0" w:type="dxa"/>
        <w:tblLayout w:type="fixed"/>
        <w:tblCellMar>
          <w:top w:w="0" w:type="dxa"/>
          <w:left w:w="10" w:type="dxa"/>
          <w:bottom w:w="0" w:type="dxa"/>
          <w:right w:w="10" w:type="dxa"/>
        </w:tblCellMar>
      </w:tblPr>
      <w:tblGrid>
        <w:gridCol w:w="667"/>
        <w:gridCol w:w="1450"/>
        <w:gridCol w:w="1166"/>
        <w:gridCol w:w="2443"/>
        <w:gridCol w:w="8098"/>
        <w:gridCol w:w="701"/>
        <w:gridCol w:w="706"/>
      </w:tblGrid>
      <w:tr>
        <w:tblPrEx>
          <w:tblLayout w:type="fixed"/>
          <w:tblCellMar>
            <w:top w:w="0" w:type="dxa"/>
            <w:left w:w="10" w:type="dxa"/>
            <w:bottom w:w="0" w:type="dxa"/>
            <w:right w:w="10" w:type="dxa"/>
          </w:tblCellMar>
        </w:tblPrEx>
        <w:trPr>
          <w:trHeight w:val="360" w:hRule="exact"/>
          <w:jc w:val="center"/>
        </w:trPr>
        <w:tc>
          <w:tcPr>
            <w:tcW w:w="667"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序号</w:t>
            </w:r>
          </w:p>
        </w:tc>
        <w:tc>
          <w:tcPr>
            <w:tcW w:w="1450"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领域</w:t>
            </w:r>
          </w:p>
        </w:tc>
        <w:tc>
          <w:tcPr>
            <w:tcW w:w="116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权力类型</w:t>
            </w:r>
          </w:p>
        </w:tc>
        <w:tc>
          <w:tcPr>
            <w:tcW w:w="2443"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权力名称</w:t>
            </w:r>
          </w:p>
        </w:tc>
        <w:tc>
          <w:tcPr>
            <w:tcW w:w="8098"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设定依据</w:t>
            </w:r>
          </w:p>
        </w:tc>
        <w:tc>
          <w:tcPr>
            <w:tcW w:w="1407" w:type="dxa"/>
            <w:gridSpan w:val="2"/>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承接主体</w:t>
            </w:r>
          </w:p>
        </w:tc>
      </w:tr>
      <w:tr>
        <w:tblPrEx>
          <w:tblLayout w:type="fixed"/>
          <w:tblCellMar>
            <w:top w:w="0" w:type="dxa"/>
            <w:left w:w="10" w:type="dxa"/>
            <w:bottom w:w="0" w:type="dxa"/>
            <w:right w:w="10" w:type="dxa"/>
          </w:tblCellMar>
        </w:tblPrEx>
        <w:trPr>
          <w:trHeight w:val="346" w:hRule="exact"/>
          <w:jc w:val="center"/>
        </w:trPr>
        <w:tc>
          <w:tcPr>
            <w:tcW w:w="667" w:type="dxa"/>
            <w:vMerge w:val="continue"/>
            <w:tcBorders>
              <w:left w:val="single" w:color="auto" w:sz="4" w:space="0"/>
            </w:tcBorders>
            <w:shd w:val="clear" w:color="auto" w:fill="FFFFFF"/>
            <w:vAlign w:val="center"/>
          </w:tcPr>
          <w:p/>
        </w:tc>
        <w:tc>
          <w:tcPr>
            <w:tcW w:w="1450" w:type="dxa"/>
            <w:vMerge w:val="continue"/>
            <w:tcBorders>
              <w:left w:val="single" w:color="auto" w:sz="4" w:space="0"/>
            </w:tcBorders>
            <w:shd w:val="clear" w:color="auto" w:fill="FFFFFF"/>
            <w:vAlign w:val="center"/>
          </w:tcPr>
          <w:p/>
        </w:tc>
        <w:tc>
          <w:tcPr>
            <w:tcW w:w="1166" w:type="dxa"/>
            <w:vMerge w:val="continue"/>
            <w:tcBorders>
              <w:left w:val="single" w:color="auto" w:sz="4" w:space="0"/>
            </w:tcBorders>
            <w:shd w:val="clear" w:color="auto" w:fill="FFFFFF"/>
            <w:vAlign w:val="center"/>
          </w:tcPr>
          <w:p/>
        </w:tc>
        <w:tc>
          <w:tcPr>
            <w:tcW w:w="2443" w:type="dxa"/>
            <w:vMerge w:val="continue"/>
            <w:tcBorders>
              <w:left w:val="single" w:color="auto" w:sz="4" w:space="0"/>
            </w:tcBorders>
            <w:shd w:val="clear" w:color="auto" w:fill="FFFFFF"/>
            <w:vAlign w:val="center"/>
          </w:tcPr>
          <w:p/>
        </w:tc>
        <w:tc>
          <w:tcPr>
            <w:tcW w:w="8098" w:type="dxa"/>
            <w:vMerge w:val="continue"/>
            <w:tcBorders>
              <w:left w:val="single" w:color="auto" w:sz="4" w:space="0"/>
            </w:tcBorders>
            <w:shd w:val="clear" w:color="auto" w:fill="FFFFFF"/>
            <w:vAlign w:val="center"/>
          </w:tcP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乡镇</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街道</w:t>
            </w:r>
          </w:p>
        </w:tc>
      </w:tr>
      <w:tr>
        <w:tblPrEx>
          <w:tblLayout w:type="fixed"/>
          <w:tblCellMar>
            <w:top w:w="0" w:type="dxa"/>
            <w:left w:w="10" w:type="dxa"/>
            <w:bottom w:w="0" w:type="dxa"/>
            <w:right w:w="10" w:type="dxa"/>
          </w:tblCellMar>
        </w:tblPrEx>
        <w:trPr>
          <w:trHeight w:val="2731"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31</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农业农村</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tcBorders>
            <w:shd w:val="clear" w:color="auto" w:fill="FFFFFF"/>
            <w:vAlign w:val="center"/>
          </w:tcPr>
          <w:p>
            <w:pPr>
              <w:pStyle w:val="6"/>
              <w:shd w:val="clear" w:color="auto" w:fill="auto"/>
            </w:pPr>
            <w:r>
              <w:t>植物检疫检查</w:t>
            </w:r>
          </w:p>
        </w:tc>
        <w:tc>
          <w:tcPr>
            <w:tcW w:w="8098" w:type="dxa"/>
            <w:tcBorders>
              <w:top w:val="single" w:color="auto" w:sz="4" w:space="0"/>
              <w:left w:val="single" w:color="auto" w:sz="4" w:space="0"/>
            </w:tcBorders>
            <w:shd w:val="clear" w:color="auto" w:fill="FFFFFF"/>
            <w:vAlign w:val="bottom"/>
          </w:tcPr>
          <w:p>
            <w:pPr>
              <w:pStyle w:val="6"/>
              <w:shd w:val="clear" w:color="auto" w:fill="auto"/>
              <w:jc w:val="both"/>
            </w:pPr>
            <w:r>
              <w:rPr>
                <w:rFonts w:ascii="Times New Roman" w:hAnsi="Times New Roman" w:eastAsia="Times New Roman" w:cs="Times New Roman"/>
                <w:sz w:val="22"/>
                <w:szCs w:val="22"/>
              </w:rPr>
              <w:t>1.</w:t>
            </w:r>
            <w:r>
              <w:t>《植物检疫条例》第五条第三款 在发生疫情的地区，植物检疫机构可以派人参加 当地的道路联合检查站或者木材检查站；发生特大疫情时，经省、自治区、直辖市人 民政府批准，可以设立植物检疫检查站，开展植物检疫工作。</w:t>
            </w:r>
          </w:p>
          <w:p>
            <w:pPr>
              <w:pStyle w:val="6"/>
              <w:shd w:val="clear" w:color="auto" w:fill="auto"/>
              <w:jc w:val="both"/>
            </w:pPr>
            <w:r>
              <w:rPr>
                <w:rFonts w:ascii="Times New Roman" w:hAnsi="Times New Roman" w:eastAsia="Times New Roman" w:cs="Times New Roman"/>
                <w:sz w:val="22"/>
                <w:szCs w:val="22"/>
              </w:rPr>
              <w:t>2.</w:t>
            </w:r>
            <w:r>
              <w:t>《四川省植物检疫条例》第五条 各级植物检疫机构在依照本条例规定执行检疫任 务时，行使下列职权：（一）进入车站、机场、港口、码头、集贸市场、仓库等应施 检疫的植物、植物产品的存放场所和生产基地，实施检疫检验和检疫监督，并依照规 定采取样品；（二）查阅、复制、摘录与应施检疫的植物、植物产品有关的货运单、 发票、检疫单证等；（三）询问与植物检疫有关的人员；（四）按国家有关规定收取植 物检疫费。</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1531"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32</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农业农村</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tcBorders>
            <w:shd w:val="clear" w:color="auto" w:fill="FFFFFF"/>
            <w:vAlign w:val="center"/>
          </w:tcPr>
          <w:p>
            <w:pPr>
              <w:pStyle w:val="6"/>
              <w:shd w:val="clear" w:color="auto" w:fill="auto"/>
            </w:pPr>
            <w:r>
              <w:t>对违反农村宅基地管理 法律、法规行为的监督检 查</w:t>
            </w:r>
          </w:p>
        </w:tc>
        <w:tc>
          <w:tcPr>
            <w:tcW w:w="8098" w:type="dxa"/>
            <w:tcBorders>
              <w:top w:val="single" w:color="auto" w:sz="4" w:space="0"/>
              <w:left w:val="single" w:color="auto" w:sz="4" w:space="0"/>
            </w:tcBorders>
            <w:shd w:val="clear" w:color="auto" w:fill="FFFFFF"/>
            <w:vAlign w:val="bottom"/>
          </w:tcPr>
          <w:p>
            <w:pPr>
              <w:pStyle w:val="6"/>
              <w:shd w:val="clear" w:color="auto" w:fill="auto"/>
              <w:jc w:val="both"/>
            </w:pPr>
            <w:r>
              <w:t>《中华人民共和国土地管理法》第六十七条 县级以上人民政府自然资源主管部门对 违反土地管理法律、法规的行为进行监督检查。县级以上人民政府农业农村主管部门 对违反农村宅基地管理法律、法规的行为进行监督检查的，适用本法关于自然资源主 管部门监督检查的规定。土地管理监督检查人员应当熟悉土地管理法律、法规，忠于 职守、秉公执法。</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1834"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33</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林业和草原</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tcBorders>
            <w:shd w:val="clear" w:color="auto" w:fill="FFFFFF"/>
            <w:vAlign w:val="center"/>
          </w:tcPr>
          <w:p>
            <w:pPr>
              <w:pStyle w:val="6"/>
              <w:shd w:val="clear" w:color="auto" w:fill="auto"/>
              <w:spacing w:after="60"/>
            </w:pPr>
            <w:r>
              <w:t>对草原法律、法规执行情</w:t>
            </w:r>
          </w:p>
          <w:p>
            <w:pPr>
              <w:pStyle w:val="6"/>
              <w:shd w:val="clear" w:color="auto" w:fill="auto"/>
            </w:pPr>
            <w:r>
              <w:t>况的监督检查</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《中华人民共和国草原法》第五十六条 国务院草原行政主管部门和草原面积较大的 省、自治区的县级以上地方人民政府草原行政主管部门设立草原监督管理机构，负责 草原法律、法规执行情况的监督检查，对违反草原法律、法规的行为进行查处。草原 行政主管部门和草原监督管理机构应当加强执法队伍建设，提高草原监督检查人员的 政治、业务素质。草原监督检查人员应当忠于职守，秉公执法。</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tcPr>
          <w:p>
            <w:pPr>
              <w:rPr>
                <w:sz w:val="10"/>
                <w:szCs w:val="10"/>
              </w:rPr>
            </w:pPr>
          </w:p>
        </w:tc>
      </w:tr>
      <w:tr>
        <w:tblPrEx>
          <w:tblLayout w:type="fixed"/>
          <w:tblCellMar>
            <w:top w:w="0" w:type="dxa"/>
            <w:left w:w="10" w:type="dxa"/>
            <w:bottom w:w="0" w:type="dxa"/>
            <w:right w:w="10" w:type="dxa"/>
          </w:tblCellMar>
        </w:tblPrEx>
        <w:trPr>
          <w:trHeight w:val="1234" w:hRule="exact"/>
          <w:jc w:val="center"/>
        </w:trPr>
        <w:tc>
          <w:tcPr>
            <w:tcW w:w="667"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34</w:t>
            </w:r>
          </w:p>
        </w:tc>
        <w:tc>
          <w:tcPr>
            <w:tcW w:w="1450"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林业和草原</w:t>
            </w:r>
          </w:p>
        </w:tc>
        <w:tc>
          <w:tcPr>
            <w:tcW w:w="116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bottom w:val="single" w:color="auto" w:sz="4" w:space="0"/>
            </w:tcBorders>
            <w:shd w:val="clear" w:color="auto" w:fill="FFFFFF"/>
            <w:vAlign w:val="center"/>
          </w:tcPr>
          <w:p>
            <w:pPr>
              <w:pStyle w:val="6"/>
              <w:shd w:val="clear" w:color="auto" w:fill="auto"/>
            </w:pPr>
            <w:r>
              <w:t>对草原防火的安全检查</w:t>
            </w:r>
          </w:p>
        </w:tc>
        <w:tc>
          <w:tcPr>
            <w:tcW w:w="8098" w:type="dxa"/>
            <w:tcBorders>
              <w:top w:val="single" w:color="auto" w:sz="4" w:space="0"/>
              <w:left w:val="single" w:color="auto" w:sz="4" w:space="0"/>
              <w:bottom w:val="single" w:color="auto" w:sz="4" w:space="0"/>
            </w:tcBorders>
            <w:shd w:val="clear" w:color="auto" w:fill="FFFFFF"/>
            <w:vAlign w:val="bottom"/>
          </w:tcPr>
          <w:p>
            <w:pPr>
              <w:pStyle w:val="6"/>
              <w:shd w:val="clear" w:color="auto" w:fill="auto"/>
              <w:jc w:val="both"/>
            </w:pPr>
            <w:r>
              <w:t>《草原防火条例》第二十一条 在草原防火期内，经本级人民政府批准，草原防火主 管部门应当对进入草原、存在火灾隐患的车辆以及可能引发草原火灾的野外作业活动 进行草原防火安全检查。发现存在火灾隐患的，应当告知有关责任人员采取措施消除火灾隐患； 拒不采取措施消除火灾隐患的，禁止进入草原或者在草原上从事野外作业活动。</w:t>
            </w:r>
          </w:p>
        </w:tc>
        <w:tc>
          <w:tcPr>
            <w:tcW w:w="701"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r>
    </w:tbl>
    <w:p>
      <w:pPr>
        <w:rPr>
          <w:sz w:val="2"/>
          <w:szCs w:val="2"/>
        </w:rPr>
      </w:pPr>
      <w:r>
        <w:br w:type="page"/>
      </w:r>
    </w:p>
    <w:tbl>
      <w:tblPr>
        <w:tblStyle w:val="2"/>
        <w:tblW w:w="15231" w:type="dxa"/>
        <w:jc w:val="center"/>
        <w:tblInd w:w="0" w:type="dxa"/>
        <w:tblLayout w:type="fixed"/>
        <w:tblCellMar>
          <w:top w:w="0" w:type="dxa"/>
          <w:left w:w="10" w:type="dxa"/>
          <w:bottom w:w="0" w:type="dxa"/>
          <w:right w:w="10" w:type="dxa"/>
        </w:tblCellMar>
      </w:tblPr>
      <w:tblGrid>
        <w:gridCol w:w="667"/>
        <w:gridCol w:w="1450"/>
        <w:gridCol w:w="1166"/>
        <w:gridCol w:w="2443"/>
        <w:gridCol w:w="8098"/>
        <w:gridCol w:w="701"/>
        <w:gridCol w:w="706"/>
      </w:tblGrid>
      <w:tr>
        <w:tblPrEx>
          <w:tblLayout w:type="fixed"/>
          <w:tblCellMar>
            <w:top w:w="0" w:type="dxa"/>
            <w:left w:w="10" w:type="dxa"/>
            <w:bottom w:w="0" w:type="dxa"/>
            <w:right w:w="10" w:type="dxa"/>
          </w:tblCellMar>
        </w:tblPrEx>
        <w:trPr>
          <w:trHeight w:val="360" w:hRule="exact"/>
          <w:jc w:val="center"/>
        </w:trPr>
        <w:tc>
          <w:tcPr>
            <w:tcW w:w="667"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序号</w:t>
            </w:r>
          </w:p>
        </w:tc>
        <w:tc>
          <w:tcPr>
            <w:tcW w:w="1450"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领域</w:t>
            </w:r>
          </w:p>
        </w:tc>
        <w:tc>
          <w:tcPr>
            <w:tcW w:w="116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权力类型</w:t>
            </w:r>
          </w:p>
        </w:tc>
        <w:tc>
          <w:tcPr>
            <w:tcW w:w="2443"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权力名称</w:t>
            </w:r>
          </w:p>
        </w:tc>
        <w:tc>
          <w:tcPr>
            <w:tcW w:w="8098"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设定依据</w:t>
            </w:r>
          </w:p>
        </w:tc>
        <w:tc>
          <w:tcPr>
            <w:tcW w:w="1407" w:type="dxa"/>
            <w:gridSpan w:val="2"/>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承接主体</w:t>
            </w:r>
          </w:p>
        </w:tc>
      </w:tr>
      <w:tr>
        <w:tblPrEx>
          <w:tblLayout w:type="fixed"/>
          <w:tblCellMar>
            <w:top w:w="0" w:type="dxa"/>
            <w:left w:w="10" w:type="dxa"/>
            <w:bottom w:w="0" w:type="dxa"/>
            <w:right w:w="10" w:type="dxa"/>
          </w:tblCellMar>
        </w:tblPrEx>
        <w:trPr>
          <w:trHeight w:val="346" w:hRule="exact"/>
          <w:jc w:val="center"/>
        </w:trPr>
        <w:tc>
          <w:tcPr>
            <w:tcW w:w="667" w:type="dxa"/>
            <w:vMerge w:val="continue"/>
            <w:tcBorders>
              <w:left w:val="single" w:color="auto" w:sz="4" w:space="0"/>
            </w:tcBorders>
            <w:shd w:val="clear" w:color="auto" w:fill="FFFFFF"/>
            <w:vAlign w:val="center"/>
          </w:tcPr>
          <w:p/>
        </w:tc>
        <w:tc>
          <w:tcPr>
            <w:tcW w:w="1450" w:type="dxa"/>
            <w:vMerge w:val="continue"/>
            <w:tcBorders>
              <w:left w:val="single" w:color="auto" w:sz="4" w:space="0"/>
            </w:tcBorders>
            <w:shd w:val="clear" w:color="auto" w:fill="FFFFFF"/>
            <w:vAlign w:val="center"/>
          </w:tcPr>
          <w:p/>
        </w:tc>
        <w:tc>
          <w:tcPr>
            <w:tcW w:w="1166" w:type="dxa"/>
            <w:vMerge w:val="continue"/>
            <w:tcBorders>
              <w:left w:val="single" w:color="auto" w:sz="4" w:space="0"/>
            </w:tcBorders>
            <w:shd w:val="clear" w:color="auto" w:fill="FFFFFF"/>
            <w:vAlign w:val="center"/>
          </w:tcPr>
          <w:p/>
        </w:tc>
        <w:tc>
          <w:tcPr>
            <w:tcW w:w="2443" w:type="dxa"/>
            <w:vMerge w:val="continue"/>
            <w:tcBorders>
              <w:left w:val="single" w:color="auto" w:sz="4" w:space="0"/>
            </w:tcBorders>
            <w:shd w:val="clear" w:color="auto" w:fill="FFFFFF"/>
            <w:vAlign w:val="center"/>
          </w:tcPr>
          <w:p/>
        </w:tc>
        <w:tc>
          <w:tcPr>
            <w:tcW w:w="8098" w:type="dxa"/>
            <w:vMerge w:val="continue"/>
            <w:tcBorders>
              <w:left w:val="single" w:color="auto" w:sz="4" w:space="0"/>
            </w:tcBorders>
            <w:shd w:val="clear" w:color="auto" w:fill="FFFFFF"/>
            <w:vAlign w:val="center"/>
          </w:tcP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乡镇</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街道</w:t>
            </w:r>
          </w:p>
        </w:tc>
      </w:tr>
      <w:tr>
        <w:tblPrEx>
          <w:tblLayout w:type="fixed"/>
          <w:tblCellMar>
            <w:top w:w="0" w:type="dxa"/>
            <w:left w:w="10" w:type="dxa"/>
            <w:bottom w:w="0" w:type="dxa"/>
            <w:right w:w="10" w:type="dxa"/>
          </w:tblCellMar>
        </w:tblPrEx>
        <w:trPr>
          <w:trHeight w:val="1637"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sz w:val="22"/>
                <w:szCs w:val="22"/>
                <w:lang w:val="en-US" w:eastAsia="zh-CN"/>
              </w:rPr>
              <w:t>35</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林业和草原</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tcBorders>
            <w:shd w:val="clear" w:color="auto" w:fill="FFFFFF"/>
            <w:vAlign w:val="center"/>
          </w:tcPr>
          <w:p>
            <w:pPr>
              <w:pStyle w:val="6"/>
              <w:shd w:val="clear" w:color="auto" w:fill="auto"/>
            </w:pPr>
            <w:r>
              <w:t>森林防火检查</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《森林防火条例》第二十四条 县级以上人民政府森林防火指挥机构，应当组织有关 部门对森林防火区内有关单位的森林防火组织建设、森林防火责任制落实、森林防火 设施建设等情况进行检查；对检查中发现的森林火灾隐患，县级以上地方人民政府林 业主管部门应当及时向有关单位下达森林火灾隐患整改通知书，责令限期整改，消除 隐患。被检查单位应当积极配合，不得阻挠、妨碍检查活动。</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1531"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36</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文物</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行政检查</w:t>
            </w:r>
          </w:p>
        </w:tc>
        <w:tc>
          <w:tcPr>
            <w:tcW w:w="2443" w:type="dxa"/>
            <w:tcBorders>
              <w:top w:val="single" w:color="auto" w:sz="4" w:space="0"/>
              <w:left w:val="single" w:color="auto" w:sz="4" w:space="0"/>
            </w:tcBorders>
            <w:shd w:val="clear" w:color="auto" w:fill="FFFFFF"/>
            <w:vAlign w:val="center"/>
          </w:tcPr>
          <w:p>
            <w:pPr>
              <w:pStyle w:val="6"/>
              <w:shd w:val="clear" w:color="auto" w:fill="auto"/>
              <w:spacing w:after="60"/>
            </w:pPr>
            <w:r>
              <w:t>对宗教活动场所内的文</w:t>
            </w:r>
          </w:p>
          <w:p>
            <w:pPr>
              <w:pStyle w:val="6"/>
              <w:shd w:val="clear" w:color="auto" w:fill="auto"/>
            </w:pPr>
            <w:r>
              <w:t>物保护单位的行政检查</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《四川省〈中华人民共和国文物保护法〉实施办法》第二十条 宗教活动场所内的文 物保护单位，由管理使用该场所的宗教组织负责依法对其进行修缮、保养和安全管理， 并接受文物行政主管部门的监督检查。</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384" w:hRule="exact"/>
          <w:jc w:val="center"/>
        </w:trPr>
        <w:tc>
          <w:tcPr>
            <w:tcW w:w="15231" w:type="dxa"/>
            <w:gridSpan w:val="7"/>
            <w:tcBorders>
              <w:top w:val="single" w:color="auto" w:sz="4" w:space="0"/>
              <w:left w:val="single" w:color="auto" w:sz="4" w:space="0"/>
              <w:right w:val="single" w:color="auto" w:sz="4" w:space="0"/>
            </w:tcBorders>
            <w:shd w:val="clear" w:color="auto" w:fill="FFFFFF"/>
            <w:vAlign w:val="bottom"/>
          </w:tcPr>
          <w:p>
            <w:pPr>
              <w:pStyle w:val="6"/>
              <w:shd w:val="clear" w:color="auto" w:fill="auto"/>
              <w:jc w:val="both"/>
              <w:rPr>
                <w:sz w:val="24"/>
                <w:szCs w:val="24"/>
              </w:rPr>
            </w:pPr>
            <w:r>
              <w:rPr>
                <w:sz w:val="24"/>
                <w:szCs w:val="24"/>
              </w:rPr>
              <w:t>四、行政奖励（</w:t>
            </w:r>
            <w:r>
              <w:rPr>
                <w:rFonts w:ascii="Times New Roman" w:hAnsi="Times New Roman" w:eastAsia="Times New Roman" w:cs="Times New Roman"/>
                <w:sz w:val="24"/>
                <w:szCs w:val="24"/>
              </w:rPr>
              <w:t xml:space="preserve">7 </w:t>
            </w:r>
            <w:r>
              <w:rPr>
                <w:sz w:val="24"/>
                <w:szCs w:val="24"/>
              </w:rPr>
              <w:t>项）</w:t>
            </w:r>
          </w:p>
        </w:tc>
      </w:tr>
      <w:tr>
        <w:tblPrEx>
          <w:tblLayout w:type="fixed"/>
          <w:tblCellMar>
            <w:top w:w="0" w:type="dxa"/>
            <w:left w:w="10" w:type="dxa"/>
            <w:bottom w:w="0" w:type="dxa"/>
            <w:right w:w="10" w:type="dxa"/>
          </w:tblCellMar>
        </w:tblPrEx>
        <w:trPr>
          <w:trHeight w:val="2928" w:hRule="exact"/>
          <w:jc w:val="center"/>
        </w:trPr>
        <w:tc>
          <w:tcPr>
            <w:tcW w:w="667"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37</w:t>
            </w:r>
          </w:p>
        </w:tc>
        <w:tc>
          <w:tcPr>
            <w:tcW w:w="1450"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自然资源</w:t>
            </w:r>
          </w:p>
        </w:tc>
        <w:tc>
          <w:tcPr>
            <w:tcW w:w="116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行政奖励</w:t>
            </w:r>
          </w:p>
        </w:tc>
        <w:tc>
          <w:tcPr>
            <w:tcW w:w="2443" w:type="dxa"/>
            <w:tcBorders>
              <w:top w:val="single" w:color="auto" w:sz="4" w:space="0"/>
              <w:left w:val="single" w:color="auto" w:sz="4" w:space="0"/>
              <w:bottom w:val="single" w:color="auto" w:sz="4" w:space="0"/>
            </w:tcBorders>
            <w:shd w:val="clear" w:color="auto" w:fill="FFFFFF"/>
            <w:vAlign w:val="center"/>
          </w:tcPr>
          <w:p>
            <w:pPr>
              <w:pStyle w:val="6"/>
              <w:shd w:val="clear" w:color="auto" w:fill="auto"/>
            </w:pPr>
            <w:r>
              <w:t>对基本农田保护的奖励</w:t>
            </w:r>
          </w:p>
        </w:tc>
        <w:tc>
          <w:tcPr>
            <w:tcW w:w="8098"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pPr>
            <w:r>
              <w:rPr>
                <w:rFonts w:ascii="Times New Roman" w:hAnsi="Times New Roman" w:eastAsia="Times New Roman" w:cs="Times New Roman"/>
                <w:sz w:val="22"/>
                <w:szCs w:val="22"/>
              </w:rPr>
              <w:t>1.</w:t>
            </w:r>
            <w:r>
              <w:t>《中华人民共和国基本农田保护条例》第七条 国家对在基本农田保护工作中取得 显著成绩的单位和个人，给予奖励。</w:t>
            </w:r>
          </w:p>
          <w:p>
            <w:pPr>
              <w:pStyle w:val="6"/>
              <w:shd w:val="clear" w:color="auto" w:fill="auto"/>
              <w:jc w:val="both"/>
            </w:pPr>
            <w:r>
              <w:rPr>
                <w:rFonts w:ascii="Times New Roman" w:hAnsi="Times New Roman" w:eastAsia="Times New Roman" w:cs="Times New Roman"/>
                <w:sz w:val="22"/>
                <w:szCs w:val="22"/>
              </w:rPr>
              <w:t>2.</w:t>
            </w:r>
            <w:r>
              <w:t>《自然资源部 农业农村部关于加强和改进永久基本农田保护工作的通知》第十七 项 （十七）完善激励补偿机制。省级自然资源主管部门和农业农村主管部门要会同 相关部门，认真总结地方经验，按照</w:t>
            </w:r>
            <w:r>
              <w:rPr>
                <w:rFonts w:ascii="Times New Roman" w:hAnsi="Times New Roman" w:eastAsia="Times New Roman" w:cs="Times New Roman"/>
                <w:sz w:val="22"/>
                <w:szCs w:val="22"/>
              </w:rPr>
              <w:t>“</w:t>
            </w:r>
            <w:r>
              <w:t>谁保护、谁受益</w:t>
            </w:r>
            <w:r>
              <w:rPr>
                <w:rFonts w:ascii="Times New Roman" w:hAnsi="Times New Roman" w:eastAsia="Times New Roman" w:cs="Times New Roman"/>
                <w:sz w:val="22"/>
                <w:szCs w:val="22"/>
              </w:rPr>
              <w:t>”</w:t>
            </w:r>
            <w:r>
              <w:t>的原则，探索实行耕地保护激 励性补偿和跨区域资源性补偿。鼓励有条件的地区建立耕地保护基金，与整合有关涉 农补贴政策、完善粮食主产区利益补偿机制相衔接，与生态补偿机制相联动，依据永 久基本农田保护任务和</w:t>
            </w:r>
            <w:r>
              <w:rPr>
                <w:rFonts w:ascii="Times New Roman" w:hAnsi="Times New Roman" w:eastAsia="Times New Roman" w:cs="Times New Roman"/>
                <w:sz w:val="22"/>
                <w:szCs w:val="22"/>
              </w:rPr>
              <w:t>“</w:t>
            </w:r>
            <w:r>
              <w:t>两区</w:t>
            </w:r>
            <w:r>
              <w:rPr>
                <w:rFonts w:ascii="Times New Roman" w:hAnsi="Times New Roman" w:eastAsia="Times New Roman" w:cs="Times New Roman"/>
                <w:sz w:val="22"/>
                <w:szCs w:val="22"/>
              </w:rPr>
              <w:t>”</w:t>
            </w:r>
            <w:r>
              <w:t>划定与建设任务落实情况、实际粮食生产情况，对农村 集体经济组织和农户给予奖补。</w:t>
            </w:r>
          </w:p>
        </w:tc>
        <w:tc>
          <w:tcPr>
            <w:tcW w:w="701"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bl>
    <w:p>
      <w:pPr>
        <w:rPr>
          <w:sz w:val="2"/>
          <w:szCs w:val="2"/>
        </w:rPr>
      </w:pPr>
      <w:r>
        <w:br w:type="page"/>
      </w:r>
    </w:p>
    <w:tbl>
      <w:tblPr>
        <w:tblStyle w:val="2"/>
        <w:tblW w:w="15231" w:type="dxa"/>
        <w:jc w:val="center"/>
        <w:tblInd w:w="0" w:type="dxa"/>
        <w:tblLayout w:type="fixed"/>
        <w:tblCellMar>
          <w:top w:w="0" w:type="dxa"/>
          <w:left w:w="10" w:type="dxa"/>
          <w:bottom w:w="0" w:type="dxa"/>
          <w:right w:w="10" w:type="dxa"/>
        </w:tblCellMar>
      </w:tblPr>
      <w:tblGrid>
        <w:gridCol w:w="667"/>
        <w:gridCol w:w="1450"/>
        <w:gridCol w:w="1166"/>
        <w:gridCol w:w="2443"/>
        <w:gridCol w:w="8098"/>
        <w:gridCol w:w="701"/>
        <w:gridCol w:w="706"/>
      </w:tblGrid>
      <w:tr>
        <w:tblPrEx>
          <w:tblLayout w:type="fixed"/>
          <w:tblCellMar>
            <w:top w:w="0" w:type="dxa"/>
            <w:left w:w="10" w:type="dxa"/>
            <w:bottom w:w="0" w:type="dxa"/>
            <w:right w:w="10" w:type="dxa"/>
          </w:tblCellMar>
        </w:tblPrEx>
        <w:trPr>
          <w:trHeight w:val="360" w:hRule="exact"/>
          <w:jc w:val="center"/>
        </w:trPr>
        <w:tc>
          <w:tcPr>
            <w:tcW w:w="667"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序号</w:t>
            </w:r>
          </w:p>
        </w:tc>
        <w:tc>
          <w:tcPr>
            <w:tcW w:w="1450"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领域</w:t>
            </w:r>
          </w:p>
        </w:tc>
        <w:tc>
          <w:tcPr>
            <w:tcW w:w="116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权力类型</w:t>
            </w:r>
          </w:p>
        </w:tc>
        <w:tc>
          <w:tcPr>
            <w:tcW w:w="2443"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权力名称</w:t>
            </w:r>
          </w:p>
        </w:tc>
        <w:tc>
          <w:tcPr>
            <w:tcW w:w="8098"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设定依据</w:t>
            </w:r>
          </w:p>
        </w:tc>
        <w:tc>
          <w:tcPr>
            <w:tcW w:w="1407" w:type="dxa"/>
            <w:gridSpan w:val="2"/>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承接主体</w:t>
            </w:r>
          </w:p>
        </w:tc>
      </w:tr>
      <w:tr>
        <w:tblPrEx>
          <w:tblLayout w:type="fixed"/>
          <w:tblCellMar>
            <w:top w:w="0" w:type="dxa"/>
            <w:left w:w="10" w:type="dxa"/>
            <w:bottom w:w="0" w:type="dxa"/>
            <w:right w:w="10" w:type="dxa"/>
          </w:tblCellMar>
        </w:tblPrEx>
        <w:trPr>
          <w:trHeight w:val="346" w:hRule="exact"/>
          <w:jc w:val="center"/>
        </w:trPr>
        <w:tc>
          <w:tcPr>
            <w:tcW w:w="667" w:type="dxa"/>
            <w:vMerge w:val="continue"/>
            <w:tcBorders>
              <w:left w:val="single" w:color="auto" w:sz="4" w:space="0"/>
            </w:tcBorders>
            <w:shd w:val="clear" w:color="auto" w:fill="FFFFFF"/>
            <w:vAlign w:val="center"/>
          </w:tcPr>
          <w:p/>
        </w:tc>
        <w:tc>
          <w:tcPr>
            <w:tcW w:w="1450" w:type="dxa"/>
            <w:vMerge w:val="continue"/>
            <w:tcBorders>
              <w:left w:val="single" w:color="auto" w:sz="4" w:space="0"/>
            </w:tcBorders>
            <w:shd w:val="clear" w:color="auto" w:fill="FFFFFF"/>
            <w:vAlign w:val="center"/>
          </w:tcPr>
          <w:p/>
        </w:tc>
        <w:tc>
          <w:tcPr>
            <w:tcW w:w="1166" w:type="dxa"/>
            <w:vMerge w:val="continue"/>
            <w:tcBorders>
              <w:left w:val="single" w:color="auto" w:sz="4" w:space="0"/>
            </w:tcBorders>
            <w:shd w:val="clear" w:color="auto" w:fill="FFFFFF"/>
            <w:vAlign w:val="center"/>
          </w:tcPr>
          <w:p/>
        </w:tc>
        <w:tc>
          <w:tcPr>
            <w:tcW w:w="2443" w:type="dxa"/>
            <w:vMerge w:val="continue"/>
            <w:tcBorders>
              <w:left w:val="single" w:color="auto" w:sz="4" w:space="0"/>
            </w:tcBorders>
            <w:shd w:val="clear" w:color="auto" w:fill="FFFFFF"/>
            <w:vAlign w:val="center"/>
          </w:tcPr>
          <w:p/>
        </w:tc>
        <w:tc>
          <w:tcPr>
            <w:tcW w:w="8098" w:type="dxa"/>
            <w:vMerge w:val="continue"/>
            <w:tcBorders>
              <w:left w:val="single" w:color="auto" w:sz="4" w:space="0"/>
            </w:tcBorders>
            <w:shd w:val="clear" w:color="auto" w:fill="FFFFFF"/>
            <w:vAlign w:val="center"/>
          </w:tcP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乡镇</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街道</w:t>
            </w:r>
          </w:p>
        </w:tc>
      </w:tr>
      <w:tr>
        <w:tblPrEx>
          <w:tblLayout w:type="fixed"/>
          <w:tblCellMar>
            <w:top w:w="0" w:type="dxa"/>
            <w:left w:w="10" w:type="dxa"/>
            <w:bottom w:w="0" w:type="dxa"/>
            <w:right w:w="10" w:type="dxa"/>
          </w:tblCellMar>
        </w:tblPrEx>
        <w:trPr>
          <w:trHeight w:val="1315"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38</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生态环境</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行政奖励</w:t>
            </w:r>
          </w:p>
        </w:tc>
        <w:tc>
          <w:tcPr>
            <w:tcW w:w="2443" w:type="dxa"/>
            <w:tcBorders>
              <w:top w:val="single" w:color="auto" w:sz="4" w:space="0"/>
              <w:left w:val="single" w:color="auto" w:sz="4" w:space="0"/>
            </w:tcBorders>
            <w:shd w:val="clear" w:color="auto" w:fill="FFFFFF"/>
            <w:vAlign w:val="center"/>
          </w:tcPr>
          <w:p>
            <w:pPr>
              <w:pStyle w:val="6"/>
              <w:shd w:val="clear" w:color="auto" w:fill="auto"/>
              <w:jc w:val="both"/>
            </w:pPr>
            <w:r>
              <w:t>对环境保护工作有重要 推动作用的信访人的表 扬或者奖励</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《环境信访办法》第七条 信访人检举、揭发污染环境、破坏生态的违法行为或者提 出的建议、意见，对环境保护工作有重要推动作用的，环境保护行政主管部门应当给 予表扬或者奖励。对在环境信访工作中做出优异成绩的单位或个人，由同级或上级环 境保护行政主管部门给予表彰或者奖励。</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2285"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39</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农业农村</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行政奖励</w:t>
            </w:r>
          </w:p>
        </w:tc>
        <w:tc>
          <w:tcPr>
            <w:tcW w:w="2443" w:type="dxa"/>
            <w:tcBorders>
              <w:top w:val="single" w:color="auto" w:sz="4" w:space="0"/>
              <w:left w:val="single" w:color="auto" w:sz="4" w:space="0"/>
            </w:tcBorders>
            <w:shd w:val="clear" w:color="auto" w:fill="FFFFFF"/>
            <w:vAlign w:val="center"/>
          </w:tcPr>
          <w:p>
            <w:pPr>
              <w:pStyle w:val="6"/>
              <w:shd w:val="clear" w:color="auto" w:fill="auto"/>
              <w:spacing w:after="60"/>
              <w:jc w:val="both"/>
            </w:pPr>
            <w:r>
              <w:t>对举报违反食品安全规</w:t>
            </w:r>
          </w:p>
          <w:p>
            <w:pPr>
              <w:pStyle w:val="6"/>
              <w:shd w:val="clear" w:color="auto" w:fill="auto"/>
              <w:jc w:val="both"/>
            </w:pPr>
            <w:r>
              <w:t>定的行为进行奖励</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《国务院关于加强食品等产品安全监督管理的特别规定》第十九条 任何组织或者个 人对违反本规定的行为有权举报。接到举报的部门应当为举报人保密。举报经调查属 实的，受理举报的部门应当给予举报人奖励。农业、卫生、质检、商务、工商、药品 等监督管理部门应当公布本单位的电子邮件地址或者举报电话；对接到的举报，应当 及时、完整地进行记录并妥善保存。举报的事项属于本部门职责的，应当受理，并依 法进行核实、处理、答复；不属于本部门职责的，应当转交有权处理的部门，并告知 举报人。</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1387"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40</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应急管理</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行政奖励</w:t>
            </w:r>
          </w:p>
        </w:tc>
        <w:tc>
          <w:tcPr>
            <w:tcW w:w="2443" w:type="dxa"/>
            <w:tcBorders>
              <w:top w:val="single" w:color="auto" w:sz="4" w:space="0"/>
              <w:left w:val="single" w:color="auto" w:sz="4" w:space="0"/>
            </w:tcBorders>
            <w:shd w:val="clear" w:color="auto" w:fill="FFFFFF"/>
            <w:vAlign w:val="center"/>
          </w:tcPr>
          <w:p>
            <w:pPr>
              <w:pStyle w:val="6"/>
              <w:shd w:val="clear" w:color="auto" w:fill="auto"/>
              <w:jc w:val="both"/>
            </w:pPr>
            <w:r>
              <w:t>对应急预案管理工作中 做出显著成绩的单位和 人员给予奖励（不含表 彰）</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《生产安全事故应急预案管理办法》第四十三条 对于在应急预案管理工作中做出显 著成绩的单位和人员，各级人民政府应急管理部门、生产经营单位可以给予表彰和奖 励。</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tcPr>
          <w:p>
            <w:pPr>
              <w:rPr>
                <w:sz w:val="10"/>
                <w:szCs w:val="10"/>
              </w:rPr>
            </w:pPr>
          </w:p>
        </w:tc>
      </w:tr>
      <w:tr>
        <w:tblPrEx>
          <w:tblLayout w:type="fixed"/>
          <w:tblCellMar>
            <w:top w:w="0" w:type="dxa"/>
            <w:left w:w="10" w:type="dxa"/>
            <w:bottom w:w="0" w:type="dxa"/>
            <w:right w:w="10" w:type="dxa"/>
          </w:tblCellMar>
        </w:tblPrEx>
        <w:trPr>
          <w:trHeight w:val="2434" w:hRule="exact"/>
          <w:jc w:val="center"/>
        </w:trPr>
        <w:tc>
          <w:tcPr>
            <w:tcW w:w="667"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41</w:t>
            </w:r>
          </w:p>
        </w:tc>
        <w:tc>
          <w:tcPr>
            <w:tcW w:w="1450"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林业和草原</w:t>
            </w:r>
          </w:p>
        </w:tc>
        <w:tc>
          <w:tcPr>
            <w:tcW w:w="116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行政奖励</w:t>
            </w:r>
          </w:p>
        </w:tc>
        <w:tc>
          <w:tcPr>
            <w:tcW w:w="244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pPr>
            <w:r>
              <w:t>对在森林病虫害防治工 作中做出突出成绩的单 位和个人给予奖励（不含 表彰）</w:t>
            </w:r>
          </w:p>
        </w:tc>
        <w:tc>
          <w:tcPr>
            <w:tcW w:w="8098"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pPr>
            <w:r>
              <w:t>《森林病虫害防治条例》第二十一条 有下列成绩之一的单位和个人，由人民政府或 者林业主管部门给予奖励：（一）严格执行森林病虫害防治法规，预防和除治措施得 力，在本地区或者经营区域内，连续五年没有发生森林病虫害的；（二）预报病情、 虫情及时准确，并提出防治森林病虫害的合理化建议，被有关部门采纳，获得显著效 益的；（三）在森林病虫害防治科学研究中取得成果或者在应用推广科研成果中获得 重大效益的；（四）在林业基层单位连续从事森林病虫害防治工作满十年，工作成绩 较好的；（五）在森林病虫害防治工作中有其他显著成绩的。</w:t>
            </w:r>
          </w:p>
        </w:tc>
        <w:tc>
          <w:tcPr>
            <w:tcW w:w="701"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r>
    </w:tbl>
    <w:p>
      <w:pPr>
        <w:sectPr>
          <w:footerReference r:id="rId6" w:type="first"/>
          <w:footerReference r:id="rId5" w:type="default"/>
          <w:pgSz w:w="16840" w:h="11900" w:orient="landscape"/>
          <w:pgMar w:top="1781" w:right="802" w:bottom="1629" w:left="807" w:header="0" w:footer="3" w:gutter="0"/>
          <w:cols w:space="720" w:num="1"/>
          <w:titlePg/>
          <w:docGrid w:linePitch="360" w:charSpace="0"/>
        </w:sectPr>
      </w:pPr>
    </w:p>
    <w:tbl>
      <w:tblPr>
        <w:tblStyle w:val="2"/>
        <w:tblW w:w="15231" w:type="dxa"/>
        <w:jc w:val="center"/>
        <w:tblInd w:w="0" w:type="dxa"/>
        <w:tblLayout w:type="fixed"/>
        <w:tblCellMar>
          <w:top w:w="0" w:type="dxa"/>
          <w:left w:w="10" w:type="dxa"/>
          <w:bottom w:w="0" w:type="dxa"/>
          <w:right w:w="10" w:type="dxa"/>
        </w:tblCellMar>
      </w:tblPr>
      <w:tblGrid>
        <w:gridCol w:w="667"/>
        <w:gridCol w:w="1450"/>
        <w:gridCol w:w="1166"/>
        <w:gridCol w:w="2443"/>
        <w:gridCol w:w="8098"/>
        <w:gridCol w:w="701"/>
        <w:gridCol w:w="706"/>
      </w:tblGrid>
      <w:tr>
        <w:tblPrEx>
          <w:tblLayout w:type="fixed"/>
          <w:tblCellMar>
            <w:top w:w="0" w:type="dxa"/>
            <w:left w:w="10" w:type="dxa"/>
            <w:bottom w:w="0" w:type="dxa"/>
            <w:right w:w="10" w:type="dxa"/>
          </w:tblCellMar>
        </w:tblPrEx>
        <w:trPr>
          <w:trHeight w:val="360" w:hRule="exact"/>
          <w:jc w:val="center"/>
        </w:trPr>
        <w:tc>
          <w:tcPr>
            <w:tcW w:w="667"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序号</w:t>
            </w:r>
          </w:p>
        </w:tc>
        <w:tc>
          <w:tcPr>
            <w:tcW w:w="1450"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领域</w:t>
            </w:r>
          </w:p>
        </w:tc>
        <w:tc>
          <w:tcPr>
            <w:tcW w:w="116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权力类型</w:t>
            </w:r>
          </w:p>
        </w:tc>
        <w:tc>
          <w:tcPr>
            <w:tcW w:w="2443"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权力名称</w:t>
            </w:r>
          </w:p>
        </w:tc>
        <w:tc>
          <w:tcPr>
            <w:tcW w:w="8098"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设定依据</w:t>
            </w:r>
          </w:p>
        </w:tc>
        <w:tc>
          <w:tcPr>
            <w:tcW w:w="1407" w:type="dxa"/>
            <w:gridSpan w:val="2"/>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承接主体</w:t>
            </w:r>
          </w:p>
        </w:tc>
      </w:tr>
      <w:tr>
        <w:tblPrEx>
          <w:tblLayout w:type="fixed"/>
          <w:tblCellMar>
            <w:top w:w="0" w:type="dxa"/>
            <w:left w:w="10" w:type="dxa"/>
            <w:bottom w:w="0" w:type="dxa"/>
            <w:right w:w="10" w:type="dxa"/>
          </w:tblCellMar>
        </w:tblPrEx>
        <w:trPr>
          <w:trHeight w:val="346" w:hRule="exact"/>
          <w:jc w:val="center"/>
        </w:trPr>
        <w:tc>
          <w:tcPr>
            <w:tcW w:w="667" w:type="dxa"/>
            <w:vMerge w:val="continue"/>
            <w:tcBorders>
              <w:left w:val="single" w:color="auto" w:sz="4" w:space="0"/>
            </w:tcBorders>
            <w:shd w:val="clear" w:color="auto" w:fill="FFFFFF"/>
            <w:vAlign w:val="center"/>
          </w:tcPr>
          <w:p/>
        </w:tc>
        <w:tc>
          <w:tcPr>
            <w:tcW w:w="1450" w:type="dxa"/>
            <w:vMerge w:val="continue"/>
            <w:tcBorders>
              <w:left w:val="single" w:color="auto" w:sz="4" w:space="0"/>
            </w:tcBorders>
            <w:shd w:val="clear" w:color="auto" w:fill="FFFFFF"/>
            <w:vAlign w:val="center"/>
          </w:tcPr>
          <w:p/>
        </w:tc>
        <w:tc>
          <w:tcPr>
            <w:tcW w:w="1166" w:type="dxa"/>
            <w:vMerge w:val="continue"/>
            <w:tcBorders>
              <w:left w:val="single" w:color="auto" w:sz="4" w:space="0"/>
            </w:tcBorders>
            <w:shd w:val="clear" w:color="auto" w:fill="FFFFFF"/>
            <w:vAlign w:val="center"/>
          </w:tcPr>
          <w:p/>
        </w:tc>
        <w:tc>
          <w:tcPr>
            <w:tcW w:w="2443" w:type="dxa"/>
            <w:vMerge w:val="continue"/>
            <w:tcBorders>
              <w:left w:val="single" w:color="auto" w:sz="4" w:space="0"/>
            </w:tcBorders>
            <w:shd w:val="clear" w:color="auto" w:fill="FFFFFF"/>
            <w:vAlign w:val="center"/>
          </w:tcPr>
          <w:p/>
        </w:tc>
        <w:tc>
          <w:tcPr>
            <w:tcW w:w="8098" w:type="dxa"/>
            <w:vMerge w:val="continue"/>
            <w:tcBorders>
              <w:left w:val="single" w:color="auto" w:sz="4" w:space="0"/>
            </w:tcBorders>
            <w:shd w:val="clear" w:color="auto" w:fill="FFFFFF"/>
            <w:vAlign w:val="center"/>
          </w:tcP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乡镇</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街道</w:t>
            </w:r>
          </w:p>
        </w:tc>
      </w:tr>
      <w:tr>
        <w:tblPrEx>
          <w:tblLayout w:type="fixed"/>
          <w:tblCellMar>
            <w:top w:w="0" w:type="dxa"/>
            <w:left w:w="10" w:type="dxa"/>
            <w:bottom w:w="0" w:type="dxa"/>
            <w:right w:w="10" w:type="dxa"/>
          </w:tblCellMar>
        </w:tblPrEx>
        <w:trPr>
          <w:trHeight w:val="1637"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42</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林业和草原</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行政奖励</w:t>
            </w:r>
          </w:p>
        </w:tc>
        <w:tc>
          <w:tcPr>
            <w:tcW w:w="2443" w:type="dxa"/>
            <w:tcBorders>
              <w:top w:val="single" w:color="auto" w:sz="4" w:space="0"/>
              <w:left w:val="single" w:color="auto" w:sz="4" w:space="0"/>
            </w:tcBorders>
            <w:shd w:val="clear" w:color="auto" w:fill="FFFFFF"/>
            <w:vAlign w:val="center"/>
          </w:tcPr>
          <w:p>
            <w:pPr>
              <w:pStyle w:val="6"/>
              <w:shd w:val="clear" w:color="auto" w:fill="auto"/>
              <w:jc w:val="both"/>
            </w:pPr>
            <w:r>
              <w:t>在森林防火工作中做出 突出成绩或在扑救重大、 特别重大森林火灾中表 现突出的单位和个人给 予奖励（不含表彰）</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《森林防火条例》第十二条 对在森林防火工作中作出突出成绩的单位和个人，按照 国家有关规定，给予表彰和奖励。对在扑救重大、特别重大森林火灾中表现突出的单 位和个人，可以由森林防火指挥机构当场给予表彰和奖励。</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tcPr>
          <w:p>
            <w:pPr>
              <w:rPr>
                <w:sz w:val="10"/>
                <w:szCs w:val="10"/>
              </w:rPr>
            </w:pPr>
          </w:p>
        </w:tc>
      </w:tr>
      <w:tr>
        <w:tblPrEx>
          <w:tblLayout w:type="fixed"/>
          <w:tblCellMar>
            <w:top w:w="0" w:type="dxa"/>
            <w:left w:w="10" w:type="dxa"/>
            <w:bottom w:w="0" w:type="dxa"/>
            <w:right w:w="10" w:type="dxa"/>
          </w:tblCellMar>
        </w:tblPrEx>
        <w:trPr>
          <w:trHeight w:val="1320"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43</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林业和草原</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行政奖励</w:t>
            </w:r>
          </w:p>
        </w:tc>
        <w:tc>
          <w:tcPr>
            <w:tcW w:w="2443" w:type="dxa"/>
            <w:tcBorders>
              <w:top w:val="single" w:color="auto" w:sz="4" w:space="0"/>
              <w:left w:val="single" w:color="auto" w:sz="4" w:space="0"/>
            </w:tcBorders>
            <w:shd w:val="clear" w:color="auto" w:fill="FFFFFF"/>
            <w:vAlign w:val="center"/>
          </w:tcPr>
          <w:p>
            <w:pPr>
              <w:pStyle w:val="6"/>
              <w:shd w:val="clear" w:color="auto" w:fill="auto"/>
              <w:jc w:val="both"/>
            </w:pPr>
            <w:r>
              <w:t>对在森林资源保护管理 工作中做出突出成绩的 单位和个人给予奖励（不 含表彰）</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《中华人民共和国森林法》第十三条 对在造林绿化、森林保护、森林经营管理以及 林业科学研究等方面成绩显著的组织或者个人，按照国家有关规定给予表彰、奖励。</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tcPr>
          <w:p>
            <w:pPr>
              <w:rPr>
                <w:sz w:val="10"/>
                <w:szCs w:val="10"/>
              </w:rPr>
            </w:pPr>
          </w:p>
        </w:tc>
      </w:tr>
      <w:tr>
        <w:tblPrEx>
          <w:tblLayout w:type="fixed"/>
          <w:tblCellMar>
            <w:top w:w="0" w:type="dxa"/>
            <w:left w:w="10" w:type="dxa"/>
            <w:bottom w:w="0" w:type="dxa"/>
            <w:right w:w="10" w:type="dxa"/>
          </w:tblCellMar>
        </w:tblPrEx>
        <w:trPr>
          <w:trHeight w:val="379" w:hRule="exact"/>
          <w:jc w:val="center"/>
        </w:trPr>
        <w:tc>
          <w:tcPr>
            <w:tcW w:w="15231" w:type="dxa"/>
            <w:gridSpan w:val="7"/>
            <w:tcBorders>
              <w:top w:val="single" w:color="auto" w:sz="4" w:space="0"/>
              <w:left w:val="single" w:color="auto" w:sz="4" w:space="0"/>
              <w:right w:val="single" w:color="auto" w:sz="4" w:space="0"/>
            </w:tcBorders>
            <w:shd w:val="clear" w:color="auto" w:fill="FFFFFF"/>
            <w:vAlign w:val="bottom"/>
          </w:tcPr>
          <w:p>
            <w:pPr>
              <w:pStyle w:val="6"/>
              <w:shd w:val="clear" w:color="auto" w:fill="auto"/>
              <w:jc w:val="both"/>
              <w:rPr>
                <w:sz w:val="24"/>
                <w:szCs w:val="24"/>
              </w:rPr>
            </w:pPr>
            <w:r>
              <w:rPr>
                <w:sz w:val="24"/>
                <w:szCs w:val="24"/>
              </w:rPr>
              <w:t>五、其他行政权力（</w:t>
            </w:r>
            <w:r>
              <w:rPr>
                <w:rFonts w:ascii="Times New Roman" w:hAnsi="Times New Roman" w:eastAsia="Times New Roman" w:cs="Times New Roman"/>
                <w:sz w:val="24"/>
                <w:szCs w:val="24"/>
              </w:rPr>
              <w:t>11</w:t>
            </w:r>
            <w:r>
              <w:rPr>
                <w:sz w:val="24"/>
                <w:szCs w:val="24"/>
              </w:rPr>
              <w:t>项）</w:t>
            </w:r>
          </w:p>
        </w:tc>
      </w:tr>
      <w:tr>
        <w:tblPrEx>
          <w:tblLayout w:type="fixed"/>
          <w:tblCellMar>
            <w:top w:w="0" w:type="dxa"/>
            <w:left w:w="10" w:type="dxa"/>
            <w:bottom w:w="0" w:type="dxa"/>
            <w:right w:w="10" w:type="dxa"/>
          </w:tblCellMar>
        </w:tblPrEx>
        <w:trPr>
          <w:trHeight w:val="998"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44</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自然资源</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其他 行政权力</w:t>
            </w:r>
          </w:p>
        </w:tc>
        <w:tc>
          <w:tcPr>
            <w:tcW w:w="2443" w:type="dxa"/>
            <w:tcBorders>
              <w:top w:val="single" w:color="auto" w:sz="4" w:space="0"/>
              <w:left w:val="single" w:color="auto" w:sz="4" w:space="0"/>
            </w:tcBorders>
            <w:shd w:val="clear" w:color="auto" w:fill="FFFFFF"/>
            <w:vAlign w:val="center"/>
          </w:tcPr>
          <w:p>
            <w:pPr>
              <w:pStyle w:val="6"/>
              <w:shd w:val="clear" w:color="auto" w:fill="auto"/>
              <w:spacing w:after="60"/>
              <w:jc w:val="both"/>
            </w:pPr>
            <w:r>
              <w:t>对阻挠国家建设征收土</w:t>
            </w:r>
          </w:p>
          <w:p>
            <w:pPr>
              <w:pStyle w:val="6"/>
              <w:shd w:val="clear" w:color="auto" w:fill="auto"/>
              <w:jc w:val="both"/>
            </w:pPr>
            <w:r>
              <w:t>地的处理</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《中华人民共和国土地管理法实施条例》第四十五条 违反土地管理法律、法规规定， 阻挠国家建设征收土地的，由县级以上人民政府土地行政主管部门责令交出土地；拒 不交出土地的，申请人民法院强制执行。</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1234"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45</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自然资源</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其他 行政权力</w:t>
            </w:r>
          </w:p>
        </w:tc>
        <w:tc>
          <w:tcPr>
            <w:tcW w:w="2443" w:type="dxa"/>
            <w:tcBorders>
              <w:top w:val="single" w:color="auto" w:sz="4" w:space="0"/>
              <w:left w:val="single" w:color="auto" w:sz="4" w:space="0"/>
            </w:tcBorders>
            <w:shd w:val="clear" w:color="auto" w:fill="FFFFFF"/>
            <w:vAlign w:val="center"/>
          </w:tcPr>
          <w:p>
            <w:pPr>
              <w:pStyle w:val="6"/>
              <w:shd w:val="clear" w:color="auto" w:fill="auto"/>
              <w:jc w:val="both"/>
            </w:pPr>
            <w:r>
              <w:t>对被征地当事人依法补 偿、安置后拒不搬迁的处 理</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《四川省〈中华人民共和国土地管理法〉实施办法》第六十三条 建设征用、使用土 地，依法补偿、安置后，当事人拒不搬迁的，由县级以上人民政府土地行政主管部门 责令其限期搬迁；逾期不搬迁的，由市、县人民政府依法申请人民法院强制搬迁。</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1234" w:hRule="exact"/>
          <w:jc w:val="center"/>
        </w:trPr>
        <w:tc>
          <w:tcPr>
            <w:tcW w:w="667"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46</w:t>
            </w:r>
          </w:p>
        </w:tc>
        <w:tc>
          <w:tcPr>
            <w:tcW w:w="1450"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住房城乡建设</w:t>
            </w:r>
          </w:p>
        </w:tc>
        <w:tc>
          <w:tcPr>
            <w:tcW w:w="116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其他 行政权力</w:t>
            </w:r>
          </w:p>
        </w:tc>
        <w:tc>
          <w:tcPr>
            <w:tcW w:w="2443"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pPr>
            <w:r>
              <w:t>房屋租赁登记备案</w:t>
            </w:r>
          </w:p>
        </w:tc>
        <w:tc>
          <w:tcPr>
            <w:tcW w:w="8098"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pPr>
            <w:r>
              <w:t>《商品房屋租赁管理办法》第十四条 房屋租赁合同订立后三十日内，房屋租赁当事 人应当到租赁房屋所在地直辖市、市、县人民政府建设（房地产）主管部门办理房屋 租赁登记备案。房屋租赁当事人可以书面委托他人办理租赁登记备案。</w:t>
            </w:r>
          </w:p>
        </w:tc>
        <w:tc>
          <w:tcPr>
            <w:tcW w:w="701"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bl>
    <w:p>
      <w:pPr>
        <w:rPr>
          <w:sz w:val="2"/>
          <w:szCs w:val="2"/>
        </w:rPr>
      </w:pPr>
      <w:r>
        <w:br w:type="page"/>
      </w:r>
    </w:p>
    <w:tbl>
      <w:tblPr>
        <w:tblStyle w:val="2"/>
        <w:tblW w:w="15231" w:type="dxa"/>
        <w:jc w:val="center"/>
        <w:tblInd w:w="0" w:type="dxa"/>
        <w:tblLayout w:type="fixed"/>
        <w:tblCellMar>
          <w:top w:w="0" w:type="dxa"/>
          <w:left w:w="10" w:type="dxa"/>
          <w:bottom w:w="0" w:type="dxa"/>
          <w:right w:w="10" w:type="dxa"/>
        </w:tblCellMar>
      </w:tblPr>
      <w:tblGrid>
        <w:gridCol w:w="667"/>
        <w:gridCol w:w="1450"/>
        <w:gridCol w:w="1166"/>
        <w:gridCol w:w="2443"/>
        <w:gridCol w:w="8098"/>
        <w:gridCol w:w="701"/>
        <w:gridCol w:w="706"/>
      </w:tblGrid>
      <w:tr>
        <w:tblPrEx>
          <w:tblLayout w:type="fixed"/>
          <w:tblCellMar>
            <w:top w:w="0" w:type="dxa"/>
            <w:left w:w="10" w:type="dxa"/>
            <w:bottom w:w="0" w:type="dxa"/>
            <w:right w:w="10" w:type="dxa"/>
          </w:tblCellMar>
        </w:tblPrEx>
        <w:trPr>
          <w:trHeight w:val="360" w:hRule="exact"/>
          <w:jc w:val="center"/>
        </w:trPr>
        <w:tc>
          <w:tcPr>
            <w:tcW w:w="667"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序号</w:t>
            </w:r>
          </w:p>
        </w:tc>
        <w:tc>
          <w:tcPr>
            <w:tcW w:w="1450"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领域</w:t>
            </w:r>
          </w:p>
        </w:tc>
        <w:tc>
          <w:tcPr>
            <w:tcW w:w="116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权力类型</w:t>
            </w:r>
          </w:p>
        </w:tc>
        <w:tc>
          <w:tcPr>
            <w:tcW w:w="2443"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权力名称</w:t>
            </w:r>
          </w:p>
        </w:tc>
        <w:tc>
          <w:tcPr>
            <w:tcW w:w="8098"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设定依据</w:t>
            </w:r>
          </w:p>
        </w:tc>
        <w:tc>
          <w:tcPr>
            <w:tcW w:w="1407" w:type="dxa"/>
            <w:gridSpan w:val="2"/>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承接主体</w:t>
            </w:r>
          </w:p>
        </w:tc>
      </w:tr>
      <w:tr>
        <w:tblPrEx>
          <w:tblLayout w:type="fixed"/>
          <w:tblCellMar>
            <w:top w:w="0" w:type="dxa"/>
            <w:left w:w="10" w:type="dxa"/>
            <w:bottom w:w="0" w:type="dxa"/>
            <w:right w:w="10" w:type="dxa"/>
          </w:tblCellMar>
        </w:tblPrEx>
        <w:trPr>
          <w:trHeight w:val="346" w:hRule="exact"/>
          <w:jc w:val="center"/>
        </w:trPr>
        <w:tc>
          <w:tcPr>
            <w:tcW w:w="667" w:type="dxa"/>
            <w:vMerge w:val="continue"/>
            <w:tcBorders>
              <w:left w:val="single" w:color="auto" w:sz="4" w:space="0"/>
            </w:tcBorders>
            <w:shd w:val="clear" w:color="auto" w:fill="FFFFFF"/>
            <w:vAlign w:val="center"/>
          </w:tcPr>
          <w:p/>
        </w:tc>
        <w:tc>
          <w:tcPr>
            <w:tcW w:w="1450" w:type="dxa"/>
            <w:vMerge w:val="continue"/>
            <w:tcBorders>
              <w:left w:val="single" w:color="auto" w:sz="4" w:space="0"/>
            </w:tcBorders>
            <w:shd w:val="clear" w:color="auto" w:fill="FFFFFF"/>
            <w:vAlign w:val="center"/>
          </w:tcPr>
          <w:p/>
        </w:tc>
        <w:tc>
          <w:tcPr>
            <w:tcW w:w="1166" w:type="dxa"/>
            <w:vMerge w:val="continue"/>
            <w:tcBorders>
              <w:left w:val="single" w:color="auto" w:sz="4" w:space="0"/>
            </w:tcBorders>
            <w:shd w:val="clear" w:color="auto" w:fill="FFFFFF"/>
            <w:vAlign w:val="center"/>
          </w:tcPr>
          <w:p/>
        </w:tc>
        <w:tc>
          <w:tcPr>
            <w:tcW w:w="2443" w:type="dxa"/>
            <w:vMerge w:val="continue"/>
            <w:tcBorders>
              <w:left w:val="single" w:color="auto" w:sz="4" w:space="0"/>
            </w:tcBorders>
            <w:shd w:val="clear" w:color="auto" w:fill="FFFFFF"/>
            <w:vAlign w:val="center"/>
          </w:tcPr>
          <w:p/>
        </w:tc>
        <w:tc>
          <w:tcPr>
            <w:tcW w:w="8098" w:type="dxa"/>
            <w:vMerge w:val="continue"/>
            <w:tcBorders>
              <w:left w:val="single" w:color="auto" w:sz="4" w:space="0"/>
            </w:tcBorders>
            <w:shd w:val="clear" w:color="auto" w:fill="FFFFFF"/>
            <w:vAlign w:val="center"/>
          </w:tcP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乡镇</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街道</w:t>
            </w:r>
          </w:p>
        </w:tc>
      </w:tr>
      <w:tr>
        <w:tblPrEx>
          <w:tblLayout w:type="fixed"/>
          <w:tblCellMar>
            <w:top w:w="0" w:type="dxa"/>
            <w:left w:w="10" w:type="dxa"/>
            <w:bottom w:w="0" w:type="dxa"/>
            <w:right w:w="10" w:type="dxa"/>
          </w:tblCellMar>
        </w:tblPrEx>
        <w:trPr>
          <w:trHeight w:val="1637"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47</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交通运输</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其他行政权 力</w:t>
            </w:r>
          </w:p>
        </w:tc>
        <w:tc>
          <w:tcPr>
            <w:tcW w:w="2443" w:type="dxa"/>
            <w:tcBorders>
              <w:top w:val="single" w:color="auto" w:sz="4" w:space="0"/>
              <w:left w:val="single" w:color="auto" w:sz="4" w:space="0"/>
            </w:tcBorders>
            <w:shd w:val="clear" w:color="auto" w:fill="FFFFFF"/>
            <w:vAlign w:val="center"/>
          </w:tcPr>
          <w:p>
            <w:pPr>
              <w:pStyle w:val="6"/>
              <w:shd w:val="clear" w:color="auto" w:fill="auto"/>
              <w:spacing w:after="60"/>
              <w:jc w:val="both"/>
            </w:pPr>
            <w:r>
              <w:t>货运代理和货运配载经</w:t>
            </w:r>
          </w:p>
          <w:p>
            <w:pPr>
              <w:pStyle w:val="6"/>
              <w:shd w:val="clear" w:color="auto" w:fill="auto"/>
              <w:jc w:val="both"/>
            </w:pPr>
            <w:r>
              <w:t>营备案</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《四川省道路货物运输管理办法》第九条 从事货运代理和货运配载经营的，应当自 开业之日起</w:t>
            </w:r>
            <w:r>
              <w:rPr>
                <w:rFonts w:ascii="Times New Roman" w:hAnsi="Times New Roman" w:eastAsia="Times New Roman" w:cs="Times New Roman"/>
                <w:sz w:val="22"/>
                <w:szCs w:val="22"/>
              </w:rPr>
              <w:t>15</w:t>
            </w:r>
            <w:r>
              <w:t>日内向所在地县级道路运输管理机构备案，并提交以下备案材料：（一） 货运代理、货运配载备案申请表；（二）组织机构代码证、工商营业执照和税务登记 证明原件及复印件；（三）法定代表人身份证复印件；（四）房屋产权证明或房屋租赁 协议；（五）业务操作规程、管理制度文本。</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1963"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48</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农业农村</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其他 行政权力</w:t>
            </w:r>
          </w:p>
        </w:tc>
        <w:tc>
          <w:tcPr>
            <w:tcW w:w="2443" w:type="dxa"/>
            <w:tcBorders>
              <w:top w:val="single" w:color="auto" w:sz="4" w:space="0"/>
              <w:left w:val="single" w:color="auto" w:sz="4" w:space="0"/>
            </w:tcBorders>
            <w:shd w:val="clear" w:color="auto" w:fill="FFFFFF"/>
            <w:vAlign w:val="center"/>
          </w:tcPr>
          <w:p>
            <w:pPr>
              <w:pStyle w:val="6"/>
              <w:shd w:val="clear" w:color="auto" w:fill="auto"/>
              <w:jc w:val="both"/>
            </w:pPr>
            <w:r>
              <w:t>销毁违规调运的植物、植 物产品；责令托运人或经 营者对调运的带有检疫 对象的植物、植物产品进 行除害处理、改变用途或 销毁</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《四川省植物检疫条例》第二十九条第二款 对调运的植物、植物产品，经检疫发现 检疫对象的，植物检疫机构有权予以查封，并责令托运人或经营者进行除害处理，无 法处理的，责令改变用途或销毁。</w:t>
            </w:r>
          </w:p>
          <w:p>
            <w:pPr>
              <w:pStyle w:val="6"/>
              <w:shd w:val="clear" w:color="auto" w:fill="auto"/>
              <w:jc w:val="both"/>
            </w:pPr>
            <w:r>
              <w:t>《四川省植物检疫条例》第三十五条第二款 违反本条例规定调运应施检疫的植物、 植物产品，植物检疫机构有权予以查封、没收、销毁或者责令改变用途。销毁所需费 用由责任人承担。</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2429"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49</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农业农村</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其他 行政权力</w:t>
            </w:r>
          </w:p>
        </w:tc>
        <w:tc>
          <w:tcPr>
            <w:tcW w:w="2443" w:type="dxa"/>
            <w:tcBorders>
              <w:top w:val="single" w:color="auto" w:sz="4" w:space="0"/>
              <w:left w:val="single" w:color="auto" w:sz="4" w:space="0"/>
            </w:tcBorders>
            <w:shd w:val="clear" w:color="auto" w:fill="FFFFFF"/>
            <w:vAlign w:val="center"/>
          </w:tcPr>
          <w:p>
            <w:pPr>
              <w:pStyle w:val="6"/>
              <w:shd w:val="clear" w:color="auto" w:fill="auto"/>
              <w:jc w:val="both"/>
            </w:pPr>
            <w:r>
              <w:t>隔离、处理染疫或者疑似 染疫的动物、动物产品及 相关物品</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《中华人民共和国动物防疫法》第五十九条第一款 动物卫生监督机构执行监督检查 任务，可以采取下列措施，有关单位和个人不得拒绝或者阻碍：（一）对动物、动物 产品按照规定采样、留验、抽检；（二）对染疫或者疑似染疫的动物、动物产品及相 关物品进行隔离、查封、扣押和处理；（三）对依法应当检疫而未经检疫的动物实施 补检；（四）对依法应当检疫而未经检疫的动物产品，具备补检条件的实施补检，不 具备补检条件的予以没收销毁；（五）查验检疫证明、检疫标志和畜禽标识；（六）进 入有关场所调查取证，查阅、复制与动物防疫有关的资料。</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1536" w:hRule="exact"/>
          <w:jc w:val="center"/>
        </w:trPr>
        <w:tc>
          <w:tcPr>
            <w:tcW w:w="667"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50</w:t>
            </w:r>
          </w:p>
        </w:tc>
        <w:tc>
          <w:tcPr>
            <w:tcW w:w="1450"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农业农村</w:t>
            </w:r>
          </w:p>
        </w:tc>
        <w:tc>
          <w:tcPr>
            <w:tcW w:w="116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其他 行政权力</w:t>
            </w:r>
          </w:p>
        </w:tc>
        <w:tc>
          <w:tcPr>
            <w:tcW w:w="2443" w:type="dxa"/>
            <w:tcBorders>
              <w:top w:val="single" w:color="auto" w:sz="4" w:space="0"/>
              <w:left w:val="single" w:color="auto" w:sz="4" w:space="0"/>
              <w:bottom w:val="single" w:color="auto" w:sz="4" w:space="0"/>
            </w:tcBorders>
            <w:shd w:val="clear" w:color="auto" w:fill="FFFFFF"/>
            <w:vAlign w:val="center"/>
          </w:tcPr>
          <w:p>
            <w:pPr>
              <w:pStyle w:val="6"/>
              <w:shd w:val="clear" w:color="auto" w:fill="auto"/>
              <w:spacing w:after="60"/>
              <w:jc w:val="both"/>
            </w:pPr>
            <w:r>
              <w:t>畜禽养殖场、养殖小区备</w:t>
            </w:r>
          </w:p>
          <w:p>
            <w:pPr>
              <w:pStyle w:val="6"/>
              <w:shd w:val="clear" w:color="auto" w:fill="auto"/>
              <w:jc w:val="both"/>
            </w:pPr>
            <w:r>
              <w:t>案</w:t>
            </w:r>
          </w:p>
        </w:tc>
        <w:tc>
          <w:tcPr>
            <w:tcW w:w="8098"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pPr>
            <w:r>
              <w:t>《中华人民共和国畜牧法》第三十九条第二款 养殖场、养殖小区兴办者应当将养殖 场、养殖小区的名称、养殖地址、畜禽品种和养殖规模，向养殖场、养殖小区所在地 县级人民政府畜牧兽医行政主管部门备案，取得畜禽标识代码。</w:t>
            </w:r>
          </w:p>
        </w:tc>
        <w:tc>
          <w:tcPr>
            <w:tcW w:w="701"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bl>
    <w:p>
      <w:pPr>
        <w:rPr>
          <w:sz w:val="2"/>
          <w:szCs w:val="2"/>
        </w:rPr>
      </w:pPr>
      <w:r>
        <w:br w:type="page"/>
      </w:r>
    </w:p>
    <w:tbl>
      <w:tblPr>
        <w:tblStyle w:val="2"/>
        <w:tblW w:w="15231" w:type="dxa"/>
        <w:jc w:val="center"/>
        <w:tblInd w:w="0" w:type="dxa"/>
        <w:tblLayout w:type="fixed"/>
        <w:tblCellMar>
          <w:top w:w="0" w:type="dxa"/>
          <w:left w:w="10" w:type="dxa"/>
          <w:bottom w:w="0" w:type="dxa"/>
          <w:right w:w="10" w:type="dxa"/>
        </w:tblCellMar>
      </w:tblPr>
      <w:tblGrid>
        <w:gridCol w:w="667"/>
        <w:gridCol w:w="1450"/>
        <w:gridCol w:w="1166"/>
        <w:gridCol w:w="2443"/>
        <w:gridCol w:w="8098"/>
        <w:gridCol w:w="701"/>
        <w:gridCol w:w="706"/>
      </w:tblGrid>
      <w:tr>
        <w:tblPrEx>
          <w:tblLayout w:type="fixed"/>
          <w:tblCellMar>
            <w:top w:w="0" w:type="dxa"/>
            <w:left w:w="10" w:type="dxa"/>
            <w:bottom w:w="0" w:type="dxa"/>
            <w:right w:w="10" w:type="dxa"/>
          </w:tblCellMar>
        </w:tblPrEx>
        <w:trPr>
          <w:trHeight w:val="360" w:hRule="exact"/>
          <w:jc w:val="center"/>
        </w:trPr>
        <w:tc>
          <w:tcPr>
            <w:tcW w:w="667"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序号</w:t>
            </w:r>
          </w:p>
        </w:tc>
        <w:tc>
          <w:tcPr>
            <w:tcW w:w="1450"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领域</w:t>
            </w:r>
          </w:p>
        </w:tc>
        <w:tc>
          <w:tcPr>
            <w:tcW w:w="1166"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权力类型</w:t>
            </w:r>
          </w:p>
        </w:tc>
        <w:tc>
          <w:tcPr>
            <w:tcW w:w="2443"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权力名称</w:t>
            </w:r>
          </w:p>
        </w:tc>
        <w:tc>
          <w:tcPr>
            <w:tcW w:w="8098" w:type="dxa"/>
            <w:vMerge w:val="restart"/>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设定依据</w:t>
            </w:r>
          </w:p>
        </w:tc>
        <w:tc>
          <w:tcPr>
            <w:tcW w:w="1407" w:type="dxa"/>
            <w:gridSpan w:val="2"/>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承接主体</w:t>
            </w:r>
          </w:p>
        </w:tc>
      </w:tr>
      <w:tr>
        <w:tblPrEx>
          <w:tblLayout w:type="fixed"/>
          <w:tblCellMar>
            <w:top w:w="0" w:type="dxa"/>
            <w:left w:w="10" w:type="dxa"/>
            <w:bottom w:w="0" w:type="dxa"/>
            <w:right w:w="10" w:type="dxa"/>
          </w:tblCellMar>
        </w:tblPrEx>
        <w:trPr>
          <w:trHeight w:val="346" w:hRule="exact"/>
          <w:jc w:val="center"/>
        </w:trPr>
        <w:tc>
          <w:tcPr>
            <w:tcW w:w="667" w:type="dxa"/>
            <w:vMerge w:val="continue"/>
            <w:tcBorders>
              <w:left w:val="single" w:color="auto" w:sz="4" w:space="0"/>
            </w:tcBorders>
            <w:shd w:val="clear" w:color="auto" w:fill="FFFFFF"/>
            <w:vAlign w:val="center"/>
          </w:tcPr>
          <w:p/>
        </w:tc>
        <w:tc>
          <w:tcPr>
            <w:tcW w:w="1450" w:type="dxa"/>
            <w:vMerge w:val="continue"/>
            <w:tcBorders>
              <w:left w:val="single" w:color="auto" w:sz="4" w:space="0"/>
            </w:tcBorders>
            <w:shd w:val="clear" w:color="auto" w:fill="FFFFFF"/>
            <w:vAlign w:val="center"/>
          </w:tcPr>
          <w:p/>
        </w:tc>
        <w:tc>
          <w:tcPr>
            <w:tcW w:w="1166" w:type="dxa"/>
            <w:vMerge w:val="continue"/>
            <w:tcBorders>
              <w:left w:val="single" w:color="auto" w:sz="4" w:space="0"/>
            </w:tcBorders>
            <w:shd w:val="clear" w:color="auto" w:fill="FFFFFF"/>
            <w:vAlign w:val="center"/>
          </w:tcPr>
          <w:p/>
        </w:tc>
        <w:tc>
          <w:tcPr>
            <w:tcW w:w="2443" w:type="dxa"/>
            <w:vMerge w:val="continue"/>
            <w:tcBorders>
              <w:left w:val="single" w:color="auto" w:sz="4" w:space="0"/>
            </w:tcBorders>
            <w:shd w:val="clear" w:color="auto" w:fill="FFFFFF"/>
            <w:vAlign w:val="center"/>
          </w:tcPr>
          <w:p/>
        </w:tc>
        <w:tc>
          <w:tcPr>
            <w:tcW w:w="8098" w:type="dxa"/>
            <w:vMerge w:val="continue"/>
            <w:tcBorders>
              <w:left w:val="single" w:color="auto" w:sz="4" w:space="0"/>
            </w:tcBorders>
            <w:shd w:val="clear" w:color="auto" w:fill="FFFFFF"/>
            <w:vAlign w:val="center"/>
          </w:tcP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4"/>
                <w:szCs w:val="24"/>
              </w:rPr>
            </w:pPr>
            <w:r>
              <w:rPr>
                <w:sz w:val="24"/>
                <w:szCs w:val="24"/>
              </w:rPr>
              <w:t>乡镇</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4"/>
                <w:szCs w:val="24"/>
              </w:rPr>
            </w:pPr>
            <w:r>
              <w:rPr>
                <w:sz w:val="24"/>
                <w:szCs w:val="24"/>
              </w:rPr>
              <w:t>街道</w:t>
            </w:r>
          </w:p>
        </w:tc>
      </w:tr>
      <w:tr>
        <w:tblPrEx>
          <w:tblLayout w:type="fixed"/>
          <w:tblCellMar>
            <w:top w:w="0" w:type="dxa"/>
            <w:left w:w="10" w:type="dxa"/>
            <w:bottom w:w="0" w:type="dxa"/>
            <w:right w:w="10" w:type="dxa"/>
          </w:tblCellMar>
        </w:tblPrEx>
        <w:trPr>
          <w:trHeight w:val="1637"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51</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农业农村</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其他 行政权力</w:t>
            </w:r>
          </w:p>
        </w:tc>
        <w:tc>
          <w:tcPr>
            <w:tcW w:w="2443" w:type="dxa"/>
            <w:tcBorders>
              <w:top w:val="single" w:color="auto" w:sz="4" w:space="0"/>
              <w:left w:val="single" w:color="auto" w:sz="4" w:space="0"/>
            </w:tcBorders>
            <w:shd w:val="clear" w:color="auto" w:fill="FFFFFF"/>
            <w:vAlign w:val="center"/>
          </w:tcPr>
          <w:p>
            <w:pPr>
              <w:pStyle w:val="6"/>
              <w:shd w:val="clear" w:color="auto" w:fill="auto"/>
            </w:pPr>
            <w:r>
              <w:t>动物收购贩运备案</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《四川省〈中华人民共和国动物防疫法〉实施办法》第十三条 从事动物收购贩运的 单位和个人应当在所在地县级动物卫生监督执法机构进行备案，并遵守以下规定</w:t>
            </w:r>
            <w:r>
              <w:rPr>
                <w:rFonts w:ascii="Times New Roman" w:hAnsi="Times New Roman" w:eastAsia="Times New Roman" w:cs="Times New Roman"/>
                <w:sz w:val="22"/>
                <w:szCs w:val="22"/>
              </w:rPr>
              <w:t xml:space="preserve">: </w:t>
            </w:r>
            <w:r>
              <w:t>（一）收购贩运的动物附有检疫合格证明；（二）运输动物前、后对运输工具进行消 毒；（三）建立收购贩运台账，真实记录动物品种、数量、来源、免疫、检疫合格证 明编号、畜禽标识及运输、销售等信息。</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1642"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52</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市场监管</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其他 行政权力</w:t>
            </w:r>
          </w:p>
        </w:tc>
        <w:tc>
          <w:tcPr>
            <w:tcW w:w="2443" w:type="dxa"/>
            <w:tcBorders>
              <w:top w:val="single" w:color="auto" w:sz="4" w:space="0"/>
              <w:left w:val="single" w:color="auto" w:sz="4" w:space="0"/>
            </w:tcBorders>
            <w:shd w:val="clear" w:color="auto" w:fill="FFFFFF"/>
            <w:vAlign w:val="center"/>
          </w:tcPr>
          <w:p>
            <w:pPr>
              <w:pStyle w:val="6"/>
              <w:shd w:val="clear" w:color="auto" w:fill="auto"/>
              <w:spacing w:after="60"/>
            </w:pPr>
            <w:r>
              <w:t>食品小作坊、小经营店备</w:t>
            </w:r>
          </w:p>
          <w:p>
            <w:pPr>
              <w:pStyle w:val="6"/>
              <w:shd w:val="clear" w:color="auto" w:fill="auto"/>
            </w:pPr>
            <w:r>
              <w:t>案</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t>《四川省食品小作坊、小经营店及摊贩管理条例》第十一条 食品小作坊、小经营店 生产经营实行备案管理。食品生产经营者应当在从事生产经营活动前向生产经营所在 地县级食品监督行政部门提交下列备案材料：（一）申请书；（二）申请人的身份证复 印件及联系方式；（三）营业执照复印件；（四）从事接触直接入口食品工作的人员的 健康证明；（五）生产经营的主要食品类别或者业态。</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tcPr>
          <w:p>
            <w:pPr>
              <w:rPr>
                <w:sz w:val="10"/>
                <w:szCs w:val="10"/>
              </w:rPr>
            </w:pPr>
          </w:p>
        </w:tc>
      </w:tr>
      <w:tr>
        <w:tblPrEx>
          <w:tblLayout w:type="fixed"/>
          <w:tblCellMar>
            <w:top w:w="0" w:type="dxa"/>
            <w:left w:w="10" w:type="dxa"/>
            <w:bottom w:w="0" w:type="dxa"/>
            <w:right w:w="10" w:type="dxa"/>
          </w:tblCellMar>
        </w:tblPrEx>
        <w:trPr>
          <w:trHeight w:val="2280" w:hRule="exact"/>
          <w:jc w:val="center"/>
        </w:trPr>
        <w:tc>
          <w:tcPr>
            <w:tcW w:w="667" w:type="dxa"/>
            <w:tcBorders>
              <w:top w:val="single" w:color="auto" w:sz="4" w:space="0"/>
              <w:left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53</w:t>
            </w:r>
          </w:p>
        </w:tc>
        <w:tc>
          <w:tcPr>
            <w:tcW w:w="1450" w:type="dxa"/>
            <w:tcBorders>
              <w:top w:val="single" w:color="auto" w:sz="4" w:space="0"/>
              <w:left w:val="single" w:color="auto" w:sz="4" w:space="0"/>
            </w:tcBorders>
            <w:shd w:val="clear" w:color="auto" w:fill="FFFFFF"/>
            <w:vAlign w:val="center"/>
          </w:tcPr>
          <w:p>
            <w:pPr>
              <w:pStyle w:val="6"/>
              <w:shd w:val="clear" w:color="auto" w:fill="auto"/>
              <w:jc w:val="center"/>
            </w:pPr>
            <w:r>
              <w:t>体育</w:t>
            </w:r>
          </w:p>
        </w:tc>
        <w:tc>
          <w:tcPr>
            <w:tcW w:w="1166" w:type="dxa"/>
            <w:tcBorders>
              <w:top w:val="single" w:color="auto" w:sz="4" w:space="0"/>
              <w:left w:val="single" w:color="auto" w:sz="4" w:space="0"/>
            </w:tcBorders>
            <w:shd w:val="clear" w:color="auto" w:fill="FFFFFF"/>
            <w:vAlign w:val="center"/>
          </w:tcPr>
          <w:p>
            <w:pPr>
              <w:pStyle w:val="6"/>
              <w:shd w:val="clear" w:color="auto" w:fill="auto"/>
              <w:jc w:val="center"/>
            </w:pPr>
            <w:r>
              <w:t>其他行政权 力</w:t>
            </w:r>
          </w:p>
        </w:tc>
        <w:tc>
          <w:tcPr>
            <w:tcW w:w="2443" w:type="dxa"/>
            <w:tcBorders>
              <w:top w:val="single" w:color="auto" w:sz="4" w:space="0"/>
              <w:left w:val="single" w:color="auto" w:sz="4" w:space="0"/>
            </w:tcBorders>
            <w:shd w:val="clear" w:color="auto" w:fill="FFFFFF"/>
            <w:vAlign w:val="center"/>
          </w:tcPr>
          <w:p>
            <w:pPr>
              <w:pStyle w:val="6"/>
              <w:shd w:val="clear" w:color="auto" w:fill="auto"/>
              <w:spacing w:after="60"/>
            </w:pPr>
            <w:r>
              <w:t>对侵占、破坏公共体育设</w:t>
            </w:r>
          </w:p>
          <w:p>
            <w:pPr>
              <w:pStyle w:val="6"/>
              <w:shd w:val="clear" w:color="auto" w:fill="auto"/>
            </w:pPr>
            <w:r>
              <w:t>施的处理</w:t>
            </w:r>
          </w:p>
        </w:tc>
        <w:tc>
          <w:tcPr>
            <w:tcW w:w="8098" w:type="dxa"/>
            <w:tcBorders>
              <w:top w:val="single" w:color="auto" w:sz="4" w:space="0"/>
              <w:left w:val="single" w:color="auto" w:sz="4" w:space="0"/>
            </w:tcBorders>
            <w:shd w:val="clear" w:color="auto" w:fill="FFFFFF"/>
            <w:vAlign w:val="center"/>
          </w:tcPr>
          <w:p>
            <w:pPr>
              <w:pStyle w:val="6"/>
              <w:shd w:val="clear" w:color="auto" w:fill="auto"/>
              <w:jc w:val="both"/>
            </w:pPr>
            <w:r>
              <w:rPr>
                <w:rFonts w:ascii="Times New Roman" w:hAnsi="Times New Roman" w:eastAsia="Times New Roman" w:cs="Times New Roman"/>
                <w:sz w:val="22"/>
                <w:szCs w:val="22"/>
              </w:rPr>
              <w:t>1.</w:t>
            </w:r>
            <w:r>
              <w:t>《中华人民共和国体育法》第五十条 侵占、破坏公共体育设施的，由体育行政部 门责令限期改正，并依法承担民事责任。有前款所列行为，违反治安管理的，由公安 机关依照治安管理处罚法的有关规定给予处罚；构成犯罪的，依法追究刑事责任。</w:t>
            </w:r>
          </w:p>
          <w:p>
            <w:pPr>
              <w:pStyle w:val="6"/>
              <w:shd w:val="clear" w:color="auto" w:fill="auto"/>
              <w:jc w:val="both"/>
            </w:pPr>
            <w:r>
              <w:rPr>
                <w:rFonts w:ascii="Times New Roman" w:hAnsi="Times New Roman" w:eastAsia="Times New Roman" w:cs="Times New Roman"/>
                <w:sz w:val="22"/>
                <w:szCs w:val="22"/>
              </w:rPr>
              <w:t>2.</w:t>
            </w:r>
            <w:r>
              <w:t>《四川省全民健身条例》第四十一条 违反本条例第三十条规定，侵占、损坏公共 体育设施，擅自拆除公共体育设施或者改变其功能、用途的，由县级以上人民政府体 育行政部门责令限期改正，恢复原状；造成设施损坏的，应当赔偿损失；违反治安管 理规定的，由公安机关依法处理；构成犯罪的，依法追究刑事责任。</w:t>
            </w:r>
          </w:p>
        </w:tc>
        <w:tc>
          <w:tcPr>
            <w:tcW w:w="701" w:type="dxa"/>
            <w:tcBorders>
              <w:top w:val="single" w:color="auto" w:sz="4" w:space="0"/>
              <w:lef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right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r>
      <w:tr>
        <w:tblPrEx>
          <w:tblLayout w:type="fixed"/>
          <w:tblCellMar>
            <w:top w:w="0" w:type="dxa"/>
            <w:left w:w="10" w:type="dxa"/>
            <w:bottom w:w="0" w:type="dxa"/>
            <w:right w:w="10" w:type="dxa"/>
          </w:tblCellMar>
        </w:tblPrEx>
        <w:trPr>
          <w:trHeight w:val="1646" w:hRule="exact"/>
          <w:jc w:val="center"/>
        </w:trPr>
        <w:tc>
          <w:tcPr>
            <w:tcW w:w="667"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rFonts w:hint="default" w:eastAsia="宋体"/>
                <w:sz w:val="22"/>
                <w:szCs w:val="22"/>
                <w:lang w:val="en-US" w:eastAsia="zh-CN"/>
              </w:rPr>
            </w:pPr>
            <w:r>
              <w:rPr>
                <w:rFonts w:hint="eastAsia" w:ascii="Times New Roman" w:hAnsi="Times New Roman" w:cs="Times New Roman"/>
                <w:sz w:val="22"/>
                <w:szCs w:val="22"/>
                <w:lang w:val="en-US" w:eastAsia="zh-CN"/>
              </w:rPr>
              <w:t>54</w:t>
            </w:r>
          </w:p>
        </w:tc>
        <w:tc>
          <w:tcPr>
            <w:tcW w:w="1450"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林业和草原</w:t>
            </w:r>
          </w:p>
        </w:tc>
        <w:tc>
          <w:tcPr>
            <w:tcW w:w="1166"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pPr>
            <w:r>
              <w:t>其他 行政权力</w:t>
            </w:r>
          </w:p>
        </w:tc>
        <w:tc>
          <w:tcPr>
            <w:tcW w:w="2443" w:type="dxa"/>
            <w:tcBorders>
              <w:top w:val="single" w:color="auto" w:sz="4" w:space="0"/>
              <w:left w:val="single" w:color="auto" w:sz="4" w:space="0"/>
              <w:bottom w:val="single" w:color="auto" w:sz="4" w:space="0"/>
            </w:tcBorders>
            <w:shd w:val="clear" w:color="auto" w:fill="FFFFFF"/>
            <w:vAlign w:val="center"/>
          </w:tcPr>
          <w:p>
            <w:pPr>
              <w:pStyle w:val="6"/>
              <w:shd w:val="clear" w:color="auto" w:fill="auto"/>
              <w:spacing w:after="60"/>
            </w:pPr>
            <w:r>
              <w:t>下达森林火灾隐患整改</w:t>
            </w:r>
          </w:p>
          <w:p>
            <w:pPr>
              <w:pStyle w:val="6"/>
              <w:shd w:val="clear" w:color="auto" w:fill="auto"/>
            </w:pPr>
            <w:r>
              <w:t>通知书</w:t>
            </w:r>
          </w:p>
        </w:tc>
        <w:tc>
          <w:tcPr>
            <w:tcW w:w="8098"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both"/>
            </w:pPr>
            <w:r>
              <w:t>《森林防火条例》第二十四条 县级以上人民政府森林防火指挥机构，应当组织有关 部门对森林防火区内有关单位的森林防火组织建设、森林防火责任制落实、森林防火 设施建设等情况进行检查；对检查中发现的森林火灾隐患，县级以上地方人民政府林 业主管部门应当及时向有关单位下达森林火灾隐患整改通知书，责令限期整改，消除 隐患。被检查单位应当积极配合，不得阻挠、妨碍检查活动。</w:t>
            </w:r>
          </w:p>
        </w:tc>
        <w:tc>
          <w:tcPr>
            <w:tcW w:w="701" w:type="dxa"/>
            <w:tcBorders>
              <w:top w:val="single" w:color="auto" w:sz="4" w:space="0"/>
              <w:left w:val="single" w:color="auto" w:sz="4" w:space="0"/>
              <w:bottom w:val="single" w:color="auto" w:sz="4" w:space="0"/>
            </w:tcBorders>
            <w:shd w:val="clear" w:color="auto" w:fill="FFFFFF"/>
            <w:vAlign w:val="center"/>
          </w:tcPr>
          <w:p>
            <w:pPr>
              <w:pStyle w:val="6"/>
              <w:shd w:val="clear" w:color="auto" w:fill="auto"/>
              <w:jc w:val="center"/>
              <w:rPr>
                <w:sz w:val="22"/>
                <w:szCs w:val="22"/>
              </w:rPr>
            </w:pPr>
            <w:r>
              <w:rPr>
                <w:rFonts w:ascii="Times New Roman" w:hAnsi="Times New Roman" w:eastAsia="Times New Roman" w:cs="Times New Roman"/>
                <w:sz w:val="22"/>
                <w:szCs w:val="22"/>
              </w:rPr>
              <w:t>√</w:t>
            </w:r>
          </w:p>
        </w:tc>
        <w:tc>
          <w:tcPr>
            <w:tcW w:w="706"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r>
    </w:tbl>
    <w:p/>
    <w:sectPr>
      <w:footerReference r:id="rId8" w:type="first"/>
      <w:footerReference r:id="rId7" w:type="default"/>
      <w:pgSz w:w="16840" w:h="11900" w:orient="landscape"/>
      <w:pgMar w:top="1781" w:right="802" w:bottom="1629" w:left="807" w:header="0" w:footer="3"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Gothic">
    <w:panose1 w:val="020B0609070205080204"/>
    <w:charset w:val="80"/>
    <w:family w:val="modern"/>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62915584" behindDoc="1" locked="0" layoutInCell="1" allowOverlap="1">
              <wp:simplePos x="0" y="0"/>
              <wp:positionH relativeFrom="page">
                <wp:posOffset>4996180</wp:posOffset>
              </wp:positionH>
              <wp:positionV relativeFrom="page">
                <wp:posOffset>6585585</wp:posOffset>
              </wp:positionV>
              <wp:extent cx="704215" cy="158750"/>
              <wp:effectExtent l="0" t="0" r="0" b="0"/>
              <wp:wrapNone/>
              <wp:docPr id="13" name="Shape 13"/>
              <wp:cNvGraphicFramePr/>
              <a:graphic xmlns:a="http://schemas.openxmlformats.org/drawingml/2006/main">
                <a:graphicData uri="http://schemas.microsoft.com/office/word/2010/wordprocessingShape">
                  <wps:wsp>
                    <wps:cNvSpPr txBox="1"/>
                    <wps:spPr>
                      <a:xfrm>
                        <a:off x="0" y="0"/>
                        <a:ext cx="704215" cy="158750"/>
                      </a:xfrm>
                      <a:prstGeom prst="rect">
                        <a:avLst/>
                      </a:prstGeom>
                      <a:noFill/>
                    </wps:spPr>
                    <wps:txbx>
                      <w:txbxContent>
                        <w:p>
                          <w:pPr>
                            <w:pStyle w:val="7"/>
                            <w:shd w:val="clear" w:color="auto" w:fill="auto"/>
                            <w:rPr>
                              <w:sz w:val="28"/>
                              <w:szCs w:val="28"/>
                            </w:rPr>
                          </w:pPr>
                          <w:r>
                            <w:rPr>
                              <w:rFonts w:ascii="宋体" w:hAnsi="宋体" w:eastAsia="宋体" w:cs="宋体"/>
                              <w:sz w:val="28"/>
                              <w:szCs w:val="28"/>
                            </w:rPr>
                            <w:t xml:space="preserve">— </w:t>
                          </w:r>
                          <w:r>
                            <w:fldChar w:fldCharType="begin"/>
                          </w:r>
                          <w:r>
                            <w:instrText xml:space="preserve"> PAGE \* MERGEFORMAT </w:instrText>
                          </w:r>
                          <w:r>
                            <w:fldChar w:fldCharType="separate"/>
                          </w:r>
                          <w:r>
                            <w:rPr>
                              <w:sz w:val="28"/>
                              <w:szCs w:val="28"/>
                            </w:rPr>
                            <w:t>#</w:t>
                          </w:r>
                          <w:r>
                            <w:rPr>
                              <w:sz w:val="28"/>
                              <w:szCs w:val="28"/>
                            </w:rPr>
                            <w:fldChar w:fldCharType="end"/>
                          </w:r>
                          <w:r>
                            <w:rPr>
                              <w:sz w:val="28"/>
                              <w:szCs w:val="28"/>
                            </w:rPr>
                            <w:t xml:space="preserve"> </w:t>
                          </w:r>
                          <w:r>
                            <w:rPr>
                              <w:rFonts w:ascii="宋体" w:hAnsi="宋体" w:eastAsia="宋体" w:cs="宋体"/>
                              <w:sz w:val="28"/>
                              <w:szCs w:val="28"/>
                            </w:rPr>
                            <w:t>—</w:t>
                          </w:r>
                        </w:p>
                      </w:txbxContent>
                    </wps:txbx>
                    <wps:bodyPr wrap="none" lIns="0" tIns="0" rIns="0" bIns="0">
                      <a:spAutoFit/>
                    </wps:bodyPr>
                  </wps:wsp>
                </a:graphicData>
              </a:graphic>
            </wp:anchor>
          </w:drawing>
        </mc:Choice>
        <mc:Fallback>
          <w:pict>
            <v:shape id="Shape 13" o:spid="_x0000_s1026" o:spt="202" type="#_x0000_t202" style="position:absolute;left:0pt;margin-left:393.4pt;margin-top:518.55pt;height:12.5pt;width:55.45pt;mso-position-horizontal-relative:page;mso-position-vertical-relative:page;mso-wrap-style:none;z-index:-440400896;mso-width-relative:page;mso-height-relative:page;" filled="f" stroked="f" coordsize="21600,21600" o:gfxdata="UEsDBAoAAAAAAIdO4kAAAAAAAAAAAAAAAAAEAAAAZHJzL1BLAwQUAAAACACHTuJAx4GPENcAAAAN&#10;AQAADwAAAGRycy9kb3ducmV2LnhtbE2PPU/DMBCGdyT+g3VIbNROkZIQ4nSoxMJGQUjd3PgaR/gj&#10;st00+fdcJxjv3lfPPdfuFmfZjDGNwUsoNgIY+j7o0Q8Svj7fnmpgKSuvlQ0eJayYYNfd37Wq0eHq&#10;P3A+5IERxKdGSTA5Tw3nqTfoVNqECT1l5xCdyjTGgeuorgR3lm+FKLlTo6cLRk24N9j/HC5OQrV8&#10;B5wS7vF4nvtoxrW276uUjw+FeAWWccl/Zbjpkzp05HQKF68Ts8SoS1LPFIjnqgBGlfqlqoCdbqty&#10;WwDvWv7/i+4XUEsDBBQAAAAIAIdO4kAF1IdvjwEAACMDAAAOAAAAZHJzL2Uyb0RvYy54bWytUttO&#10;wzAMfUfiH6K8s3aDAarWIRACISFAAj4gS5M1UhNHcVi7v8fJuoHgDfGS+tbj42MvrgbbsY0KaMDV&#10;fDopOVNOQmPcuubvb3cnl5xhFK4RHThV861CfrU8Plr0vlIzaKFrVGAE4rDqfc3bGH1VFChbZQVO&#10;wCtHSQ3BikhuWBdNED2h266YleV50UNofACpECl6u0vyZcbXWsn4rDWqyLqaE7eY35DfVXqL5UJU&#10;6yB8a+RIQ/yBhRXGUdMD1K2Ign0E8wvKGhkAQceJBFuA1kaqPANNMy1/TPPaCq/yLCQO+oNM+H+w&#10;8mnzEphpaHennDlhaUe5LSOfxOk9VlTz6qkqDjcwUOE+jhRMMw862PSlaRjlSebtQVo1RCYpeFGe&#10;zaZzziSlpvPLi3mWvvj62QeM9wosS0bNA20uCyo2jxiJCJXuS1IvB3em61I8MdwxSVYcVsNIewXN&#10;llj3tNyaO7o+zroHR9qlO9gbYW+sRiOBo7/+iNQg902oO6ixGW0i0xmvJq36u5+rvm57+Q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DHgY8Q1wAAAA0BAAAPAAAAAAAAAAEAIAAAACIAAABkcnMvZG93&#10;bnJldi54bWxQSwECFAAUAAAACACHTuJABdSHb48BAAAjAwAADgAAAAAAAAABACAAAAAmAQAAZHJz&#10;L2Uyb0RvYy54bWxQSwUGAAAAAAYABgBZAQAAJwUAAAAA&#10;">
              <v:fill on="f" focussize="0,0"/>
              <v:stroke on="f"/>
              <v:imagedata o:title=""/>
              <o:lock v:ext="edit" aspectratio="f"/>
              <v:textbox inset="0mm,0mm,0mm,0mm" style="mso-fit-shape-to-text:t;">
                <w:txbxContent>
                  <w:p>
                    <w:pPr>
                      <w:pStyle w:val="7"/>
                      <w:shd w:val="clear" w:color="auto" w:fill="auto"/>
                      <w:rPr>
                        <w:sz w:val="28"/>
                        <w:szCs w:val="28"/>
                      </w:rPr>
                    </w:pPr>
                    <w:r>
                      <w:rPr>
                        <w:rFonts w:ascii="宋体" w:hAnsi="宋体" w:eastAsia="宋体" w:cs="宋体"/>
                        <w:sz w:val="28"/>
                        <w:szCs w:val="28"/>
                      </w:rPr>
                      <w:t xml:space="preserve">— </w:t>
                    </w:r>
                    <w:r>
                      <w:fldChar w:fldCharType="begin"/>
                    </w:r>
                    <w:r>
                      <w:instrText xml:space="preserve"> PAGE \* MERGEFORMAT </w:instrText>
                    </w:r>
                    <w:r>
                      <w:fldChar w:fldCharType="separate"/>
                    </w:r>
                    <w:r>
                      <w:rPr>
                        <w:sz w:val="28"/>
                        <w:szCs w:val="28"/>
                      </w:rPr>
                      <w:t>#</w:t>
                    </w:r>
                    <w:r>
                      <w:rPr>
                        <w:sz w:val="28"/>
                        <w:szCs w:val="28"/>
                      </w:rPr>
                      <w:fldChar w:fldCharType="end"/>
                    </w:r>
                    <w:r>
                      <w:rPr>
                        <w:sz w:val="28"/>
                        <w:szCs w:val="28"/>
                      </w:rPr>
                      <w:t xml:space="preserve"> </w:t>
                    </w:r>
                    <w:r>
                      <w:rPr>
                        <w:rFonts w:ascii="宋体" w:hAnsi="宋体" w:eastAsia="宋体" w:cs="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62915584" behindDoc="1" locked="0" layoutInCell="1" allowOverlap="1">
              <wp:simplePos x="0" y="0"/>
              <wp:positionH relativeFrom="page">
                <wp:posOffset>4993005</wp:posOffset>
              </wp:positionH>
              <wp:positionV relativeFrom="page">
                <wp:posOffset>6585585</wp:posOffset>
              </wp:positionV>
              <wp:extent cx="445135" cy="158750"/>
              <wp:effectExtent l="0" t="0" r="0" b="0"/>
              <wp:wrapNone/>
              <wp:docPr id="15" name="Shape 15"/>
              <wp:cNvGraphicFramePr/>
              <a:graphic xmlns:a="http://schemas.openxmlformats.org/drawingml/2006/main">
                <a:graphicData uri="http://schemas.microsoft.com/office/word/2010/wordprocessingShape">
                  <wps:wsp>
                    <wps:cNvSpPr txBox="1"/>
                    <wps:spPr>
                      <a:xfrm>
                        <a:off x="0" y="0"/>
                        <a:ext cx="445135" cy="158750"/>
                      </a:xfrm>
                      <a:prstGeom prst="rect">
                        <a:avLst/>
                      </a:prstGeom>
                      <a:noFill/>
                    </wps:spPr>
                    <wps:txbx>
                      <w:txbxContent>
                        <w:p>
                          <w:pPr>
                            <w:pStyle w:val="7"/>
                            <w:shd w:val="clear" w:color="auto" w:fill="auto"/>
                            <w:rPr>
                              <w:sz w:val="28"/>
                              <w:szCs w:val="28"/>
                            </w:rPr>
                          </w:pPr>
                          <w:r>
                            <w:rPr>
                              <w:rFonts w:ascii="宋体" w:hAnsi="宋体" w:eastAsia="宋体" w:cs="宋体"/>
                              <w:sz w:val="28"/>
                              <w:szCs w:val="28"/>
                            </w:rPr>
                            <w:t xml:space="preserve">— </w:t>
                          </w:r>
                          <w:r>
                            <w:fldChar w:fldCharType="begin"/>
                          </w:r>
                          <w:r>
                            <w:instrText xml:space="preserve"> PAGE \* MERGEFORMAT </w:instrText>
                          </w:r>
                          <w:r>
                            <w:fldChar w:fldCharType="separate"/>
                          </w:r>
                          <w:r>
                            <w:rPr>
                              <w:sz w:val="28"/>
                              <w:szCs w:val="28"/>
                            </w:rPr>
                            <w:t>#</w:t>
                          </w:r>
                          <w:r>
                            <w:rPr>
                              <w:sz w:val="28"/>
                              <w:szCs w:val="28"/>
                            </w:rPr>
                            <w:fldChar w:fldCharType="end"/>
                          </w:r>
                        </w:p>
                      </w:txbxContent>
                    </wps:txbx>
                    <wps:bodyPr wrap="none" lIns="0" tIns="0" rIns="0" bIns="0">
                      <a:spAutoFit/>
                    </wps:bodyPr>
                  </wps:wsp>
                </a:graphicData>
              </a:graphic>
            </wp:anchor>
          </w:drawing>
        </mc:Choice>
        <mc:Fallback>
          <w:pict>
            <v:shape id="Shape 15" o:spid="_x0000_s1026" o:spt="202" type="#_x0000_t202" style="position:absolute;left:0pt;margin-left:393.15pt;margin-top:518.55pt;height:12.5pt;width:35.05pt;mso-position-horizontal-relative:page;mso-position-vertical-relative:page;mso-wrap-style:none;z-index:-440400896;mso-width-relative:page;mso-height-relative:page;" filled="f" stroked="f" coordsize="21600,21600" o:gfxdata="UEsDBAoAAAAAAIdO4kAAAAAAAAAAAAAAAAAEAAAAZHJzL1BLAwQUAAAACACHTuJAqrlrtdgAAAAN&#10;AQAADwAAAGRycy9kb3ducmV2LnhtbE2PPU/DMBCGdyT+g3VIbNROC2kU4nSoxMJGQZXY3PgaR/gj&#10;st00+fdcJxjv3lfPPdfsZmfZhDENwUsoVgIY+i7owfcSvj7fnipgKSuvlQ0eJSyYYNfe3zWq1uHq&#10;P3A65J4RxKdaSTA5jzXnqTPoVFqFET1l5xCdyjTGnuuorgR3lq+FKLlTg6cLRo24N9j9HC5OwnY+&#10;BhwT7vH7PHXRDEtl3xcpHx8K8Qos45z/ynDTJ3VoyekULl4nZolRlRuqUiA22wIYVaqX8hnY6bYq&#10;1wXwtuH/v2h/AVBLAwQUAAAACACHTuJANznAwo8BAAAjAwAADgAAAGRycy9lMm9Eb2MueG1srVLb&#10;TsMwDH1H4h+ivLNusAGq1iEQGkJCgDT4gCxN1khNHMVh7f4eJ+sGgjfES+pbj4+PPb/pbcu2KqAB&#10;V/HJaMyZchJq4zYVf39bnl1zhlG4WrTgVMV3CvnN4vRk3vlSnUMDba0CIxCHZecr3sToy6JA2Sgr&#10;cAReOUpqCFZEcsOmqIPoCN22xfl4fFl0EGofQCpEit7vk3yR8bVWMr5ojSqytuLELeY35Hed3mIx&#10;F+UmCN8YOdAQf2BhhXHU9Ah1L6JgH8H8grJGBkDQcSTBFqC1kSrPQNNMxj+mWTXCqzwLiYP+KBP+&#10;H6x83r4GZmra3YwzJyztKLdl5JM4nceSalaeqmJ/Bz0VHuJIwTRzr4NNX5qGUZ5k3h2lVX1kkoLT&#10;6WxyQR0kpSaz66tZlr74+tkHjA8KLEtGxQNtLgsqtk8YiQiVHkpSLwdL07YpnhjumSQr9ut+oL2G&#10;ekesO1puxR1dH2ftoyPt0h0cjHAw1oORwNHffkRqkPsm1D3U0Iw2kekMV5NW/d3PVV+3vfg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AQAAFtD&#10;b250ZW50X1R5cGVzXS54bWxQSwECFAAKAAAAAACHTuJAAAAAAAAAAAAAAAAABgAAAAAAAAAAABAA&#10;AADiAgAAX3JlbHMvUEsBAhQAFAAAAAgAh07iQIoUZjzRAAAAlAEAAAsAAAAAAAAAAQAgAAAABgMA&#10;AF9yZWxzLy5yZWxzUEsBAhQACgAAAAAAh07iQAAAAAAAAAAAAAAAAAQAAAAAAAAAAAAQAAAAAAAA&#10;AGRycy9QSwECFAAUAAAACACHTuJAqrlrtdgAAAANAQAADwAAAAAAAAABACAAAAAiAAAAZHJzL2Rv&#10;d25yZXYueG1sUEsBAhQAFAAAAAgAh07iQDc5wMKPAQAAIwMAAA4AAAAAAAAAAQAgAAAAJwEAAGRy&#10;cy9lMm9Eb2MueG1sUEsFBgAAAAAGAAYAWQEAACgFAAAAAA==&#10;">
              <v:fill on="f" focussize="0,0"/>
              <v:stroke on="f"/>
              <v:imagedata o:title=""/>
              <o:lock v:ext="edit" aspectratio="f"/>
              <v:textbox inset="0mm,0mm,0mm,0mm" style="mso-fit-shape-to-text:t;">
                <w:txbxContent>
                  <w:p>
                    <w:pPr>
                      <w:pStyle w:val="7"/>
                      <w:shd w:val="clear" w:color="auto" w:fill="auto"/>
                      <w:rPr>
                        <w:sz w:val="28"/>
                        <w:szCs w:val="28"/>
                      </w:rPr>
                    </w:pPr>
                    <w:r>
                      <w:rPr>
                        <w:rFonts w:ascii="宋体" w:hAnsi="宋体" w:eastAsia="宋体" w:cs="宋体"/>
                        <w:sz w:val="28"/>
                        <w:szCs w:val="28"/>
                      </w:rPr>
                      <w:t xml:space="preserve">— </w:t>
                    </w:r>
                    <w:r>
                      <w:fldChar w:fldCharType="begin"/>
                    </w:r>
                    <w:r>
                      <w:instrText xml:space="preserve"> PAGE \* MERGEFORMAT </w:instrText>
                    </w:r>
                    <w:r>
                      <w:fldChar w:fldCharType="separate"/>
                    </w:r>
                    <w:r>
                      <w:rPr>
                        <w:sz w:val="28"/>
                        <w:szCs w:val="28"/>
                      </w:rPr>
                      <w:t>#</w:t>
                    </w:r>
                    <w:r>
                      <w:rPr>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62915584" behindDoc="1" locked="0" layoutInCell="1" allowOverlap="1">
              <wp:simplePos x="0" y="0"/>
              <wp:positionH relativeFrom="page">
                <wp:posOffset>4996180</wp:posOffset>
              </wp:positionH>
              <wp:positionV relativeFrom="page">
                <wp:posOffset>6585585</wp:posOffset>
              </wp:positionV>
              <wp:extent cx="704215" cy="158750"/>
              <wp:effectExtent l="0" t="0" r="0" b="0"/>
              <wp:wrapNone/>
              <wp:docPr id="17" name="Shape 17"/>
              <wp:cNvGraphicFramePr/>
              <a:graphic xmlns:a="http://schemas.openxmlformats.org/drawingml/2006/main">
                <a:graphicData uri="http://schemas.microsoft.com/office/word/2010/wordprocessingShape">
                  <wps:wsp>
                    <wps:cNvSpPr txBox="1"/>
                    <wps:spPr>
                      <a:xfrm>
                        <a:off x="0" y="0"/>
                        <a:ext cx="704215" cy="158750"/>
                      </a:xfrm>
                      <a:prstGeom prst="rect">
                        <a:avLst/>
                      </a:prstGeom>
                      <a:noFill/>
                    </wps:spPr>
                    <wps:txbx>
                      <w:txbxContent>
                        <w:p>
                          <w:pPr>
                            <w:pStyle w:val="7"/>
                            <w:shd w:val="clear" w:color="auto" w:fill="auto"/>
                            <w:rPr>
                              <w:sz w:val="28"/>
                              <w:szCs w:val="28"/>
                            </w:rPr>
                          </w:pPr>
                          <w:r>
                            <w:rPr>
                              <w:rFonts w:ascii="宋体" w:hAnsi="宋体" w:eastAsia="宋体" w:cs="宋体"/>
                              <w:sz w:val="28"/>
                              <w:szCs w:val="28"/>
                            </w:rPr>
                            <w:t xml:space="preserve">— </w:t>
                          </w:r>
                          <w:r>
                            <w:fldChar w:fldCharType="begin"/>
                          </w:r>
                          <w:r>
                            <w:instrText xml:space="preserve"> PAGE \* MERGEFORMAT </w:instrText>
                          </w:r>
                          <w:r>
                            <w:fldChar w:fldCharType="separate"/>
                          </w:r>
                          <w:r>
                            <w:rPr>
                              <w:sz w:val="28"/>
                              <w:szCs w:val="28"/>
                            </w:rPr>
                            <w:t>#</w:t>
                          </w:r>
                          <w:r>
                            <w:rPr>
                              <w:sz w:val="28"/>
                              <w:szCs w:val="28"/>
                            </w:rPr>
                            <w:fldChar w:fldCharType="end"/>
                          </w:r>
                          <w:r>
                            <w:rPr>
                              <w:sz w:val="28"/>
                              <w:szCs w:val="28"/>
                            </w:rPr>
                            <w:t xml:space="preserve"> </w:t>
                          </w:r>
                          <w:r>
                            <w:rPr>
                              <w:rFonts w:ascii="宋体" w:hAnsi="宋体" w:eastAsia="宋体" w:cs="宋体"/>
                              <w:sz w:val="28"/>
                              <w:szCs w:val="28"/>
                            </w:rPr>
                            <w:t>—</w:t>
                          </w:r>
                        </w:p>
                      </w:txbxContent>
                    </wps:txbx>
                    <wps:bodyPr wrap="none" lIns="0" tIns="0" rIns="0" bIns="0">
                      <a:spAutoFit/>
                    </wps:bodyPr>
                  </wps:wsp>
                </a:graphicData>
              </a:graphic>
            </wp:anchor>
          </w:drawing>
        </mc:Choice>
        <mc:Fallback>
          <w:pict>
            <v:shape id="Shape 17" o:spid="_x0000_s1026" o:spt="202" type="#_x0000_t202" style="position:absolute;left:0pt;margin-left:393.4pt;margin-top:518.55pt;height:12.5pt;width:55.45pt;mso-position-horizontal-relative:page;mso-position-vertical-relative:page;mso-wrap-style:none;z-index:-440400896;mso-width-relative:page;mso-height-relative:page;" filled="f" stroked="f" coordsize="21600,21600" o:gfxdata="UEsDBAoAAAAAAIdO4kAAAAAAAAAAAAAAAAAEAAAAZHJzL1BLAwQUAAAACACHTuJAx4GPENcAAAAN&#10;AQAADwAAAGRycy9kb3ducmV2LnhtbE2PPU/DMBCGdyT+g3VIbNROkZIQ4nSoxMJGQUjd3PgaR/gj&#10;st00+fdcJxjv3lfPPdfuFmfZjDGNwUsoNgIY+j7o0Q8Svj7fnmpgKSuvlQ0eJayYYNfd37Wq0eHq&#10;P3A+5IERxKdGSTA5Tw3nqTfoVNqECT1l5xCdyjTGgeuorgR3lm+FKLlTo6cLRk24N9j/HC5OQrV8&#10;B5wS7vF4nvtoxrW276uUjw+FeAWWccl/Zbjpkzp05HQKF68Ts8SoS1LPFIjnqgBGlfqlqoCdbqty&#10;WwDvWv7/i+4XUEsDBBQAAAAIAIdO4kBE0H/VjwEAACMDAAAOAAAAZHJzL2Uyb0RvYy54bWytUm1L&#10;wzAQ/i74H0K+u3bDOSnrRBFFEBXUH5ClyRpociEX1+7fe8m6KfpN/JLeW5977rlbXg22Y1sV0ICr&#10;+XRScqachMa4Tc3f3+7OLjnDKFwjOnCq5juF/Gp1erLsfaVm0ELXqMAIxGHV+5q3MfqqKFC2ygqc&#10;gFeOkhqCFZHcsCmaIHpCt10xK8uLoofQ+ABSIVL0dp/kq4yvtZLxWWtUkXU1J24xvyG/6/QWq6Wo&#10;NkH41siRhvgDCyuMo6ZHqFsRBfsI5heUNTIAgo4TCbYArY1UeQaaZlr+mOa1FV7lWUgc9EeZ8P9g&#10;5dP2JTDT0O4WnDlhaUe5LSOfxOk9VlTz6qkqDjcwUOEhjhRMMw862PSlaRjlSebdUVo1RCYpuCjP&#10;Z9M5Z5JS0/nlYp6lL75+9gHjvQLLklHzQJvLgortI0YiQqWHktTLwZ3puhRPDPdMkhWH9TDSXkOz&#10;I9Y9Lbfmjq6Ps+7BkXbpDg5GOBjr0Ujg6K8/IjXIfRPqHmpsRpvIdMarSav+7ueqr9tefQ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DHgY8Q1wAAAA0BAAAPAAAAAAAAAAEAIAAAACIAAABkcnMvZG93&#10;bnJldi54bWxQSwECFAAUAAAACACHTuJARNB/1Y8BAAAjAwAADgAAAAAAAAABACAAAAAmAQAAZHJz&#10;L2Uyb0RvYy54bWxQSwUGAAAAAAYABgBZAQAAJwUAAAAA&#10;">
              <v:fill on="f" focussize="0,0"/>
              <v:stroke on="f"/>
              <v:imagedata o:title=""/>
              <o:lock v:ext="edit" aspectratio="f"/>
              <v:textbox inset="0mm,0mm,0mm,0mm" style="mso-fit-shape-to-text:t;">
                <w:txbxContent>
                  <w:p>
                    <w:pPr>
                      <w:pStyle w:val="7"/>
                      <w:shd w:val="clear" w:color="auto" w:fill="auto"/>
                      <w:rPr>
                        <w:sz w:val="28"/>
                        <w:szCs w:val="28"/>
                      </w:rPr>
                    </w:pPr>
                    <w:r>
                      <w:rPr>
                        <w:rFonts w:ascii="宋体" w:hAnsi="宋体" w:eastAsia="宋体" w:cs="宋体"/>
                        <w:sz w:val="28"/>
                        <w:szCs w:val="28"/>
                      </w:rPr>
                      <w:t xml:space="preserve">— </w:t>
                    </w:r>
                    <w:r>
                      <w:fldChar w:fldCharType="begin"/>
                    </w:r>
                    <w:r>
                      <w:instrText xml:space="preserve"> PAGE \* MERGEFORMAT </w:instrText>
                    </w:r>
                    <w:r>
                      <w:fldChar w:fldCharType="separate"/>
                    </w:r>
                    <w:r>
                      <w:rPr>
                        <w:sz w:val="28"/>
                        <w:szCs w:val="28"/>
                      </w:rPr>
                      <w:t>#</w:t>
                    </w:r>
                    <w:r>
                      <w:rPr>
                        <w:sz w:val="28"/>
                        <w:szCs w:val="28"/>
                      </w:rPr>
                      <w:fldChar w:fldCharType="end"/>
                    </w:r>
                    <w:r>
                      <w:rPr>
                        <w:sz w:val="28"/>
                        <w:szCs w:val="28"/>
                      </w:rPr>
                      <w:t xml:space="preserve"> </w:t>
                    </w:r>
                    <w:r>
                      <w:rPr>
                        <w:rFonts w:ascii="宋体" w:hAnsi="宋体" w:eastAsia="宋体" w:cs="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62915584" behindDoc="1" locked="0" layoutInCell="1" allowOverlap="1">
              <wp:simplePos x="0" y="0"/>
              <wp:positionH relativeFrom="page">
                <wp:posOffset>4993005</wp:posOffset>
              </wp:positionH>
              <wp:positionV relativeFrom="page">
                <wp:posOffset>6585585</wp:posOffset>
              </wp:positionV>
              <wp:extent cx="445135" cy="158750"/>
              <wp:effectExtent l="0" t="0" r="0" b="0"/>
              <wp:wrapNone/>
              <wp:docPr id="19" name="Shape 19"/>
              <wp:cNvGraphicFramePr/>
              <a:graphic xmlns:a="http://schemas.openxmlformats.org/drawingml/2006/main">
                <a:graphicData uri="http://schemas.microsoft.com/office/word/2010/wordprocessingShape">
                  <wps:wsp>
                    <wps:cNvSpPr txBox="1"/>
                    <wps:spPr>
                      <a:xfrm>
                        <a:off x="0" y="0"/>
                        <a:ext cx="445135" cy="158750"/>
                      </a:xfrm>
                      <a:prstGeom prst="rect">
                        <a:avLst/>
                      </a:prstGeom>
                      <a:noFill/>
                    </wps:spPr>
                    <wps:txbx>
                      <w:txbxContent>
                        <w:p>
                          <w:pPr>
                            <w:pStyle w:val="8"/>
                            <w:shd w:val="clear" w:color="auto" w:fill="auto"/>
                          </w:pPr>
                          <w:r>
                            <w:t xml:space="preserve">— </w:t>
                          </w:r>
                          <w:r>
                            <w:fldChar w:fldCharType="begin"/>
                          </w:r>
                          <w:r>
                            <w:instrText xml:space="preserve"> PAGE \* MERGEFORMAT </w:instrText>
                          </w:r>
                          <w:r>
                            <w:fldChar w:fldCharType="separate"/>
                          </w:r>
                          <w:r>
                            <w:rPr>
                              <w:rFonts w:ascii="Times New Roman" w:hAnsi="Times New Roman" w:eastAsia="Times New Roman" w:cs="Times New Roman"/>
                            </w:rPr>
                            <w:t>#</w:t>
                          </w:r>
                          <w:r>
                            <w:rPr>
                              <w:rFonts w:ascii="Times New Roman" w:hAnsi="Times New Roman" w:eastAsia="Times New Roman" w:cs="Times New Roman"/>
                            </w:rPr>
                            <w:fldChar w:fldCharType="end"/>
                          </w:r>
                        </w:p>
                      </w:txbxContent>
                    </wps:txbx>
                    <wps:bodyPr wrap="none" lIns="0" tIns="0" rIns="0" bIns="0">
                      <a:spAutoFit/>
                    </wps:bodyPr>
                  </wps:wsp>
                </a:graphicData>
              </a:graphic>
            </wp:anchor>
          </w:drawing>
        </mc:Choice>
        <mc:Fallback>
          <w:pict>
            <v:shape id="Shape 19" o:spid="_x0000_s1026" o:spt="202" type="#_x0000_t202" style="position:absolute;left:0pt;margin-left:393.15pt;margin-top:518.55pt;height:12.5pt;width:35.05pt;mso-position-horizontal-relative:page;mso-position-vertical-relative:page;mso-wrap-style:none;z-index:-440400896;mso-width-relative:page;mso-height-relative:page;" filled="f" stroked="f" coordsize="21600,21600" o:gfxdata="UEsDBAoAAAAAAIdO4kAAAAAAAAAAAAAAAAAEAAAAZHJzL1BLAwQUAAAACACHTuJAqrlrtdgAAAAN&#10;AQAADwAAAGRycy9kb3ducmV2LnhtbE2PPU/DMBCGdyT+g3VIbNROC2kU4nSoxMJGQZXY3PgaR/gj&#10;st00+fdcJxjv3lfPPdfsZmfZhDENwUsoVgIY+i7owfcSvj7fnipgKSuvlQ0eJSyYYNfe3zWq1uHq&#10;P3A65J4RxKdaSTA5jzXnqTPoVFqFET1l5xCdyjTGnuuorgR3lq+FKLlTg6cLRo24N9j9HC5OwnY+&#10;BhwT7vH7PHXRDEtl3xcpHx8K8Qos45z/ynDTJ3VoyekULl4nZolRlRuqUiA22wIYVaqX8hnY6bYq&#10;1wXwtuH/v2h/AVBLAwQUAAAACACHTuJAtTO51pABAAAjAwAADgAAAGRycy9lMm9Eb2MueG1srVLb&#10;TsMwDH1H4h+ivLNusHGp1k0gBEJCgAR8QJYma6QmjuKwdn+Pk3UDwRviJfWtx8fHni9727KNCmjA&#10;VXwyGnOmnITauHXF39/uTi45wyhcLVpwquJbhXy5OD6ad75Up9BAW6vACMRh2fmKNzH6sihQNsoK&#10;HIFXjpIaghWR3LAu6iA6QrdtcToenxcdhNoHkAqRore7JF9kfK2VjM9ao4qsrThxi/kN+V2lt1jM&#10;RbkOwjdGDjTEH1hYYRw1PUDdiijYRzC/oKyRARB0HEmwBWhtpMoz0DST8Y9pXhvhVZ6FxEF/kAn/&#10;D1Y+bV4CMzXt7oozJyztKLdl5JM4nceSal49VcX+Bnoq3MeRgmnmXgebvjQNozzJvD1Iq/rIJAWn&#10;09nkbMaZpNRkdnkxy9IXXz/7gPFegWXJqHigzWVBxeYRIxGh0n1J6uXgzrRtiieGOybJiv2qH2iv&#10;oN4S646WW3FH18dZ++BIu3QHeyPsjdVgJHD01x+RGuS+CXUHNTSjTWQ6w9WkVX/3c9XXbS8+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Kq5a7XYAAAADQEAAA8AAAAAAAAAAQAgAAAAIgAAAGRycy9k&#10;b3ducmV2LnhtbFBLAQIUABQAAAAIAIdO4kC1M7nWkAEAACMDAAAOAAAAAAAAAAEAIAAAACcBAABk&#10;cnMvZTJvRG9jLnhtbFBLBQYAAAAABgAGAFkBAAApBQAAAAA=&#10;">
              <v:fill on="f" focussize="0,0"/>
              <v:stroke on="f"/>
              <v:imagedata o:title=""/>
              <o:lock v:ext="edit" aspectratio="f"/>
              <v:textbox inset="0mm,0mm,0mm,0mm" style="mso-fit-shape-to-text:t;">
                <w:txbxContent>
                  <w:p>
                    <w:pPr>
                      <w:pStyle w:val="8"/>
                      <w:shd w:val="clear" w:color="auto" w:fill="auto"/>
                    </w:pPr>
                    <w:r>
                      <w:t xml:space="preserve">— </w:t>
                    </w:r>
                    <w:r>
                      <w:fldChar w:fldCharType="begin"/>
                    </w:r>
                    <w:r>
                      <w:instrText xml:space="preserve"> PAGE \* MERGEFORMAT </w:instrText>
                    </w:r>
                    <w:r>
                      <w:fldChar w:fldCharType="separate"/>
                    </w:r>
                    <w:r>
                      <w:rPr>
                        <w:rFonts w:ascii="Times New Roman" w:hAnsi="Times New Roman" w:eastAsia="Times New Roman" w:cs="Times New Roman"/>
                      </w:rPr>
                      <w:t>#</w:t>
                    </w:r>
                    <w:r>
                      <w:rPr>
                        <w:rFonts w:ascii="Times New Roman" w:hAnsi="Times New Roman" w:eastAsia="Times New Roman" w:cs="Times New Roma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62915584" behindDoc="1" locked="0" layoutInCell="1" allowOverlap="1">
              <wp:simplePos x="0" y="0"/>
              <wp:positionH relativeFrom="page">
                <wp:posOffset>4996180</wp:posOffset>
              </wp:positionH>
              <wp:positionV relativeFrom="page">
                <wp:posOffset>6585585</wp:posOffset>
              </wp:positionV>
              <wp:extent cx="704215" cy="158750"/>
              <wp:effectExtent l="0" t="0" r="0" b="0"/>
              <wp:wrapNone/>
              <wp:docPr id="21" name="Shape 21"/>
              <wp:cNvGraphicFramePr/>
              <a:graphic xmlns:a="http://schemas.openxmlformats.org/drawingml/2006/main">
                <a:graphicData uri="http://schemas.microsoft.com/office/word/2010/wordprocessingShape">
                  <wps:wsp>
                    <wps:cNvSpPr txBox="1"/>
                    <wps:spPr>
                      <a:xfrm>
                        <a:off x="0" y="0"/>
                        <a:ext cx="704215" cy="158750"/>
                      </a:xfrm>
                      <a:prstGeom prst="rect">
                        <a:avLst/>
                      </a:prstGeom>
                      <a:noFill/>
                    </wps:spPr>
                    <wps:txbx>
                      <w:txbxContent>
                        <w:p>
                          <w:pPr>
                            <w:pStyle w:val="7"/>
                            <w:shd w:val="clear" w:color="auto" w:fill="auto"/>
                            <w:rPr>
                              <w:sz w:val="28"/>
                              <w:szCs w:val="28"/>
                            </w:rPr>
                          </w:pPr>
                          <w:r>
                            <w:rPr>
                              <w:rFonts w:ascii="宋体" w:hAnsi="宋体" w:eastAsia="宋体" w:cs="宋体"/>
                              <w:sz w:val="28"/>
                              <w:szCs w:val="28"/>
                            </w:rPr>
                            <w:t xml:space="preserve">— </w:t>
                          </w:r>
                          <w:r>
                            <w:fldChar w:fldCharType="begin"/>
                          </w:r>
                          <w:r>
                            <w:instrText xml:space="preserve"> PAGE \* MERGEFORMAT </w:instrText>
                          </w:r>
                          <w:r>
                            <w:fldChar w:fldCharType="separate"/>
                          </w:r>
                          <w:r>
                            <w:rPr>
                              <w:sz w:val="28"/>
                              <w:szCs w:val="28"/>
                            </w:rPr>
                            <w:t>#</w:t>
                          </w:r>
                          <w:r>
                            <w:rPr>
                              <w:sz w:val="28"/>
                              <w:szCs w:val="28"/>
                            </w:rPr>
                            <w:fldChar w:fldCharType="end"/>
                          </w:r>
                          <w:r>
                            <w:rPr>
                              <w:sz w:val="28"/>
                              <w:szCs w:val="28"/>
                            </w:rPr>
                            <w:t xml:space="preserve"> </w:t>
                          </w:r>
                          <w:r>
                            <w:rPr>
                              <w:rFonts w:ascii="宋体" w:hAnsi="宋体" w:eastAsia="宋体" w:cs="宋体"/>
                              <w:sz w:val="28"/>
                              <w:szCs w:val="28"/>
                            </w:rPr>
                            <w:t>—</w:t>
                          </w:r>
                        </w:p>
                      </w:txbxContent>
                    </wps:txbx>
                    <wps:bodyPr wrap="none" lIns="0" tIns="0" rIns="0" bIns="0">
                      <a:spAutoFit/>
                    </wps:bodyPr>
                  </wps:wsp>
                </a:graphicData>
              </a:graphic>
            </wp:anchor>
          </w:drawing>
        </mc:Choice>
        <mc:Fallback>
          <w:pict>
            <v:shape id="Shape 21" o:spid="_x0000_s1026" o:spt="202" type="#_x0000_t202" style="position:absolute;left:0pt;margin-left:393.4pt;margin-top:518.55pt;height:12.5pt;width:55.45pt;mso-position-horizontal-relative:page;mso-position-vertical-relative:page;mso-wrap-style:none;z-index:-440400896;mso-width-relative:page;mso-height-relative:page;" filled="f" stroked="f" coordsize="21600,21600" o:gfxdata="UEsDBAoAAAAAAIdO4kAAAAAAAAAAAAAAAAAEAAAAZHJzL1BLAwQUAAAACACHTuJAx4GPENcAAAAN&#10;AQAADwAAAGRycy9kb3ducmV2LnhtbE2PPU/DMBCGdyT+g3VIbNROkZIQ4nSoxMJGQUjd3PgaR/gj&#10;st00+fdcJxjv3lfPPdfuFmfZjDGNwUsoNgIY+j7o0Q8Svj7fnmpgKSuvlQ0eJayYYNfd37Wq0eHq&#10;P3A+5IERxKdGSTA5Tw3nqTfoVNqECT1l5xCdyjTGgeuorgR3lm+FKLlTo6cLRk24N9j/HC5OQrV8&#10;B5wS7vF4nvtoxrW276uUjw+FeAWWccl/Zbjpkzp05HQKF68Ts8SoS1LPFIjnqgBGlfqlqoCdbqty&#10;WwDvWv7/i+4XUEsDBBQAAAAIAIdO4kDkcBMykgEAACMDAAAOAAAAZHJzL2Uyb0RvYy54bWytUttO&#10;4zAQfUfiHyy/0yQVXVDUFIFQ0UorQAI+wHXsxlLssTxuk/79jt20rJY3xIszt5w5c2aWd6Pt2V4F&#10;NOAaXs1KzpST0Bq3bfjH+/rqljOMwrWiB6caflDI71aXF8vB12oOHfStCoxAHNaDb3gXo6+LAmWn&#10;rMAZeOUoqSFYEckN26INYiB02xfzsvxVDBBaH0AqRIo+HpN8lfG1VjK+aI0qsr7hxC3mN+R3k95i&#10;tRT1NgjfGTnREN9gYYVx1PQM9SiiYLtgvkBZIwMg6DiTYAvQ2kiVZ6BpqvK/ad464VWehcRBf5YJ&#10;fw5WPu9fAzNtw+cVZ05Y2lFuy8gncQaPNdW8eaqK4wOMtORTHCmYZh51sOlL0zDKk8yHs7RqjExS&#10;8Ka8nlcLziSlqsXtzSJLX3z+7APGJwWWJaPhgTaXBRX7PxiJCJWeSlIvB2vT9ymeGB6ZJCuOm3Gi&#10;vYH2QKwHWm7DHV0fZ/1vR9qlOzgZ4WRsJiOBo7/fRWqQ+ybUI9TUjDaR6UxXk1b9r5+rPm979R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CBAAA&#10;W0NvbnRlbnRfVHlwZXNdLnhtbFBLAQIUAAoAAAAAAIdO4kAAAAAAAAAAAAAAAAAGAAAAAAAAAAAA&#10;EAAAAOQCAABfcmVscy9QSwECFAAUAAAACACHTuJAihRmPNEAAACUAQAACwAAAAAAAAABACAAAAAI&#10;AwAAX3JlbHMvLnJlbHNQSwECFAAKAAAAAACHTuJAAAAAAAAAAAAAAAAABAAAAAAAAAAAABAAAAAA&#10;AAAAZHJzL1BLAQIUABQAAAAIAIdO4kDHgY8Q1wAAAA0BAAAPAAAAAAAAAAEAIAAAACIAAABkcnMv&#10;ZG93bnJldi54bWxQSwECFAAUAAAACACHTuJA5HATMpIBAAAjAwAADgAAAAAAAAABACAAAAAmAQAA&#10;ZHJzL2Uyb0RvYy54bWxQSwUGAAAAAAYABgBZAQAAKgUAAAAA&#10;">
              <v:fill on="f" focussize="0,0"/>
              <v:stroke on="f"/>
              <v:imagedata o:title=""/>
              <o:lock v:ext="edit" aspectratio="f"/>
              <v:textbox inset="0mm,0mm,0mm,0mm" style="mso-fit-shape-to-text:t;">
                <w:txbxContent>
                  <w:p>
                    <w:pPr>
                      <w:pStyle w:val="7"/>
                      <w:shd w:val="clear" w:color="auto" w:fill="auto"/>
                      <w:rPr>
                        <w:sz w:val="28"/>
                        <w:szCs w:val="28"/>
                      </w:rPr>
                    </w:pPr>
                    <w:r>
                      <w:rPr>
                        <w:rFonts w:ascii="宋体" w:hAnsi="宋体" w:eastAsia="宋体" w:cs="宋体"/>
                        <w:sz w:val="28"/>
                        <w:szCs w:val="28"/>
                      </w:rPr>
                      <w:t xml:space="preserve">— </w:t>
                    </w:r>
                    <w:r>
                      <w:fldChar w:fldCharType="begin"/>
                    </w:r>
                    <w:r>
                      <w:instrText xml:space="preserve"> PAGE \* MERGEFORMAT </w:instrText>
                    </w:r>
                    <w:r>
                      <w:fldChar w:fldCharType="separate"/>
                    </w:r>
                    <w:r>
                      <w:rPr>
                        <w:sz w:val="28"/>
                        <w:szCs w:val="28"/>
                      </w:rPr>
                      <w:t>#</w:t>
                    </w:r>
                    <w:r>
                      <w:rPr>
                        <w:sz w:val="28"/>
                        <w:szCs w:val="28"/>
                      </w:rPr>
                      <w:fldChar w:fldCharType="end"/>
                    </w:r>
                    <w:r>
                      <w:rPr>
                        <w:sz w:val="28"/>
                        <w:szCs w:val="28"/>
                      </w:rPr>
                      <w:t xml:space="preserve"> </w:t>
                    </w:r>
                    <w:r>
                      <w:rPr>
                        <w:rFonts w:ascii="宋体" w:hAnsi="宋体" w:eastAsia="宋体" w:cs="宋体"/>
                        <w:sz w:val="28"/>
                        <w:szCs w:val="28"/>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62915584" behindDoc="1" locked="0" layoutInCell="1" allowOverlap="1">
              <wp:simplePos x="0" y="0"/>
              <wp:positionH relativeFrom="page">
                <wp:posOffset>4993005</wp:posOffset>
              </wp:positionH>
              <wp:positionV relativeFrom="page">
                <wp:posOffset>6585585</wp:posOffset>
              </wp:positionV>
              <wp:extent cx="445135" cy="158750"/>
              <wp:effectExtent l="0" t="0" r="0" b="0"/>
              <wp:wrapNone/>
              <wp:docPr id="23" name="Shape 23"/>
              <wp:cNvGraphicFramePr/>
              <a:graphic xmlns:a="http://schemas.openxmlformats.org/drawingml/2006/main">
                <a:graphicData uri="http://schemas.microsoft.com/office/word/2010/wordprocessingShape">
                  <wps:wsp>
                    <wps:cNvSpPr txBox="1"/>
                    <wps:spPr>
                      <a:xfrm>
                        <a:off x="0" y="0"/>
                        <a:ext cx="445135" cy="158750"/>
                      </a:xfrm>
                      <a:prstGeom prst="rect">
                        <a:avLst/>
                      </a:prstGeom>
                      <a:noFill/>
                    </wps:spPr>
                    <wps:txbx>
                      <w:txbxContent>
                        <w:p>
                          <w:pPr>
                            <w:pStyle w:val="8"/>
                            <w:shd w:val="clear" w:color="auto" w:fill="auto"/>
                          </w:pPr>
                          <w:r>
                            <w:t xml:space="preserve">— </w:t>
                          </w:r>
                          <w:r>
                            <w:fldChar w:fldCharType="begin"/>
                          </w:r>
                          <w:r>
                            <w:instrText xml:space="preserve"> PAGE \* MERGEFORMAT </w:instrText>
                          </w:r>
                          <w:r>
                            <w:fldChar w:fldCharType="separate"/>
                          </w:r>
                          <w:r>
                            <w:rPr>
                              <w:rFonts w:ascii="Times New Roman" w:hAnsi="Times New Roman" w:eastAsia="Times New Roman" w:cs="Times New Roman"/>
                            </w:rPr>
                            <w:t>#</w:t>
                          </w:r>
                          <w:r>
                            <w:rPr>
                              <w:rFonts w:ascii="Times New Roman" w:hAnsi="Times New Roman" w:eastAsia="Times New Roman" w:cs="Times New Roman"/>
                            </w:rPr>
                            <w:fldChar w:fldCharType="end"/>
                          </w:r>
                        </w:p>
                      </w:txbxContent>
                    </wps:txbx>
                    <wps:bodyPr wrap="none" lIns="0" tIns="0" rIns="0" bIns="0">
                      <a:spAutoFit/>
                    </wps:bodyPr>
                  </wps:wsp>
                </a:graphicData>
              </a:graphic>
            </wp:anchor>
          </w:drawing>
        </mc:Choice>
        <mc:Fallback>
          <w:pict>
            <v:shape id="Shape 23" o:spid="_x0000_s1026" o:spt="202" type="#_x0000_t202" style="position:absolute;left:0pt;margin-left:393.15pt;margin-top:518.55pt;height:12.5pt;width:35.05pt;mso-position-horizontal-relative:page;mso-position-vertical-relative:page;mso-wrap-style:none;z-index:-440400896;mso-width-relative:page;mso-height-relative:page;" filled="f" stroked="f" coordsize="21600,21600" o:gfxdata="UEsDBAoAAAAAAIdO4kAAAAAAAAAAAAAAAAAEAAAAZHJzL1BLAwQUAAAACACHTuJAqrlrtdgAAAAN&#10;AQAADwAAAGRycy9kb3ducmV2LnhtbE2PPU/DMBCGdyT+g3VIbNROC2kU4nSoxMJGQZXY3PgaR/gj&#10;st00+fdcJxjv3lfPPdfsZmfZhDENwUsoVgIY+i7owfcSvj7fnipgKSuvlQ0eJSyYYNfe3zWq1uHq&#10;P3A65J4RxKdaSTA5jzXnqTPoVFqFET1l5xCdyjTGnuuorgR3lq+FKLlTg6cLRo24N9j9HC5OwnY+&#10;BhwT7vH7PHXRDEtl3xcpHx8K8Qos45z/ynDTJ3VoyekULl4nZolRlRuqUiA22wIYVaqX8hnY6bYq&#10;1wXwtuH/v2h/AVBLAwQUAAAACACHTuJAl5msJZABAAAjAwAADgAAAGRycy9lMm9Eb2MueG1srVLb&#10;TsMwDH1H4h+ivLPuwgBV6xAIgZAQIAEfkKXJGqmJozis3d/jZN2G4A3xkvrW4+NjL65727KNCmjA&#10;VXwyGnOmnITauHXFP97vz644wyhcLVpwquJbhfx6eXqy6HypptBAW6vACMRh2fmKNzH6sihQNsoK&#10;HIFXjpIaghWR3LAu6iA6QrdtMR2PL4oOQu0DSIVI0btdki8zvtZKxhetUUXWVpy4xfyG/K7SWywX&#10;olwH4RsjBxriDyysMI6aHqDuRBTsM5hfUNbIAAg6jiTYArQ2UuUZaJrJ+Mc0b43wKs9C4qA/yIT/&#10;ByufN6+Bmbri0xlnTljaUW7LyCdxOo8l1bx5qor9LfS05H0cKZhm7nWw6UvTMMqTzNuDtKqPTFLw&#10;/Hw+mc05k5SazK8u51n64vizDxgfFFiWjIoH2lwWVGyeMBIRKt2XpF4O7k3bpnhiuGOSrNiv+oH2&#10;Cuotse5ouRV3dH2ctY+OtEt3sDfC3lgNRgJHf/MZqUHum1B3UEMz2kSmM1xNWvV3P1cdb3v5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Kq5a7XYAAAADQEAAA8AAAAAAAAAAQAgAAAAIgAAAGRycy9k&#10;b3ducmV2LnhtbFBLAQIUABQAAAAIAIdO4kCXmawlkAEAACMDAAAOAAAAAAAAAAEAIAAAACcBAABk&#10;cnMvZTJvRG9jLnhtbFBLBQYAAAAABgAGAFkBAAApBQAAAAA=&#10;">
              <v:fill on="f" focussize="0,0"/>
              <v:stroke on="f"/>
              <v:imagedata o:title=""/>
              <o:lock v:ext="edit" aspectratio="f"/>
              <v:textbox inset="0mm,0mm,0mm,0mm" style="mso-fit-shape-to-text:t;">
                <w:txbxContent>
                  <w:p>
                    <w:pPr>
                      <w:pStyle w:val="8"/>
                      <w:shd w:val="clear" w:color="auto" w:fill="auto"/>
                    </w:pPr>
                    <w:r>
                      <w:t xml:space="preserve">— </w:t>
                    </w:r>
                    <w:r>
                      <w:fldChar w:fldCharType="begin"/>
                    </w:r>
                    <w:r>
                      <w:instrText xml:space="preserve"> PAGE \* MERGEFORMAT </w:instrText>
                    </w:r>
                    <w:r>
                      <w:fldChar w:fldCharType="separate"/>
                    </w:r>
                    <w:r>
                      <w:rPr>
                        <w:rFonts w:ascii="Times New Roman" w:hAnsi="Times New Roman" w:eastAsia="Times New Roman" w:cs="Times New Roman"/>
                      </w:rPr>
                      <w:t>#</w:t>
                    </w:r>
                    <w:r>
                      <w:rPr>
                        <w:rFonts w:ascii="Times New Roman" w:hAnsi="Times New Roman" w:eastAsia="Times New Roman" w:cs="Times New Roma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AB60A1"/>
    <w:rsid w:val="0ADA1B1F"/>
    <w:rsid w:val="0F4D1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宋体" w:hAnsi="宋体"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宋体" w:hAnsi="宋体" w:eastAsia="宋体" w:cs="宋体"/>
      <w:color w:val="000000"/>
      <w:sz w:val="24"/>
      <w:szCs w:val="24"/>
      <w:lang w:val="en-US" w:eastAsia="en-US" w:bidi="en-US"/>
    </w:rPr>
  </w:style>
  <w:style w:type="character" w:default="1" w:styleId="3">
    <w:name w:val="Default Paragraph Font"/>
    <w:semiHidden/>
    <w:qFormat/>
    <w:uiPriority w:val="0"/>
  </w:style>
  <w:style w:type="table" w:default="1" w:styleId="2">
    <w:name w:val="Normal Table"/>
    <w:semiHidden/>
    <w:uiPriority w:val="0"/>
    <w:tblPr>
      <w:tblLayout w:type="fixed"/>
      <w:tblCellMar>
        <w:top w:w="0" w:type="dxa"/>
        <w:left w:w="108" w:type="dxa"/>
        <w:bottom w:w="0" w:type="dxa"/>
        <w:right w:w="108" w:type="dxa"/>
      </w:tblCellMar>
    </w:tblPr>
  </w:style>
  <w:style w:type="paragraph" w:customStyle="1" w:styleId="4">
    <w:name w:val="正文文本1"/>
    <w:basedOn w:val="1"/>
    <w:qFormat/>
    <w:uiPriority w:val="0"/>
    <w:pPr>
      <w:shd w:val="clear" w:color="auto" w:fill="FFFFFF"/>
      <w:spacing w:after="180"/>
      <w:ind w:firstLine="400"/>
    </w:pPr>
    <w:rPr>
      <w:rFonts w:ascii="MS Gothic" w:hAnsi="MS Gothic" w:eastAsia="MS Gothic" w:cs="MS Gothic"/>
      <w:sz w:val="26"/>
      <w:szCs w:val="26"/>
      <w:lang w:val="zh-CN" w:eastAsia="zh-CN" w:bidi="zh-CN"/>
    </w:rPr>
  </w:style>
  <w:style w:type="paragraph" w:customStyle="1" w:styleId="5">
    <w:name w:val="标题 #1"/>
    <w:basedOn w:val="1"/>
    <w:qFormat/>
    <w:uiPriority w:val="0"/>
    <w:pPr>
      <w:shd w:val="clear" w:color="auto" w:fill="FFFFFF"/>
      <w:spacing w:after="130"/>
      <w:jc w:val="center"/>
      <w:outlineLvl w:val="0"/>
    </w:pPr>
    <w:rPr>
      <w:sz w:val="42"/>
      <w:szCs w:val="42"/>
      <w:lang w:val="zh-CN" w:eastAsia="zh-CN" w:bidi="zh-CN"/>
    </w:rPr>
  </w:style>
  <w:style w:type="paragraph" w:customStyle="1" w:styleId="6">
    <w:name w:val="其他"/>
    <w:basedOn w:val="1"/>
    <w:qFormat/>
    <w:uiPriority w:val="0"/>
    <w:pPr>
      <w:shd w:val="clear" w:color="auto" w:fill="FFFFFF"/>
    </w:pPr>
    <w:rPr>
      <w:sz w:val="20"/>
      <w:szCs w:val="20"/>
      <w:lang w:val="zh-CN" w:eastAsia="zh-CN" w:bidi="zh-CN"/>
    </w:rPr>
  </w:style>
  <w:style w:type="paragraph" w:customStyle="1" w:styleId="7">
    <w:name w:val="页眉或页脚 (2)"/>
    <w:basedOn w:val="1"/>
    <w:qFormat/>
    <w:uiPriority w:val="0"/>
    <w:pPr>
      <w:shd w:val="clear" w:color="auto" w:fill="FFFFFF"/>
    </w:pPr>
    <w:rPr>
      <w:rFonts w:ascii="Times New Roman" w:hAnsi="Times New Roman" w:eastAsia="Times New Roman" w:cs="Times New Roman"/>
      <w:sz w:val="20"/>
      <w:szCs w:val="20"/>
      <w:lang w:val="zh-CN" w:eastAsia="zh-CN" w:bidi="zh-CN"/>
    </w:rPr>
  </w:style>
  <w:style w:type="paragraph" w:customStyle="1" w:styleId="8">
    <w:name w:val="页眉或页脚"/>
    <w:basedOn w:val="1"/>
    <w:qFormat/>
    <w:uiPriority w:val="0"/>
    <w:pPr>
      <w:shd w:val="clear" w:color="auto" w:fill="FFFFFF"/>
    </w:pPr>
    <w:rPr>
      <w:sz w:val="28"/>
      <w:szCs w:val="28"/>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2021-08-17T05:28:00Z</dcterms:created>
  <dc:creator>Administrator</dc:creator>
  <cp:lastModifiedBy>Administrator</cp:lastModifiedBy>
  <dcterms:modified xsi:type="dcterms:W3CDTF">2021-09-29T09:15:00Z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