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4"/>
          <w:szCs w:val="44"/>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outlineLvl w:val="9"/>
        <w:rPr>
          <w:rFonts w:hint="default" w:ascii="黑体" w:hAnsi="黑体" w:eastAsia="黑体" w:cs="黑体"/>
          <w:sz w:val="44"/>
          <w:szCs w:val="44"/>
          <w:lang w:val="en-US" w:eastAsia="zh-CN"/>
        </w:rPr>
      </w:pPr>
      <w:r>
        <w:rPr>
          <w:rFonts w:hint="eastAsia" w:ascii="黑体" w:hAnsi="黑体" w:eastAsia="黑体" w:cs="黑体"/>
          <w:sz w:val="44"/>
          <w:szCs w:val="44"/>
          <w:lang w:val="en-US" w:eastAsia="zh-CN"/>
        </w:rPr>
        <w:t>麦尔玛镇阿布洛村街面路灯采购项目</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黑体" w:hAnsi="黑体" w:eastAsia="黑体" w:cs="黑体"/>
          <w:sz w:val="48"/>
          <w:szCs w:val="4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default" w:ascii="黑体" w:hAnsi="黑体" w:eastAsia="黑体" w:cs="黑体"/>
          <w:sz w:val="44"/>
          <w:szCs w:val="44"/>
          <w:lang w:val="en-US" w:eastAsia="zh-CN"/>
        </w:rPr>
      </w:pPr>
      <w:r>
        <w:rPr>
          <w:rFonts w:hint="eastAsia" w:ascii="黑体" w:hAnsi="黑体" w:eastAsia="黑体" w:cs="黑体"/>
          <w:sz w:val="48"/>
          <w:szCs w:val="48"/>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4518660</wp:posOffset>
                </wp:positionH>
                <wp:positionV relativeFrom="paragraph">
                  <wp:posOffset>354330</wp:posOffset>
                </wp:positionV>
                <wp:extent cx="914400" cy="1621790"/>
                <wp:effectExtent l="0" t="0" r="3175" b="8255"/>
                <wp:wrapNone/>
                <wp:docPr id="2" name="矩形 2"/>
                <wp:cNvGraphicFramePr/>
                <a:graphic xmlns:a="http://schemas.openxmlformats.org/drawingml/2006/main">
                  <a:graphicData uri="http://schemas.microsoft.com/office/word/2010/wordprocessingShape">
                    <wps:wsp>
                      <wps:cNvSpPr/>
                      <wps:spPr>
                        <a:xfrm>
                          <a:off x="5400040" y="5858510"/>
                          <a:ext cx="914400" cy="162179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55.8pt;margin-top:27.9pt;height:127.7pt;width:72pt;z-index:251659264;v-text-anchor:middle;mso-width-relative:page;mso-height-relative:page;" fillcolor="#FFFFFF [3212]" filled="t" stroked="f" coordsize="21600,21600" o:gfxdata="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">
                <v:fill on="t" focussize="0,0"/>
                <v:stroke on="f" weight="1pt" miterlimit="8" joinstyle="miter"/>
                <v:imagedata o:title=""/>
                <o:lock v:ext="edit" aspectratio="f"/>
              </v:rect>
            </w:pict>
          </mc:Fallback>
        </mc:AlternateConten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项目单位：</w:t>
      </w:r>
      <w:r>
        <w:rPr>
          <w:rFonts w:hint="eastAsia" w:ascii="仿宋" w:hAnsi="仿宋" w:eastAsia="仿宋" w:cs="仿宋"/>
          <w:b w:val="0"/>
          <w:bCs w:val="0"/>
          <w:sz w:val="30"/>
          <w:szCs w:val="30"/>
          <w:u w:val="single"/>
          <w:lang w:val="en-US" w:eastAsia="zh-CN"/>
        </w:rPr>
        <w:t xml:space="preserve">阿坝县麦尔玛镇人民政府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主管单位：</w:t>
      </w:r>
      <w:r>
        <w:rPr>
          <w:rFonts w:hint="eastAsia" w:ascii="仿宋" w:hAnsi="仿宋" w:eastAsia="仿宋" w:cs="仿宋"/>
          <w:b w:val="0"/>
          <w:bCs w:val="0"/>
          <w:sz w:val="30"/>
          <w:szCs w:val="30"/>
          <w:u w:val="single"/>
          <w:lang w:val="en-US" w:eastAsia="zh-CN"/>
        </w:rPr>
        <w:t xml:space="preserve">阿坝县乡村振兴局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val="0"/>
          <w:bCs w:val="0"/>
          <w:sz w:val="30"/>
          <w:szCs w:val="30"/>
          <w:u w:val="single"/>
          <w:lang w:val="en-US" w:eastAsia="zh-CN"/>
        </w:rPr>
      </w:pPr>
      <w:r>
        <w:rPr>
          <w:rFonts w:hint="eastAsia" w:ascii="仿宋" w:hAnsi="仿宋" w:eastAsia="仿宋" w:cs="仿宋"/>
          <w:b w:val="0"/>
          <w:bCs w:val="0"/>
          <w:sz w:val="30"/>
          <w:szCs w:val="30"/>
          <w:lang w:val="en-US" w:eastAsia="zh-CN"/>
        </w:rPr>
        <w:t>评价机构：</w:t>
      </w:r>
      <w:r>
        <w:rPr>
          <w:rFonts w:hint="eastAsia" w:ascii="仿宋" w:hAnsi="仿宋" w:eastAsia="仿宋" w:cs="仿宋"/>
          <w:b w:val="0"/>
          <w:bCs w:val="0"/>
          <w:sz w:val="30"/>
          <w:szCs w:val="30"/>
          <w:u w:val="single"/>
          <w:lang w:val="en-US" w:eastAsia="zh-CN"/>
        </w:rPr>
        <w:t xml:space="preserve">成都青云致远工程咨询有限公司    </w:t>
      </w:r>
    </w:p>
    <w:p>
      <w:pPr>
        <w:keepNext w:val="0"/>
        <w:keepLines w:val="0"/>
        <w:pageBreakBefore w:val="0"/>
        <w:widowControl w:val="0"/>
        <w:kinsoku/>
        <w:wordWrap/>
        <w:overflowPunct/>
        <w:topLinePunct w:val="0"/>
        <w:autoSpaceDE/>
        <w:autoSpaceDN/>
        <w:bidi w:val="0"/>
        <w:adjustRightInd/>
        <w:snapToGrid/>
        <w:spacing w:line="360" w:lineRule="auto"/>
        <w:ind w:firstLine="900" w:firstLineChars="300"/>
        <w:jc w:val="left"/>
        <w:textAlignment w:val="auto"/>
        <w:rPr>
          <w:rFonts w:hint="eastAsia" w:ascii="仿宋" w:hAnsi="仿宋" w:eastAsia="仿宋" w:cs="仿宋"/>
          <w:b/>
          <w:bCs/>
          <w:sz w:val="30"/>
          <w:szCs w:val="30"/>
          <w:u w:val="single"/>
          <w:lang w:val="en-US" w:eastAsia="zh-CN"/>
        </w:rPr>
      </w:pPr>
      <w:r>
        <w:rPr>
          <w:rFonts w:hint="eastAsia" w:ascii="仿宋" w:hAnsi="仿宋" w:eastAsia="仿宋" w:cs="仿宋"/>
          <w:b w:val="0"/>
          <w:bCs w:val="0"/>
          <w:sz w:val="30"/>
          <w:szCs w:val="30"/>
          <w:lang w:val="en-US" w:eastAsia="zh-CN"/>
        </w:rPr>
        <w:t>日    期：</w:t>
      </w:r>
      <w:r>
        <w:rPr>
          <w:rFonts w:hint="eastAsia" w:ascii="仿宋" w:hAnsi="仿宋" w:eastAsia="仿宋" w:cs="仿宋"/>
          <w:b w:val="0"/>
          <w:bCs w:val="0"/>
          <w:sz w:val="30"/>
          <w:szCs w:val="30"/>
          <w:u w:val="single"/>
          <w:lang w:val="en-US" w:eastAsia="zh-CN"/>
        </w:rPr>
        <w:t>2023年11月</w:t>
      </w:r>
      <w:r>
        <w:rPr>
          <w:rFonts w:hint="eastAsia" w:ascii="仿宋" w:hAnsi="仿宋" w:eastAsia="仿宋" w:cs="仿宋"/>
          <w:b w:val="0"/>
          <w:bCs w:val="0"/>
          <w:sz w:val="30"/>
          <w:szCs w:val="30"/>
          <w:highlight w:val="none"/>
          <w:u w:val="single"/>
          <w:lang w:val="en-US" w:eastAsia="zh-CN"/>
        </w:rPr>
        <w:t>13</w:t>
      </w:r>
      <w:r>
        <w:rPr>
          <w:rFonts w:hint="eastAsia" w:ascii="仿宋" w:hAnsi="仿宋" w:eastAsia="仿宋" w:cs="仿宋"/>
          <w:b w:val="0"/>
          <w:bCs w:val="0"/>
          <w:sz w:val="30"/>
          <w:szCs w:val="30"/>
          <w:u w:val="single"/>
          <w:lang w:val="en-US" w:eastAsia="zh-CN"/>
        </w:rPr>
        <w:t xml:space="preserve">日                </w:t>
      </w:r>
      <w:r>
        <w:rPr>
          <w:rFonts w:hint="eastAsia" w:ascii="仿宋" w:hAnsi="仿宋" w:eastAsia="仿宋" w:cs="仿宋"/>
          <w:b/>
          <w:bCs/>
          <w:sz w:val="30"/>
          <w:szCs w:val="30"/>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eastAsia" w:ascii="黑体" w:hAnsi="黑体" w:eastAsia="黑体" w:cs="黑体"/>
          <w:sz w:val="28"/>
          <w:szCs w:val="28"/>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0" w:firstLineChars="0"/>
        <w:jc w:val="left"/>
        <w:textAlignment w:val="auto"/>
        <w:rPr>
          <w:rFonts w:hint="default" w:ascii="黑体" w:hAnsi="黑体" w:eastAsia="黑体" w:cs="黑体"/>
          <w:sz w:val="28"/>
          <w:szCs w:val="28"/>
          <w:lang w:val="en-US" w:eastAsia="zh-CN"/>
        </w:rPr>
        <w:sectPr>
          <w:headerReference r:id="rId3" w:type="default"/>
          <w:pgSz w:w="11906" w:h="16838"/>
          <w:pgMar w:top="1440" w:right="1800" w:bottom="1440" w:left="1800" w:header="851" w:footer="992" w:gutter="0"/>
          <w:cols w:space="425" w:num="1"/>
          <w:docGrid w:type="lines" w:linePitch="312" w:charSpace="0"/>
        </w:sectPr>
      </w:pPr>
    </w:p>
    <w:sdt>
      <w:sdtPr>
        <w:rPr>
          <w:rFonts w:ascii="宋体" w:hAnsi="宋体" w:eastAsia="宋体" w:cstheme="minorBidi"/>
          <w:kern w:val="2"/>
          <w:sz w:val="21"/>
          <w:szCs w:val="24"/>
          <w:lang w:val="en-US" w:eastAsia="zh-CN" w:bidi="ar-SA"/>
        </w:rPr>
        <w:id w:val="147476284"/>
        <w15:color w:val="DBDBDB"/>
        <w:docPartObj>
          <w:docPartGallery w:val="Table of Contents"/>
          <w:docPartUnique/>
        </w:docPartObj>
      </w:sdtPr>
      <w:sdtEndPr>
        <w:rPr>
          <w:rFonts w:hint="default" w:ascii="黑体" w:hAnsi="黑体" w:eastAsia="黑体" w:cs="黑体"/>
          <w:b/>
          <w:kern w:val="2"/>
          <w:sz w:val="21"/>
          <w:szCs w:val="28"/>
          <w:lang w:val="en-US" w:eastAsia="zh-CN" w:bidi="ar-SA"/>
        </w:rPr>
      </w:sdtEndPr>
      <w:sdtContent>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rFonts w:ascii="宋体" w:hAnsi="宋体" w:eastAsia="宋体" w:cstheme="minorBidi"/>
              <w:kern w:val="2"/>
              <w:sz w:val="21"/>
              <w:szCs w:val="24"/>
              <w:lang w:val="en-US" w:eastAsia="zh-CN" w:bidi="ar-SA"/>
            </w:rPr>
          </w:pPr>
        </w:p>
        <w:p>
          <w:pPr>
            <w:keepNext w:val="0"/>
            <w:keepLines w:val="0"/>
            <w:pageBreakBefore w:val="0"/>
            <w:kinsoku/>
            <w:wordWrap/>
            <w:overflowPunct/>
            <w:topLinePunct w:val="0"/>
            <w:autoSpaceDE/>
            <w:autoSpaceDN/>
            <w:bidi w:val="0"/>
            <w:adjustRightInd/>
            <w:snapToGrid/>
            <w:spacing w:before="0" w:after="0" w:line="400" w:lineRule="exact"/>
            <w:ind w:left="0" w:leftChars="0" w:right="0" w:rightChars="0" w:firstLine="0" w:firstLineChars="0"/>
            <w:jc w:val="center"/>
            <w:textAlignment w:val="auto"/>
            <w:rPr>
              <w:sz w:val="28"/>
              <w:szCs w:val="28"/>
            </w:rPr>
          </w:pPr>
          <w:r>
            <w:rPr>
              <w:rFonts w:hint="eastAsia" w:ascii="黑体" w:hAnsi="黑体" w:eastAsia="黑体" w:cs="黑体"/>
              <w:b/>
              <w:bCs w:val="0"/>
              <w:kern w:val="0"/>
              <w:sz w:val="28"/>
              <w:szCs w:val="28"/>
              <w:lang w:val="en-US" w:eastAsia="zh-CN"/>
            </w:rPr>
            <w:t>目  录</w:t>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TOC \o "1-2" \h \u </w:instrText>
          </w:r>
          <w:r>
            <w:rPr>
              <w:rFonts w:hint="default" w:ascii="黑体" w:hAnsi="黑体" w:eastAsia="黑体" w:cs="黑体"/>
              <w:sz w:val="24"/>
              <w:szCs w:val="24"/>
              <w:lang w:val="en-US" w:eastAsia="zh-CN"/>
            </w:rPr>
            <w:fldChar w:fldCharType="separate"/>
          </w: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_Toc9966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摘要</w:t>
          </w:r>
          <w:r>
            <w:rPr>
              <w:sz w:val="24"/>
              <w:szCs w:val="24"/>
            </w:rPr>
            <w:tab/>
          </w:r>
          <w:r>
            <w:rPr>
              <w:sz w:val="24"/>
              <w:szCs w:val="24"/>
            </w:rPr>
            <w:fldChar w:fldCharType="begin"/>
          </w:r>
          <w:r>
            <w:rPr>
              <w:sz w:val="24"/>
              <w:szCs w:val="24"/>
            </w:rPr>
            <w:instrText xml:space="preserve"> PAGEREF _Toc9966 \h </w:instrText>
          </w:r>
          <w:r>
            <w:rPr>
              <w:sz w:val="24"/>
              <w:szCs w:val="24"/>
            </w:rPr>
            <w:fldChar w:fldCharType="separate"/>
          </w:r>
          <w:r>
            <w:rPr>
              <w:sz w:val="24"/>
              <w:szCs w:val="24"/>
            </w:rPr>
            <w:t>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_Toc7708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一、项目基本情况</w:t>
          </w:r>
          <w:r>
            <w:rPr>
              <w:sz w:val="24"/>
              <w:szCs w:val="24"/>
            </w:rPr>
            <w:tab/>
          </w:r>
          <w:r>
            <w:rPr>
              <w:sz w:val="24"/>
              <w:szCs w:val="24"/>
            </w:rPr>
            <w:fldChar w:fldCharType="begin"/>
          </w:r>
          <w:r>
            <w:rPr>
              <w:sz w:val="24"/>
              <w:szCs w:val="24"/>
            </w:rPr>
            <w:instrText xml:space="preserve"> PAGEREF _Toc7708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_Toc1117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（一）项目概况</w:t>
          </w:r>
          <w:r>
            <w:rPr>
              <w:sz w:val="24"/>
              <w:szCs w:val="24"/>
            </w:rPr>
            <w:tab/>
          </w:r>
          <w:r>
            <w:rPr>
              <w:sz w:val="24"/>
              <w:szCs w:val="24"/>
            </w:rPr>
            <w:fldChar w:fldCharType="begin"/>
          </w:r>
          <w:r>
            <w:rPr>
              <w:sz w:val="24"/>
              <w:szCs w:val="24"/>
            </w:rPr>
            <w:instrText xml:space="preserve"> PAGEREF _Toc1117 \h </w:instrText>
          </w:r>
          <w:r>
            <w:rPr>
              <w:sz w:val="24"/>
              <w:szCs w:val="24"/>
            </w:rPr>
            <w:fldChar w:fldCharType="separate"/>
          </w:r>
          <w:r>
            <w:rPr>
              <w:sz w:val="24"/>
              <w:szCs w:val="24"/>
            </w:rPr>
            <w:t>2</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_Toc30442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（二）项目绩效目标</w:t>
          </w:r>
          <w:r>
            <w:rPr>
              <w:sz w:val="24"/>
              <w:szCs w:val="24"/>
            </w:rPr>
            <w:tab/>
          </w:r>
          <w:r>
            <w:rPr>
              <w:sz w:val="24"/>
              <w:szCs w:val="24"/>
            </w:rPr>
            <w:fldChar w:fldCharType="begin"/>
          </w:r>
          <w:r>
            <w:rPr>
              <w:sz w:val="24"/>
              <w:szCs w:val="24"/>
            </w:rPr>
            <w:instrText xml:space="preserve"> PAGEREF _Toc30442 \h </w:instrText>
          </w:r>
          <w:r>
            <w:rPr>
              <w:sz w:val="24"/>
              <w:szCs w:val="24"/>
            </w:rPr>
            <w:fldChar w:fldCharType="separate"/>
          </w:r>
          <w:r>
            <w:rPr>
              <w:sz w:val="24"/>
              <w:szCs w:val="24"/>
            </w:rPr>
            <w:t>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_Toc21825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二、绩效评价工作开展情况</w:t>
          </w:r>
          <w:r>
            <w:rPr>
              <w:sz w:val="24"/>
              <w:szCs w:val="24"/>
            </w:rPr>
            <w:tab/>
          </w:r>
          <w:r>
            <w:rPr>
              <w:sz w:val="24"/>
              <w:szCs w:val="24"/>
            </w:rPr>
            <w:fldChar w:fldCharType="begin"/>
          </w:r>
          <w:r>
            <w:rPr>
              <w:sz w:val="24"/>
              <w:szCs w:val="24"/>
            </w:rPr>
            <w:instrText xml:space="preserve"> PAGEREF _Toc21825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_Toc26227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（一）评价目的、依据、对象、范围</w:t>
          </w:r>
          <w:r>
            <w:rPr>
              <w:sz w:val="24"/>
              <w:szCs w:val="24"/>
            </w:rPr>
            <w:tab/>
          </w:r>
          <w:r>
            <w:rPr>
              <w:sz w:val="24"/>
              <w:szCs w:val="24"/>
            </w:rPr>
            <w:fldChar w:fldCharType="begin"/>
          </w:r>
          <w:r>
            <w:rPr>
              <w:sz w:val="24"/>
              <w:szCs w:val="24"/>
            </w:rPr>
            <w:instrText xml:space="preserve"> PAGEREF _Toc26227 \h </w:instrText>
          </w:r>
          <w:r>
            <w:rPr>
              <w:sz w:val="24"/>
              <w:szCs w:val="24"/>
            </w:rPr>
            <w:fldChar w:fldCharType="separate"/>
          </w:r>
          <w:r>
            <w:rPr>
              <w:sz w:val="24"/>
              <w:szCs w:val="24"/>
            </w:rPr>
            <w:t>7</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_Toc938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（二）绩效评价原则、评价指标体系、评价方法、评价标准</w:t>
          </w:r>
          <w:r>
            <w:rPr>
              <w:sz w:val="24"/>
              <w:szCs w:val="24"/>
            </w:rPr>
            <w:tab/>
          </w:r>
          <w:r>
            <w:rPr>
              <w:sz w:val="24"/>
              <w:szCs w:val="24"/>
            </w:rPr>
            <w:fldChar w:fldCharType="begin"/>
          </w:r>
          <w:r>
            <w:rPr>
              <w:sz w:val="24"/>
              <w:szCs w:val="24"/>
            </w:rPr>
            <w:instrText xml:space="preserve"> PAGEREF _Toc938 \h </w:instrText>
          </w:r>
          <w:r>
            <w:rPr>
              <w:sz w:val="24"/>
              <w:szCs w:val="24"/>
            </w:rPr>
            <w:fldChar w:fldCharType="separate"/>
          </w:r>
          <w:r>
            <w:rPr>
              <w:sz w:val="24"/>
              <w:szCs w:val="24"/>
            </w:rPr>
            <w:t>8</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_Toc31055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（三）绩效评价工作过程保障</w:t>
          </w:r>
          <w:r>
            <w:rPr>
              <w:sz w:val="24"/>
              <w:szCs w:val="24"/>
            </w:rPr>
            <w:tab/>
          </w:r>
          <w:r>
            <w:rPr>
              <w:sz w:val="24"/>
              <w:szCs w:val="24"/>
            </w:rPr>
            <w:fldChar w:fldCharType="begin"/>
          </w:r>
          <w:r>
            <w:rPr>
              <w:sz w:val="24"/>
              <w:szCs w:val="24"/>
            </w:rPr>
            <w:instrText xml:space="preserve"> PAGEREF _Toc31055 \h </w:instrText>
          </w:r>
          <w:r>
            <w:rPr>
              <w:sz w:val="24"/>
              <w:szCs w:val="24"/>
            </w:rPr>
            <w:fldChar w:fldCharType="separate"/>
          </w:r>
          <w:r>
            <w:rPr>
              <w:sz w:val="24"/>
              <w:szCs w:val="24"/>
            </w:rPr>
            <w:t>11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_Toc12654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三、绩效评价指标分析</w:t>
          </w:r>
          <w:r>
            <w:rPr>
              <w:sz w:val="24"/>
              <w:szCs w:val="24"/>
            </w:rPr>
            <w:tab/>
          </w:r>
          <w:r>
            <w:rPr>
              <w:sz w:val="24"/>
              <w:szCs w:val="24"/>
            </w:rPr>
            <w:fldChar w:fldCharType="begin"/>
          </w:r>
          <w:r>
            <w:rPr>
              <w:sz w:val="24"/>
              <w:szCs w:val="24"/>
            </w:rPr>
            <w:instrText xml:space="preserve"> PAGEREF _Toc12654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_Toc31513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（一）项目决策</w:t>
          </w:r>
          <w:r>
            <w:rPr>
              <w:sz w:val="24"/>
              <w:szCs w:val="24"/>
            </w:rPr>
            <w:tab/>
          </w:r>
          <w:r>
            <w:rPr>
              <w:sz w:val="24"/>
              <w:szCs w:val="24"/>
            </w:rPr>
            <w:fldChar w:fldCharType="begin"/>
          </w:r>
          <w:r>
            <w:rPr>
              <w:sz w:val="24"/>
              <w:szCs w:val="24"/>
            </w:rPr>
            <w:instrText xml:space="preserve"> PAGEREF _Toc31513 \h </w:instrText>
          </w:r>
          <w:r>
            <w:rPr>
              <w:sz w:val="24"/>
              <w:szCs w:val="24"/>
            </w:rPr>
            <w:fldChar w:fldCharType="separate"/>
          </w:r>
          <w:r>
            <w:rPr>
              <w:sz w:val="24"/>
              <w:szCs w:val="24"/>
            </w:rPr>
            <w:t>13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_Toc20594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（二）项目过程</w:t>
          </w:r>
          <w:r>
            <w:rPr>
              <w:sz w:val="24"/>
              <w:szCs w:val="24"/>
            </w:rPr>
            <w:tab/>
          </w:r>
          <w:r>
            <w:rPr>
              <w:sz w:val="24"/>
              <w:szCs w:val="24"/>
            </w:rPr>
            <w:fldChar w:fldCharType="begin"/>
          </w:r>
          <w:r>
            <w:rPr>
              <w:sz w:val="24"/>
              <w:szCs w:val="24"/>
            </w:rPr>
            <w:instrText xml:space="preserve"> PAGEREF _Toc20594 \h </w:instrText>
          </w:r>
          <w:r>
            <w:rPr>
              <w:sz w:val="24"/>
              <w:szCs w:val="24"/>
            </w:rPr>
            <w:fldChar w:fldCharType="separate"/>
          </w:r>
          <w:r>
            <w:rPr>
              <w:sz w:val="24"/>
              <w:szCs w:val="24"/>
            </w:rPr>
            <w:t>16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_Toc24586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（三）项目产出</w:t>
          </w:r>
          <w:r>
            <w:rPr>
              <w:sz w:val="24"/>
              <w:szCs w:val="24"/>
            </w:rPr>
            <w:tab/>
          </w:r>
          <w:r>
            <w:rPr>
              <w:sz w:val="24"/>
              <w:szCs w:val="24"/>
            </w:rPr>
            <w:fldChar w:fldCharType="begin"/>
          </w:r>
          <w:r>
            <w:rPr>
              <w:sz w:val="24"/>
              <w:szCs w:val="24"/>
            </w:rPr>
            <w:instrText xml:space="preserve"> PAGEREF _Toc24586 \h </w:instrText>
          </w:r>
          <w:r>
            <w:rPr>
              <w:sz w:val="24"/>
              <w:szCs w:val="24"/>
            </w:rPr>
            <w:fldChar w:fldCharType="separate"/>
          </w:r>
          <w:r>
            <w:rPr>
              <w:sz w:val="24"/>
              <w:szCs w:val="24"/>
            </w:rPr>
            <w:t>19</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_Toc20043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（四）项目效益情况</w:t>
          </w:r>
          <w:r>
            <w:rPr>
              <w:sz w:val="24"/>
              <w:szCs w:val="24"/>
            </w:rPr>
            <w:tab/>
          </w:r>
          <w:r>
            <w:rPr>
              <w:sz w:val="24"/>
              <w:szCs w:val="24"/>
            </w:rPr>
            <w:fldChar w:fldCharType="begin"/>
          </w:r>
          <w:r>
            <w:rPr>
              <w:sz w:val="24"/>
              <w:szCs w:val="24"/>
            </w:rPr>
            <w:instrText xml:space="preserve"> PAGEREF _Toc20043 \h </w:instrText>
          </w:r>
          <w:r>
            <w:rPr>
              <w:sz w:val="24"/>
              <w:szCs w:val="24"/>
            </w:rPr>
            <w:fldChar w:fldCharType="separate"/>
          </w:r>
          <w:r>
            <w:rPr>
              <w:sz w:val="24"/>
              <w:szCs w:val="24"/>
            </w:rPr>
            <w:t>21</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_Toc2205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四、综合评价情况及评价结论</w:t>
          </w:r>
          <w:r>
            <w:rPr>
              <w:sz w:val="24"/>
              <w:szCs w:val="24"/>
            </w:rPr>
            <w:tab/>
          </w:r>
          <w:r>
            <w:rPr>
              <w:sz w:val="24"/>
              <w:szCs w:val="24"/>
            </w:rPr>
            <w:fldChar w:fldCharType="begin"/>
          </w:r>
          <w:r>
            <w:rPr>
              <w:sz w:val="24"/>
              <w:szCs w:val="24"/>
            </w:rPr>
            <w:instrText xml:space="preserve"> PAGEREF _Toc2205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_Toc30170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highlight w:val="none"/>
              <w:lang w:val="en-US" w:eastAsia="zh-CN"/>
            </w:rPr>
            <w:t>（一）综合评价情况</w:t>
          </w:r>
          <w:r>
            <w:rPr>
              <w:sz w:val="24"/>
              <w:szCs w:val="24"/>
            </w:rPr>
            <w:tab/>
          </w:r>
          <w:r>
            <w:rPr>
              <w:sz w:val="24"/>
              <w:szCs w:val="24"/>
            </w:rPr>
            <w:fldChar w:fldCharType="begin"/>
          </w:r>
          <w:r>
            <w:rPr>
              <w:sz w:val="24"/>
              <w:szCs w:val="24"/>
            </w:rPr>
            <w:instrText xml:space="preserve"> PAGEREF _Toc30170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_Toc5944 </w:instrText>
          </w:r>
          <w:r>
            <w:rPr>
              <w:rFonts w:hint="default" w:ascii="黑体" w:hAnsi="黑体" w:eastAsia="黑体" w:cs="黑体"/>
              <w:sz w:val="24"/>
              <w:szCs w:val="24"/>
              <w:lang w:val="en-US" w:eastAsia="zh-CN"/>
            </w:rPr>
            <w:fldChar w:fldCharType="separate"/>
          </w:r>
          <w:r>
            <w:rPr>
              <w:rFonts w:hint="eastAsia" w:ascii="楷体" w:hAnsi="楷体" w:eastAsia="楷体" w:cs="楷体"/>
              <w:sz w:val="24"/>
              <w:szCs w:val="24"/>
              <w:lang w:val="en-US" w:eastAsia="zh-CN"/>
            </w:rPr>
            <w:t>（二）评价结论</w:t>
          </w:r>
          <w:r>
            <w:rPr>
              <w:sz w:val="24"/>
              <w:szCs w:val="24"/>
            </w:rPr>
            <w:tab/>
          </w:r>
          <w:r>
            <w:rPr>
              <w:sz w:val="24"/>
              <w:szCs w:val="24"/>
            </w:rPr>
            <w:fldChar w:fldCharType="begin"/>
          </w:r>
          <w:r>
            <w:rPr>
              <w:sz w:val="24"/>
              <w:szCs w:val="24"/>
            </w:rPr>
            <w:instrText xml:space="preserve"> PAGEREF _Toc5944 \h </w:instrText>
          </w:r>
          <w:r>
            <w:rPr>
              <w:sz w:val="24"/>
              <w:szCs w:val="24"/>
            </w:rPr>
            <w:fldChar w:fldCharType="separate"/>
          </w:r>
          <w:r>
            <w:rPr>
              <w:sz w:val="24"/>
              <w:szCs w:val="24"/>
            </w:rPr>
            <w:t>23</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_Toc32462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highlight w:val="none"/>
              <w:lang w:val="en-US" w:eastAsia="zh-CN"/>
            </w:rPr>
            <w:t>五、主要经验及做法、存在的问题及</w:t>
          </w:r>
          <w:r>
            <w:rPr>
              <w:rFonts w:hint="eastAsia" w:ascii="黑体" w:hAnsi="黑体" w:eastAsia="黑体" w:cs="黑体"/>
              <w:bCs w:val="0"/>
              <w:sz w:val="24"/>
              <w:szCs w:val="24"/>
              <w:lang w:val="en-US" w:eastAsia="zh-CN"/>
            </w:rPr>
            <w:t>原因</w:t>
          </w:r>
          <w:r>
            <w:rPr>
              <w:sz w:val="24"/>
              <w:szCs w:val="24"/>
            </w:rPr>
            <w:tab/>
          </w:r>
          <w:r>
            <w:rPr>
              <w:sz w:val="24"/>
              <w:szCs w:val="24"/>
            </w:rPr>
            <w:fldChar w:fldCharType="begin"/>
          </w:r>
          <w:r>
            <w:rPr>
              <w:sz w:val="24"/>
              <w:szCs w:val="24"/>
            </w:rPr>
            <w:instrText xml:space="preserve"> PAGEREF _Toc32462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_Toc4136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（一）主要经验及做法</w:t>
          </w:r>
          <w:r>
            <w:rPr>
              <w:sz w:val="24"/>
              <w:szCs w:val="24"/>
            </w:rPr>
            <w:tab/>
          </w:r>
          <w:r>
            <w:rPr>
              <w:sz w:val="24"/>
              <w:szCs w:val="24"/>
            </w:rPr>
            <w:fldChar w:fldCharType="begin"/>
          </w:r>
          <w:r>
            <w:rPr>
              <w:sz w:val="24"/>
              <w:szCs w:val="24"/>
            </w:rPr>
            <w:instrText xml:space="preserve"> PAGEREF _Toc4136 \h </w:instrText>
          </w:r>
          <w:r>
            <w:rPr>
              <w:sz w:val="24"/>
              <w:szCs w:val="24"/>
            </w:rPr>
            <w:fldChar w:fldCharType="separate"/>
          </w:r>
          <w:r>
            <w:rPr>
              <w:sz w:val="24"/>
              <w:szCs w:val="24"/>
            </w:rPr>
            <w:t>24</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_Toc16948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（二）存在的问题</w:t>
          </w:r>
          <w:r>
            <w:rPr>
              <w:sz w:val="24"/>
              <w:szCs w:val="24"/>
            </w:rPr>
            <w:tab/>
          </w:r>
          <w:r>
            <w:rPr>
              <w:sz w:val="24"/>
              <w:szCs w:val="24"/>
            </w:rPr>
            <w:fldChar w:fldCharType="begin"/>
          </w:r>
          <w:r>
            <w:rPr>
              <w:sz w:val="24"/>
              <w:szCs w:val="24"/>
            </w:rPr>
            <w:instrText xml:space="preserve"> PAGEREF _Toc16948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_Toc32373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（三）有关建议</w:t>
          </w:r>
          <w:r>
            <w:rPr>
              <w:sz w:val="24"/>
              <w:szCs w:val="24"/>
            </w:rPr>
            <w:tab/>
          </w:r>
          <w:r>
            <w:rPr>
              <w:sz w:val="24"/>
              <w:szCs w:val="24"/>
            </w:rPr>
            <w:fldChar w:fldCharType="begin"/>
          </w:r>
          <w:r>
            <w:rPr>
              <w:sz w:val="24"/>
              <w:szCs w:val="24"/>
            </w:rPr>
            <w:instrText xml:space="preserve"> PAGEREF _Toc32373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_Toc1142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六、其他需要说明的问题</w:t>
          </w:r>
          <w:r>
            <w:rPr>
              <w:sz w:val="24"/>
              <w:szCs w:val="24"/>
            </w:rPr>
            <w:tab/>
          </w:r>
          <w:r>
            <w:rPr>
              <w:sz w:val="24"/>
              <w:szCs w:val="24"/>
            </w:rPr>
            <w:fldChar w:fldCharType="begin"/>
          </w:r>
          <w:r>
            <w:rPr>
              <w:sz w:val="24"/>
              <w:szCs w:val="24"/>
            </w:rPr>
            <w:instrText xml:space="preserve"> PAGEREF _Toc1142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_Toc27734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（一）本次绩效评价的局限性</w:t>
          </w:r>
          <w:r>
            <w:rPr>
              <w:sz w:val="24"/>
              <w:szCs w:val="24"/>
            </w:rPr>
            <w:tab/>
          </w:r>
          <w:r>
            <w:rPr>
              <w:sz w:val="24"/>
              <w:szCs w:val="24"/>
            </w:rPr>
            <w:fldChar w:fldCharType="begin"/>
          </w:r>
          <w:r>
            <w:rPr>
              <w:sz w:val="24"/>
              <w:szCs w:val="24"/>
            </w:rPr>
            <w:instrText xml:space="preserve"> PAGEREF _Toc27734 \h </w:instrText>
          </w:r>
          <w:r>
            <w:rPr>
              <w:sz w:val="24"/>
              <w:szCs w:val="24"/>
            </w:rPr>
            <w:fldChar w:fldCharType="separate"/>
          </w:r>
          <w:r>
            <w:rPr>
              <w:sz w:val="24"/>
              <w:szCs w:val="24"/>
            </w:rPr>
            <w:t>25</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_Toc2176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（二）本报告的使用范围</w:t>
          </w:r>
          <w:r>
            <w:rPr>
              <w:sz w:val="24"/>
              <w:szCs w:val="24"/>
            </w:rPr>
            <w:tab/>
          </w:r>
          <w:r>
            <w:rPr>
              <w:sz w:val="24"/>
              <w:szCs w:val="24"/>
            </w:rPr>
            <w:fldChar w:fldCharType="begin"/>
          </w:r>
          <w:r>
            <w:rPr>
              <w:sz w:val="24"/>
              <w:szCs w:val="24"/>
            </w:rPr>
            <w:instrText xml:space="preserve"> PAGEREF _Toc2176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_Toc13392 </w:instrText>
          </w:r>
          <w:r>
            <w:rPr>
              <w:rFonts w:hint="default" w:ascii="黑体" w:hAnsi="黑体" w:eastAsia="黑体" w:cs="黑体"/>
              <w:sz w:val="24"/>
              <w:szCs w:val="24"/>
              <w:lang w:val="en-US" w:eastAsia="zh-CN"/>
            </w:rPr>
            <w:fldChar w:fldCharType="separate"/>
          </w:r>
          <w:r>
            <w:rPr>
              <w:rFonts w:hint="eastAsia" w:ascii="黑体" w:hAnsi="黑体" w:eastAsia="黑体" w:cs="黑体"/>
              <w:bCs w:val="0"/>
              <w:sz w:val="24"/>
              <w:szCs w:val="24"/>
              <w:lang w:val="en-US" w:eastAsia="zh-CN"/>
            </w:rPr>
            <w:t>七、附件</w:t>
          </w:r>
          <w:r>
            <w:rPr>
              <w:sz w:val="24"/>
              <w:szCs w:val="24"/>
            </w:rPr>
            <w:tab/>
          </w:r>
          <w:r>
            <w:rPr>
              <w:sz w:val="24"/>
              <w:szCs w:val="24"/>
            </w:rPr>
            <w:fldChar w:fldCharType="begin"/>
          </w:r>
          <w:r>
            <w:rPr>
              <w:sz w:val="24"/>
              <w:szCs w:val="24"/>
            </w:rPr>
            <w:instrText xml:space="preserve"> PAGEREF _Toc13392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_Toc31974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（一）财政项目支出绩效评价体系</w:t>
          </w:r>
          <w:r>
            <w:rPr>
              <w:sz w:val="24"/>
              <w:szCs w:val="24"/>
            </w:rPr>
            <w:tab/>
          </w:r>
          <w:r>
            <w:rPr>
              <w:sz w:val="24"/>
              <w:szCs w:val="24"/>
            </w:rPr>
            <w:fldChar w:fldCharType="begin"/>
          </w:r>
          <w:r>
            <w:rPr>
              <w:sz w:val="24"/>
              <w:szCs w:val="24"/>
            </w:rPr>
            <w:instrText xml:space="preserve"> PAGEREF _Toc31974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_Toc6212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（二）绩效目标完成情况对比表</w:t>
          </w:r>
          <w:r>
            <w:rPr>
              <w:sz w:val="24"/>
              <w:szCs w:val="24"/>
            </w:rPr>
            <w:tab/>
          </w:r>
          <w:r>
            <w:rPr>
              <w:sz w:val="24"/>
              <w:szCs w:val="24"/>
            </w:rPr>
            <w:fldChar w:fldCharType="begin"/>
          </w:r>
          <w:r>
            <w:rPr>
              <w:sz w:val="24"/>
              <w:szCs w:val="24"/>
            </w:rPr>
            <w:instrText xml:space="preserve"> PAGEREF _Toc6212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pStyle w:val="9"/>
            <w:keepNext w:val="0"/>
            <w:keepLines w:val="0"/>
            <w:pageBreakBefore w:val="0"/>
            <w:widowControl w:val="0"/>
            <w:tabs>
              <w:tab w:val="right" w:leader="dot" w:pos="8306"/>
            </w:tabs>
            <w:kinsoku/>
            <w:wordWrap/>
            <w:overflowPunct/>
            <w:topLinePunct w:val="0"/>
            <w:autoSpaceDE/>
            <w:autoSpaceDN/>
            <w:bidi w:val="0"/>
            <w:adjustRightInd/>
            <w:snapToGrid/>
            <w:spacing w:line="400" w:lineRule="exact"/>
            <w:textAlignment w:val="auto"/>
            <w:rPr>
              <w:sz w:val="24"/>
              <w:szCs w:val="24"/>
            </w:rPr>
          </w:pPr>
          <w:r>
            <w:rPr>
              <w:rFonts w:hint="default" w:ascii="黑体" w:hAnsi="黑体" w:eastAsia="黑体" w:cs="黑体"/>
              <w:sz w:val="24"/>
              <w:szCs w:val="24"/>
              <w:lang w:val="en-US" w:eastAsia="zh-CN"/>
            </w:rPr>
            <w:fldChar w:fldCharType="begin"/>
          </w:r>
          <w:r>
            <w:rPr>
              <w:rFonts w:hint="default" w:ascii="黑体" w:hAnsi="黑体" w:eastAsia="黑体" w:cs="黑体"/>
              <w:sz w:val="24"/>
              <w:szCs w:val="24"/>
              <w:lang w:val="en-US" w:eastAsia="zh-CN"/>
            </w:rPr>
            <w:instrText xml:space="preserve"> HYPERLINK \l _Toc6963 </w:instrText>
          </w:r>
          <w:r>
            <w:rPr>
              <w:rFonts w:hint="default" w:ascii="黑体" w:hAnsi="黑体" w:eastAsia="黑体" w:cs="黑体"/>
              <w:sz w:val="24"/>
              <w:szCs w:val="24"/>
              <w:lang w:val="en-US" w:eastAsia="zh-CN"/>
            </w:rPr>
            <w:fldChar w:fldCharType="separate"/>
          </w:r>
          <w:r>
            <w:rPr>
              <w:rFonts w:hint="eastAsia" w:ascii="楷体" w:hAnsi="楷体" w:eastAsia="楷体" w:cs="楷体"/>
              <w:bCs w:val="0"/>
              <w:sz w:val="24"/>
              <w:szCs w:val="24"/>
              <w:lang w:val="en-US" w:eastAsia="zh-CN"/>
            </w:rPr>
            <w:t>（三）评价依据目录</w:t>
          </w:r>
          <w:r>
            <w:rPr>
              <w:sz w:val="24"/>
              <w:szCs w:val="24"/>
            </w:rPr>
            <w:tab/>
          </w:r>
          <w:r>
            <w:rPr>
              <w:sz w:val="24"/>
              <w:szCs w:val="24"/>
            </w:rPr>
            <w:fldChar w:fldCharType="begin"/>
          </w:r>
          <w:r>
            <w:rPr>
              <w:sz w:val="24"/>
              <w:szCs w:val="24"/>
            </w:rPr>
            <w:instrText xml:space="preserve"> PAGEREF _Toc6963 \h </w:instrText>
          </w:r>
          <w:r>
            <w:rPr>
              <w:sz w:val="24"/>
              <w:szCs w:val="24"/>
            </w:rPr>
            <w:fldChar w:fldCharType="separate"/>
          </w:r>
          <w:r>
            <w:rPr>
              <w:sz w:val="24"/>
              <w:szCs w:val="24"/>
            </w:rPr>
            <w:t>26</w:t>
          </w:r>
          <w:r>
            <w:rPr>
              <w:sz w:val="24"/>
              <w:szCs w:val="24"/>
            </w:rPr>
            <w:fldChar w:fldCharType="end"/>
          </w:r>
          <w:r>
            <w:rPr>
              <w:rFonts w:hint="default" w:ascii="黑体" w:hAnsi="黑体" w:eastAsia="黑体" w:cs="黑体"/>
              <w:sz w:val="24"/>
              <w:szCs w:val="24"/>
              <w:lang w:val="en-US" w:eastAsia="zh-CN"/>
            </w:rPr>
            <w:fldChar w:fldCharType="end"/>
          </w:r>
        </w:p>
        <w:p>
          <w:pPr>
            <w:keepNext w:val="0"/>
            <w:keepLines w:val="0"/>
            <w:pageBreakBefore w:val="0"/>
            <w:widowControl w:val="0"/>
            <w:kinsoku/>
            <w:wordWrap/>
            <w:overflowPunct/>
            <w:topLinePunct w:val="0"/>
            <w:autoSpaceDE/>
            <w:autoSpaceDN/>
            <w:bidi w:val="0"/>
            <w:adjustRightInd/>
            <w:snapToGrid/>
            <w:spacing w:line="400" w:lineRule="exact"/>
            <w:ind w:leftChars="0" w:firstLine="0" w:firstLineChars="0"/>
            <w:jc w:val="left"/>
            <w:textAlignment w:val="auto"/>
            <w:rPr>
              <w:rFonts w:hint="default" w:ascii="黑体" w:hAnsi="黑体" w:eastAsia="黑体" w:cs="黑体"/>
              <w:b/>
              <w:kern w:val="2"/>
              <w:sz w:val="21"/>
              <w:szCs w:val="28"/>
              <w:lang w:val="en-US" w:eastAsia="zh-CN" w:bidi="ar-SA"/>
            </w:rPr>
          </w:pPr>
          <w:r>
            <w:rPr>
              <w:rFonts w:hint="default" w:ascii="黑体" w:hAnsi="黑体" w:eastAsia="黑体" w:cs="黑体"/>
              <w:sz w:val="24"/>
              <w:szCs w:val="24"/>
              <w:lang w:val="en-US" w:eastAsia="zh-CN"/>
            </w:rPr>
            <w:fldChar w:fldCharType="end"/>
          </w:r>
        </w:p>
      </w:sdtContent>
    </w:sdt>
    <w:p>
      <w:pPr>
        <w:bidi w:val="0"/>
        <w:rPr>
          <w:rFonts w:hint="eastAsia" w:asciiTheme="minorHAnsi" w:hAnsiTheme="minorHAnsi" w:eastAsiaTheme="minorEastAsia" w:cstheme="minorBidi"/>
          <w:kern w:val="2"/>
          <w:sz w:val="21"/>
          <w:szCs w:val="24"/>
          <w:lang w:val="en-US" w:eastAsia="zh-CN" w:bidi="ar-SA"/>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bidi w:val="0"/>
        <w:rPr>
          <w:rFonts w:hint="eastAsia"/>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黑体" w:hAnsi="黑体" w:eastAsia="黑体" w:cs="黑体"/>
          <w:b w:val="0"/>
          <w:bCs w:val="0"/>
          <w:sz w:val="30"/>
          <w:szCs w:val="30"/>
          <w:lang w:val="en-US" w:eastAsia="zh-CN"/>
        </w:rPr>
        <w:sectPr>
          <w:footerReference r:id="rId4" w:type="default"/>
          <w:pgSz w:w="11906" w:h="16838"/>
          <w:pgMar w:top="1440" w:right="1800" w:bottom="1440" w:left="1800" w:header="851" w:footer="992" w:gutter="0"/>
          <w:pgNumType w:fmt="decimal" w:start="1"/>
          <w:cols w:space="425" w:num="1"/>
          <w:docGrid w:type="lines" w:linePitch="312" w:charSpace="0"/>
        </w:sectPr>
      </w:pPr>
      <w:bookmarkStart w:id="0" w:name="_Toc996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center"/>
        <w:textAlignment w:val="auto"/>
        <w:outlineLvl w:val="0"/>
        <w:rPr>
          <w:rFonts w:hint="eastAsia" w:ascii="仿宋" w:hAnsi="仿宋" w:eastAsia="仿宋" w:cs="仿宋"/>
          <w:b w:val="0"/>
          <w:bCs w:val="0"/>
          <w:sz w:val="30"/>
          <w:szCs w:val="30"/>
          <w:lang w:val="en-US" w:eastAsia="zh-CN"/>
        </w:rPr>
      </w:pPr>
      <w:r>
        <w:rPr>
          <w:rFonts w:hint="eastAsia" w:ascii="黑体" w:hAnsi="黑体" w:eastAsia="黑体" w:cs="黑体"/>
          <w:b w:val="0"/>
          <w:bCs w:val="0"/>
          <w:sz w:val="30"/>
          <w:szCs w:val="30"/>
          <w:lang w:val="en-US" w:eastAsia="zh-CN"/>
        </w:rPr>
        <w:t>摘要</w:t>
      </w:r>
      <w:bookmarkEnd w:id="0"/>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none"/>
          <w:lang w:val="en-US" w:eastAsia="zh-CN"/>
        </w:rPr>
      </w:pPr>
      <w:r>
        <w:rPr>
          <w:rFonts w:hint="eastAsia" w:ascii="仿宋" w:hAnsi="仿宋" w:eastAsia="仿宋" w:cs="仿宋"/>
          <w:smallCaps w:val="0"/>
          <w:kern w:val="2"/>
          <w:sz w:val="30"/>
          <w:szCs w:val="30"/>
          <w:highlight w:val="none"/>
          <w:lang w:val="en-US" w:eastAsia="zh-CN" w:bidi="ar-SA"/>
        </w:rPr>
        <w:t>麦尔玛镇阿布洛村街面路灯采购项目</w:t>
      </w:r>
      <w:r>
        <w:rPr>
          <w:rFonts w:hint="eastAsia" w:ascii="仿宋" w:hAnsi="仿宋" w:eastAsia="仿宋" w:cs="仿宋"/>
          <w:b w:val="0"/>
          <w:bCs w:val="0"/>
          <w:sz w:val="30"/>
          <w:szCs w:val="30"/>
          <w:highlight w:val="none"/>
          <w:lang w:val="en-US" w:eastAsia="zh-CN"/>
        </w:rPr>
        <w:t>由阿坝县麦尔玛镇人民政府进行申报，成都青云致远工程咨询有限公司受阿坝县财政局委托进行本次绩效评价工作。</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项目位于阿坝县麦尔玛镇，农村基础设施供给数量偏少、质量不高，尚未有效支撑起农业强、农村美、农民富的发展需求。且项目地无路灯设施，制约居民出行。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立项预估资金总额为152.00万元，资金文件依据为阿坝县发展和改革局批复列示，项目资金来源为中央和省级财政衔接推进乡村振兴补助资金。根据阿坝州财政局、阿坝州乡村振兴局、阿坝州发改委《阿州财农(2023)14号》文件、阿坝县财政局《阿县财农(2023)8号》文件。已落实资金为147.90</w:t>
      </w:r>
      <w:r>
        <w:rPr>
          <w:rFonts w:hint="eastAsia" w:ascii="仿宋" w:hAnsi="仿宋" w:eastAsia="仿宋" w:cs="仿宋"/>
          <w:sz w:val="30"/>
          <w:szCs w:val="30"/>
          <w:lang w:val="en-US" w:eastAsia="zh-CN"/>
        </w:rPr>
        <w:t>万元，已下达资金</w:t>
      </w:r>
      <w:r>
        <w:rPr>
          <w:rFonts w:hint="eastAsia" w:ascii="仿宋" w:hAnsi="仿宋" w:eastAsia="仿宋" w:cs="仿宋"/>
          <w:b w:val="0"/>
          <w:bCs w:val="0"/>
          <w:sz w:val="30"/>
          <w:szCs w:val="30"/>
          <w:lang w:val="en-US" w:eastAsia="zh-CN"/>
        </w:rPr>
        <w:t>147.90万元</w:t>
      </w:r>
      <w:r>
        <w:rPr>
          <w:rFonts w:hint="eastAsia" w:ascii="仿宋" w:hAnsi="仿宋" w:eastAsia="仿宋" w:cs="仿宋"/>
          <w:sz w:val="30"/>
          <w:szCs w:val="30"/>
          <w:lang w:val="en-US" w:eastAsia="zh-CN"/>
        </w:rPr>
        <w:t>，已支付资金</w:t>
      </w:r>
      <w:r>
        <w:rPr>
          <w:rFonts w:hint="eastAsia" w:ascii="仿宋" w:hAnsi="仿宋" w:eastAsia="仿宋" w:cs="仿宋"/>
          <w:b w:val="0"/>
          <w:bCs w:val="0"/>
          <w:sz w:val="30"/>
          <w:szCs w:val="30"/>
          <w:lang w:val="en-US" w:eastAsia="zh-CN"/>
        </w:rPr>
        <w:t>147.90万元。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color w:val="auto"/>
          <w:kern w:val="2"/>
          <w:sz w:val="30"/>
          <w:szCs w:val="30"/>
          <w:highlight w:val="none"/>
          <w:lang w:val="en-US" w:eastAsia="zh-CN" w:bidi="ar-SA"/>
        </w:rPr>
      </w:pPr>
      <w:r>
        <w:rPr>
          <w:rFonts w:hint="eastAsia" w:ascii="仿宋" w:hAnsi="仿宋" w:eastAsia="仿宋" w:cs="仿宋"/>
          <w:color w:val="auto"/>
          <w:kern w:val="2"/>
          <w:sz w:val="30"/>
          <w:szCs w:val="30"/>
          <w:highlight w:val="none"/>
          <w:lang w:val="en-US" w:eastAsia="zh-CN" w:bidi="ar-SA"/>
        </w:rPr>
        <w:t>项目已于2023年6月26日完工验收，验收鉴定为合格。</w:t>
      </w:r>
    </w:p>
    <w:p>
      <w:pPr>
        <w:pStyle w:val="4"/>
        <w:keepNext w:val="0"/>
        <w:keepLines w:val="0"/>
        <w:pageBreakBefore w:val="0"/>
        <w:widowControl w:val="0"/>
        <w:kinsoku/>
        <w:wordWrap/>
        <w:overflowPunct/>
        <w:topLinePunct w:val="0"/>
        <w:autoSpaceDE/>
        <w:autoSpaceDN/>
        <w:bidi w:val="0"/>
        <w:adjustRightInd/>
        <w:snapToGrid/>
        <w:spacing w:after="0" w:afterLines="0" w:line="560" w:lineRule="exact"/>
        <w:ind w:firstLine="600" w:firstLineChars="200"/>
        <w:jc w:val="both"/>
        <w:textAlignment w:val="auto"/>
        <w:rPr>
          <w:rFonts w:hint="eastAsia" w:ascii="仿宋" w:hAnsi="仿宋" w:eastAsia="仿宋" w:cs="仿宋"/>
          <w:b w:val="0"/>
          <w:bCs w:val="0"/>
          <w:sz w:val="30"/>
          <w:szCs w:val="30"/>
          <w:highlight w:val="yellow"/>
          <w:lang w:val="en-US" w:eastAsia="zh-CN"/>
        </w:rPr>
      </w:pPr>
      <w:r>
        <w:rPr>
          <w:rFonts w:hint="eastAsia" w:ascii="仿宋" w:hAnsi="仿宋" w:eastAsia="仿宋" w:cs="仿宋"/>
          <w:color w:val="auto"/>
          <w:kern w:val="2"/>
          <w:sz w:val="30"/>
          <w:szCs w:val="30"/>
          <w:highlight w:val="none"/>
          <w:lang w:val="en-US" w:eastAsia="zh-CN" w:bidi="ar-SA"/>
        </w:rPr>
        <w:t>评价组运用针对本项目设计的评价指标体系及评分标准，通过基础数据采集</w:t>
      </w:r>
      <w:r>
        <w:rPr>
          <w:rFonts w:hint="eastAsia" w:ascii="仿宋" w:hAnsi="仿宋" w:eastAsia="仿宋" w:cs="仿宋"/>
          <w:color w:val="auto"/>
          <w:sz w:val="30"/>
          <w:szCs w:val="30"/>
          <w:highlight w:val="none"/>
          <w:lang w:val="en-US" w:eastAsia="zh-CN"/>
        </w:rPr>
        <w:t>并核实、问卷调查及访谈获取数据，得出</w:t>
      </w:r>
      <w:r>
        <w:rPr>
          <w:rFonts w:hint="default" w:ascii="仿宋" w:hAnsi="仿宋" w:eastAsia="仿宋" w:cs="仿宋"/>
          <w:sz w:val="30"/>
          <w:szCs w:val="30"/>
          <w:highlight w:val="none"/>
          <w:lang w:val="en-US" w:eastAsia="zh-CN"/>
        </w:rPr>
        <w:t>该项目完成情况较好。</w:t>
      </w:r>
      <w:r>
        <w:rPr>
          <w:rFonts w:hint="eastAsia" w:ascii="仿宋" w:hAnsi="仿宋" w:eastAsia="仿宋" w:cs="仿宋"/>
          <w:sz w:val="30"/>
          <w:szCs w:val="30"/>
          <w:highlight w:val="none"/>
          <w:lang w:val="en-US" w:eastAsia="zh-CN"/>
        </w:rPr>
        <w:t>本项目具有</w:t>
      </w:r>
      <w:r>
        <w:rPr>
          <w:rFonts w:hint="default" w:ascii="仿宋" w:hAnsi="仿宋" w:eastAsia="仿宋" w:cs="仿宋"/>
          <w:sz w:val="30"/>
          <w:szCs w:val="30"/>
          <w:highlight w:val="none"/>
          <w:lang w:val="en-US" w:eastAsia="zh-CN"/>
        </w:rPr>
        <w:t>较规范的项目决策、</w:t>
      </w:r>
      <w:r>
        <w:rPr>
          <w:rFonts w:hint="eastAsia" w:ascii="仿宋" w:hAnsi="仿宋" w:eastAsia="仿宋" w:cs="仿宋"/>
          <w:sz w:val="30"/>
          <w:szCs w:val="30"/>
          <w:highlight w:val="none"/>
          <w:lang w:val="en-US" w:eastAsia="zh-CN"/>
        </w:rPr>
        <w:t>较好的项目产出</w:t>
      </w:r>
      <w:r>
        <w:rPr>
          <w:rFonts w:hint="default" w:ascii="仿宋" w:hAnsi="仿宋" w:eastAsia="仿宋" w:cs="仿宋"/>
          <w:sz w:val="30"/>
          <w:szCs w:val="30"/>
          <w:highlight w:val="none"/>
          <w:lang w:val="en-US" w:eastAsia="zh-CN"/>
        </w:rPr>
        <w:t>，除项目合同填写不严谨</w:t>
      </w:r>
      <w:r>
        <w:rPr>
          <w:rFonts w:hint="eastAsia" w:ascii="仿宋" w:hAnsi="仿宋" w:eastAsia="仿宋" w:cs="仿宋"/>
          <w:sz w:val="30"/>
          <w:szCs w:val="30"/>
          <w:highlight w:val="none"/>
          <w:lang w:val="en-US" w:eastAsia="zh-CN"/>
        </w:rPr>
        <w:t>、</w:t>
      </w:r>
      <w:r>
        <w:rPr>
          <w:rFonts w:hint="default" w:ascii="仿宋" w:hAnsi="仿宋" w:eastAsia="仿宋" w:cs="仿宋"/>
          <w:sz w:val="30"/>
          <w:szCs w:val="30"/>
          <w:highlight w:val="none"/>
          <w:lang w:val="en-US" w:eastAsia="zh-CN"/>
        </w:rPr>
        <w:t>项目未制定相应财务管理</w:t>
      </w:r>
      <w:r>
        <w:rPr>
          <w:rFonts w:hint="eastAsia" w:ascii="仿宋" w:hAnsi="仿宋" w:eastAsia="仿宋" w:cs="仿宋"/>
          <w:sz w:val="30"/>
          <w:szCs w:val="30"/>
          <w:highlight w:val="none"/>
          <w:lang w:val="en-US" w:eastAsia="zh-CN"/>
        </w:rPr>
        <w:t>和</w:t>
      </w:r>
      <w:r>
        <w:rPr>
          <w:rFonts w:hint="default" w:ascii="仿宋" w:hAnsi="仿宋" w:eastAsia="仿宋" w:cs="仿宋"/>
          <w:sz w:val="30"/>
          <w:szCs w:val="30"/>
          <w:highlight w:val="none"/>
          <w:lang w:val="en-US" w:eastAsia="zh-CN"/>
        </w:rPr>
        <w:t>业务管理制度、项目时效指标设置不明确，未设置生态效益指标外，较好地完成了“</w:t>
      </w:r>
      <w:r>
        <w:rPr>
          <w:rFonts w:hint="eastAsia" w:ascii="仿宋" w:hAnsi="仿宋" w:eastAsia="仿宋" w:cs="仿宋"/>
          <w:sz w:val="30"/>
          <w:szCs w:val="30"/>
          <w:highlight w:val="none"/>
          <w:lang w:val="en-US" w:eastAsia="zh-CN"/>
        </w:rPr>
        <w:t>麦尔玛镇阿布洛村街面路灯采购项目</w:t>
      </w:r>
      <w:r>
        <w:rPr>
          <w:rFonts w:hint="default" w:ascii="仿宋" w:hAnsi="仿宋" w:eastAsia="仿宋" w:cs="仿宋"/>
          <w:sz w:val="30"/>
          <w:szCs w:val="30"/>
          <w:highlight w:val="none"/>
          <w:lang w:val="en-US" w:eastAsia="zh-CN"/>
        </w:rPr>
        <w:t>”。从验收和调研结果以及满意度调查结果分析，项目基本实现了立项时的绩效目标，项目实施后的社会效益和可持续影响较好</w:t>
      </w:r>
      <w:r>
        <w:rPr>
          <w:rFonts w:hint="eastAsia" w:ascii="仿宋" w:hAnsi="仿宋" w:eastAsia="仿宋" w:cs="仿宋"/>
          <w:color w:val="auto"/>
          <w:sz w:val="30"/>
          <w:szCs w:val="30"/>
          <w:highlight w:val="none"/>
          <w:lang w:val="en-US" w:eastAsia="zh-CN"/>
        </w:rPr>
        <w:t>，最终评分得分为92.5</w:t>
      </w:r>
      <w:r>
        <w:rPr>
          <w:rFonts w:hint="eastAsia" w:ascii="仿宋" w:hAnsi="仿宋" w:eastAsia="仿宋" w:cs="仿宋"/>
          <w:sz w:val="30"/>
          <w:szCs w:val="30"/>
          <w:highlight w:val="none"/>
          <w:lang w:val="en-US" w:eastAsia="zh-CN"/>
        </w:rPr>
        <w:t>分，属于“优”。</w:t>
      </w:r>
    </w:p>
    <w:p>
      <w:pPr>
        <w:pStyle w:val="4"/>
        <w:rPr>
          <w:rFonts w:hint="eastAsia" w:ascii="仿宋" w:hAnsi="仿宋" w:eastAsia="仿宋" w:cs="仿宋"/>
          <w:b w:val="0"/>
          <w:bCs w:val="0"/>
          <w:sz w:val="30"/>
          <w:szCs w:val="30"/>
          <w:lang w:val="en-US" w:eastAsia="zh-CN"/>
        </w:rPr>
      </w:pPr>
    </w:p>
    <w:p>
      <w:pPr>
        <w:pStyle w:val="4"/>
        <w:rPr>
          <w:rFonts w:hint="default" w:ascii="仿宋" w:hAnsi="仿宋" w:eastAsia="仿宋" w:cs="仿宋"/>
          <w:b w:val="0"/>
          <w:bCs w:val="0"/>
          <w:sz w:val="30"/>
          <w:szCs w:val="30"/>
          <w:lang w:val="en-US" w:eastAsia="zh-CN"/>
        </w:rPr>
        <w:sectPr>
          <w:footerReference r:id="rId5" w:type="default"/>
          <w:pgSz w:w="11906" w:h="16838"/>
          <w:pgMar w:top="1440" w:right="1800" w:bottom="1440" w:left="1800" w:header="851" w:footer="992" w:gutter="0"/>
          <w:pgNumType w:fmt="decimal" w:start="1"/>
          <w:cols w:space="425" w:num="1"/>
          <w:docGrid w:type="lines" w:linePitch="312" w:charSpace="0"/>
        </w:sect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eastAsia" w:ascii="仿宋" w:hAnsi="仿宋" w:eastAsia="仿宋" w:cs="仿宋"/>
          <w:smallCaps w:val="0"/>
          <w:kern w:val="2"/>
          <w:sz w:val="32"/>
          <w:szCs w:val="32"/>
          <w:lang w:val="en-US" w:eastAsia="zh-CN" w:bidi="ar-SA"/>
        </w:rPr>
      </w:pPr>
      <w:r>
        <w:rPr>
          <w:rFonts w:hint="eastAsia" w:ascii="黑体" w:hAnsi="黑体" w:eastAsia="黑体" w:cs="黑体"/>
          <w:b w:val="0"/>
          <w:bCs w:val="0"/>
          <w:sz w:val="32"/>
          <w:szCs w:val="32"/>
          <w:lang w:val="en-US" w:eastAsia="zh-CN"/>
        </w:rPr>
        <w:t>麦尔玛镇阿布洛村街面路灯采购项目</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outlineLvl w:val="9"/>
        <w:rPr>
          <w:rFonts w:hint="default" w:ascii="黑体" w:hAnsi="黑体" w:eastAsia="黑体" w:cs="黑体"/>
          <w:b w:val="0"/>
          <w:bCs w:val="0"/>
          <w:sz w:val="30"/>
          <w:szCs w:val="30"/>
          <w:lang w:val="en-US" w:eastAsia="zh-CN"/>
        </w:rPr>
      </w:pPr>
      <w:r>
        <w:rPr>
          <w:rFonts w:hint="eastAsia" w:ascii="黑体" w:hAnsi="黑体" w:eastAsia="黑体" w:cs="黑体"/>
          <w:b w:val="0"/>
          <w:bCs w:val="0"/>
          <w:sz w:val="32"/>
          <w:szCs w:val="32"/>
          <w:lang w:val="en-US" w:eastAsia="zh-CN"/>
        </w:rPr>
        <w:t>财政项目支出绩效评价报告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黑体" w:hAnsi="黑体" w:eastAsia="黑体" w:cs="黑体"/>
          <w:b w:val="0"/>
          <w:bCs w:val="0"/>
          <w:sz w:val="30"/>
          <w:szCs w:val="30"/>
          <w:lang w:val="en-US" w:eastAsia="zh-CN"/>
        </w:rPr>
      </w:pP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kern w:val="2"/>
          <w:sz w:val="30"/>
          <w:szCs w:val="30"/>
          <w:lang w:val="en-US" w:eastAsia="zh-CN" w:bidi="ar-SA"/>
        </w:rPr>
      </w:pPr>
      <w:bookmarkStart w:id="1" w:name="_Toc7708"/>
      <w:r>
        <w:rPr>
          <w:rFonts w:hint="eastAsia" w:ascii="黑体" w:hAnsi="黑体" w:eastAsia="黑体" w:cs="黑体"/>
          <w:b w:val="0"/>
          <w:bCs w:val="0"/>
          <w:sz w:val="30"/>
          <w:szCs w:val="30"/>
          <w:lang w:val="en-US" w:eastAsia="zh-CN"/>
        </w:rPr>
        <w:t>一、项目基本情况</w:t>
      </w:r>
      <w:bookmarkEnd w:id="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 w:name="_Toc1117"/>
      <w:r>
        <w:rPr>
          <w:rFonts w:hint="eastAsia" w:ascii="楷体" w:hAnsi="楷体" w:eastAsia="楷体" w:cs="楷体"/>
          <w:b w:val="0"/>
          <w:bCs w:val="0"/>
          <w:sz w:val="30"/>
          <w:szCs w:val="30"/>
          <w:lang w:val="en-US" w:eastAsia="zh-CN"/>
        </w:rPr>
        <w:t>（一）项目概况</w:t>
      </w:r>
      <w:bookmarkEnd w:id="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bookmarkStart w:id="3" w:name="_Toc24758"/>
      <w:r>
        <w:rPr>
          <w:rFonts w:hint="eastAsia" w:ascii="仿宋" w:hAnsi="仿宋" w:eastAsia="仿宋" w:cs="仿宋"/>
          <w:b w:val="0"/>
          <w:bCs w:val="0"/>
          <w:sz w:val="30"/>
          <w:szCs w:val="30"/>
          <w:lang w:val="en-US" w:eastAsia="zh-CN"/>
        </w:rPr>
        <w:t>1、背景及目的</w:t>
      </w:r>
      <w:bookmarkEnd w:id="3"/>
      <w:r>
        <w:rPr>
          <w:rFonts w:hint="eastAsia" w:ascii="仿宋" w:hAnsi="仿宋" w:eastAsia="仿宋" w:cs="仿宋"/>
          <w:b w:val="0"/>
          <w:bCs w:val="0"/>
          <w:sz w:val="30"/>
          <w:szCs w:val="30"/>
          <w:lang w:val="en-US" w:eastAsia="zh-CN"/>
        </w:rPr>
        <w:t>、立项依据</w:t>
      </w:r>
    </w:p>
    <w:p>
      <w:pPr>
        <w:keepNext w:val="0"/>
        <w:keepLines w:val="0"/>
        <w:pageBreakBefore w:val="0"/>
        <w:widowControl/>
        <w:suppressLineNumbers w:val="0"/>
        <w:kinsoku/>
        <w:wordWrap/>
        <w:overflowPunct/>
        <w:topLinePunct w:val="0"/>
        <w:autoSpaceDE/>
        <w:autoSpaceDN/>
        <w:bidi w:val="0"/>
        <w:adjustRightIn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4" w:name="_Toc16559"/>
      <w:r>
        <w:rPr>
          <w:rFonts w:hint="eastAsia" w:ascii="仿宋" w:hAnsi="仿宋" w:eastAsia="仿宋" w:cs="仿宋"/>
          <w:b w:val="0"/>
          <w:bCs w:val="0"/>
          <w:sz w:val="30"/>
          <w:szCs w:val="30"/>
          <w:lang w:val="en-US" w:eastAsia="zh-CN"/>
        </w:rPr>
        <w:t>（1）背景及目的</w:t>
      </w:r>
    </w:p>
    <w:bookmarkEnd w:id="4"/>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5" w:name="_Toc7858"/>
      <w:r>
        <w:rPr>
          <w:rFonts w:hint="eastAsia" w:ascii="仿宋" w:hAnsi="仿宋" w:eastAsia="仿宋" w:cs="仿宋"/>
          <w:sz w:val="30"/>
          <w:szCs w:val="30"/>
          <w:lang w:val="en-US" w:eastAsia="zh-CN"/>
        </w:rPr>
        <w:t>麦尔玛镇座落在阿坝县城东南面，距县城33公里，素有“东大门”之称，是一个以畜牧业生产为主的纯牧业镇。东部与贾洛镇相连；南靠查理乡；西面与麦昆乡相邻；北面界甘肃省玛曲县齐哈玛。幅员面积801平方公里。东西长120 公里，南北宽50公里。麦尔玛镇政府所在地海拔3480米，纬度32°51′，经度101°59′。辖5个行政村（全是纯牧区村）、33个自然组。全镇有农牧民1220户5899人</w:t>
      </w:r>
      <w:r>
        <w:rPr>
          <w:rFonts w:hint="eastAsia" w:ascii="仿宋" w:hAnsi="仿宋" w:eastAsia="仿宋" w:cs="仿宋"/>
          <w:b w:val="0"/>
          <w:bCs w:val="0"/>
          <w:sz w:val="30"/>
          <w:szCs w:val="30"/>
          <w:lang w:val="en-US" w:eastAsia="zh-CN"/>
        </w:rPr>
        <w:t>。农村路灯的建设考虑到农村地区的实际情况和需求。农村基础设施供给数量偏少、质量不高，尚未有效支撑起农业强、农村美、农民富的发展需求。农村基础设施涉及农村的经济、社会、文化等方方面面，按照服务性质划分，可分为生产性基础设施、生活性基础设施、人文基础设施以及流通性基础设施四大类。当前，农民获得感幸福感有待增强。当前，实施乡村振兴战略，需要补齐农村基础设施建设的短板，推进城乡基础设施互联互通，着力解决好农村基础设施建设不平衡不充分的矛盾。</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（2）项目立项依据</w:t>
      </w:r>
      <w:bookmarkEnd w:id="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bookmarkStart w:id="6" w:name="_Toc29008"/>
      <w:r>
        <w:rPr>
          <w:rFonts w:hint="default" w:ascii="仿宋" w:hAnsi="仿宋" w:eastAsia="仿宋" w:cs="仿宋"/>
          <w:color w:val="000000"/>
          <w:kern w:val="0"/>
          <w:sz w:val="30"/>
          <w:szCs w:val="30"/>
          <w:lang w:val="en-US" w:eastAsia="zh-CN" w:bidi="ar"/>
        </w:rPr>
        <w:t>《四川省国民经济和社会发展第十四个五年规划和二〇三五年远景目标纲要》指出“推进县城城镇化补短板强弱项，加快县域城镇化进程。推动公共服务设施提标扩面、环境卫生设施提级扩能、市政公用设施提档升级、产业培育设施提质增效，动态适应城乡居民在县城就业安家需求。优化完善县城教育卫生、市政管网、农贸市场、生活垃圾和污水收运处理、公路配套等设施，加强防洪、排涝、抗震、消防等设施建设。推进国家新型城镇化示范县（市）建设，有序开展省级试点示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阿坝藏族羌族自治州国民经济和社会发展第十四个五年规划和二〇三五年远景目标纲要》指出“实施小县优城行动，创新产城融合发展模式，推动旧城改造和新城区建设，全面提升城市经济品质、人文品质、生态品质、生活品质，打造宜居宜业、宜游宜人、繁荣舒适的现代复合型城区，建设一批高原魅力县城，打造县域经济核心增长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color w:val="000000"/>
          <w:kern w:val="0"/>
          <w:sz w:val="30"/>
          <w:szCs w:val="30"/>
          <w:lang w:val="en-US" w:eastAsia="zh-CN" w:bidi="ar"/>
        </w:rPr>
      </w:pPr>
      <w:r>
        <w:rPr>
          <w:rFonts w:hint="default" w:ascii="仿宋" w:hAnsi="仿宋" w:eastAsia="仿宋" w:cs="仿宋"/>
          <w:color w:val="000000"/>
          <w:kern w:val="0"/>
          <w:sz w:val="30"/>
          <w:szCs w:val="30"/>
          <w:lang w:val="en-US" w:eastAsia="zh-CN" w:bidi="ar"/>
        </w:rPr>
        <w:t>《关于全面推进乡村振兴加快农业农村现代化的意见》提出：开发休闲农业和乡村旅游精品线路，完善公共卫生间、停车场</w:t>
      </w:r>
      <w:r>
        <w:rPr>
          <w:rFonts w:hint="eastAsia" w:ascii="仿宋" w:hAnsi="仿宋" w:eastAsia="仿宋" w:cs="仿宋"/>
          <w:color w:val="000000"/>
          <w:kern w:val="0"/>
          <w:sz w:val="30"/>
          <w:szCs w:val="30"/>
          <w:lang w:val="en-US" w:eastAsia="zh-CN" w:bidi="ar"/>
        </w:rPr>
        <w:t>、街面路灯</w:t>
      </w:r>
      <w:r>
        <w:rPr>
          <w:rFonts w:hint="default" w:ascii="仿宋" w:hAnsi="仿宋" w:eastAsia="仿宋" w:cs="仿宋"/>
          <w:color w:val="000000"/>
          <w:kern w:val="0"/>
          <w:sz w:val="30"/>
          <w:szCs w:val="30"/>
          <w:lang w:val="en-US" w:eastAsia="zh-CN" w:bidi="ar"/>
        </w:rPr>
        <w:t>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2、项目资金投入和使用情况</w:t>
      </w:r>
      <w:bookmarkEnd w:id="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bookmarkStart w:id="7" w:name="_Toc23348"/>
      <w:r>
        <w:rPr>
          <w:rFonts w:hint="eastAsia" w:ascii="仿宋" w:hAnsi="仿宋" w:eastAsia="仿宋" w:cs="仿宋"/>
          <w:b w:val="0"/>
          <w:bCs w:val="0"/>
          <w:sz w:val="30"/>
          <w:szCs w:val="30"/>
          <w:lang w:val="en-US" w:eastAsia="zh-CN"/>
        </w:rPr>
        <w:t>（1）项目资金预算及投入</w:t>
      </w:r>
      <w:bookmarkEnd w:id="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8" w:name="_Toc16705"/>
      <w:r>
        <w:rPr>
          <w:rFonts w:hint="eastAsia" w:ascii="仿宋" w:hAnsi="仿宋" w:eastAsia="仿宋" w:cs="仿宋"/>
          <w:b w:val="0"/>
          <w:bCs w:val="0"/>
          <w:sz w:val="30"/>
          <w:szCs w:val="30"/>
          <w:lang w:val="en-US" w:eastAsia="zh-CN"/>
        </w:rPr>
        <w:t>本项目立项预估资金总额为152.00万元，阿坝县发展和改革局批复列示，项目资金来源为中央和省级财政衔接推进乡村振兴补助资金。资金文件依据为阿坝州财政局、阿坝州乡村振兴局、阿坝州发改委《阿州财农(2023)14号》文件、阿坝县财政局《阿县财农(2023)8号》文件。已落实资金为147.90</w:t>
      </w:r>
      <w:r>
        <w:rPr>
          <w:rFonts w:hint="eastAsia" w:ascii="仿宋" w:hAnsi="仿宋" w:eastAsia="仿宋" w:cs="仿宋"/>
          <w:sz w:val="30"/>
          <w:szCs w:val="30"/>
          <w:lang w:val="en-US" w:eastAsia="zh-CN"/>
        </w:rPr>
        <w:t>万元，已下达资金</w:t>
      </w:r>
      <w:r>
        <w:rPr>
          <w:rFonts w:hint="eastAsia" w:ascii="仿宋" w:hAnsi="仿宋" w:eastAsia="仿宋" w:cs="仿宋"/>
          <w:b w:val="0"/>
          <w:bCs w:val="0"/>
          <w:sz w:val="30"/>
          <w:szCs w:val="30"/>
          <w:lang w:val="en-US" w:eastAsia="zh-CN"/>
        </w:rPr>
        <w:t>147.90万元</w:t>
      </w:r>
      <w:r>
        <w:rPr>
          <w:rFonts w:hint="eastAsia" w:ascii="仿宋" w:hAnsi="仿宋" w:eastAsia="仿宋" w:cs="仿宋"/>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（2）项目资金使用情况</w:t>
      </w:r>
      <w:bookmarkEnd w:id="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9" w:name="_Toc2339"/>
      <w:r>
        <w:rPr>
          <w:rFonts w:hint="eastAsia" w:ascii="仿宋" w:hAnsi="仿宋" w:eastAsia="仿宋" w:cs="仿宋"/>
          <w:b w:val="0"/>
          <w:bCs w:val="0"/>
          <w:sz w:val="30"/>
          <w:szCs w:val="30"/>
          <w:lang w:val="en-US" w:eastAsia="zh-CN"/>
        </w:rPr>
        <w:t>截至绩效评价日2023年10月30日，本项目</w:t>
      </w:r>
      <w:r>
        <w:rPr>
          <w:rFonts w:hint="eastAsia" w:ascii="仿宋" w:hAnsi="仿宋" w:eastAsia="仿宋" w:cs="仿宋"/>
          <w:sz w:val="30"/>
          <w:szCs w:val="30"/>
          <w:lang w:val="en-US" w:eastAsia="zh-CN"/>
        </w:rPr>
        <w:t>已下达资金</w:t>
      </w:r>
      <w:r>
        <w:rPr>
          <w:rFonts w:hint="eastAsia" w:ascii="仿宋" w:hAnsi="仿宋" w:eastAsia="仿宋" w:cs="仿宋"/>
          <w:b w:val="0"/>
          <w:bCs w:val="0"/>
          <w:sz w:val="30"/>
          <w:szCs w:val="30"/>
          <w:lang w:val="en-US" w:eastAsia="zh-CN"/>
        </w:rPr>
        <w:t>147.90万元</w:t>
      </w:r>
      <w:r>
        <w:rPr>
          <w:rFonts w:hint="eastAsia" w:ascii="仿宋" w:hAnsi="仿宋" w:eastAsia="仿宋" w:cs="仿宋"/>
          <w:sz w:val="30"/>
          <w:szCs w:val="30"/>
          <w:lang w:val="en-US" w:eastAsia="zh-CN"/>
        </w:rPr>
        <w:t>，本项目已</w:t>
      </w:r>
      <w:r>
        <w:rPr>
          <w:rFonts w:hint="eastAsia" w:ascii="仿宋" w:hAnsi="仿宋" w:eastAsia="仿宋" w:cs="仿宋"/>
          <w:b w:val="0"/>
          <w:bCs w:val="0"/>
          <w:sz w:val="30"/>
          <w:szCs w:val="30"/>
          <w:lang w:val="en-US" w:eastAsia="zh-CN"/>
        </w:rPr>
        <w:t>支付147.90万元。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3、项目主要内容及实施情况</w:t>
      </w:r>
      <w:bookmarkEnd w:id="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0" w:name="_Toc21455"/>
      <w:r>
        <w:rPr>
          <w:rFonts w:hint="eastAsia" w:ascii="仿宋" w:hAnsi="仿宋" w:eastAsia="仿宋" w:cs="仿宋"/>
          <w:b w:val="0"/>
          <w:bCs w:val="0"/>
          <w:sz w:val="30"/>
          <w:szCs w:val="30"/>
          <w:lang w:val="en-US" w:eastAsia="zh-CN"/>
        </w:rPr>
        <w:t>根据本项目初步设计报告及其批复文件，项目地位于阿坝县麦尔玛镇。建设规模为国道路灯105个，10米高LED路灯，四条主路路灯34个，8米太阳能路灯。</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本项目经符合规定的招投标程序后确定供货及施工单位，四川华翌建设工程有限公</w:t>
      </w:r>
      <w:r>
        <w:rPr>
          <w:rFonts w:hint="eastAsia" w:ascii="仿宋" w:hAnsi="仿宋" w:eastAsia="仿宋" w:cs="仿宋"/>
          <w:b w:val="0"/>
          <w:bCs w:val="0"/>
          <w:sz w:val="30"/>
          <w:szCs w:val="30"/>
          <w:highlight w:val="none"/>
          <w:lang w:val="en-US" w:eastAsia="zh-CN"/>
        </w:rPr>
        <w:t>司</w:t>
      </w:r>
      <w:r>
        <w:rPr>
          <w:rFonts w:hint="eastAsia" w:ascii="仿宋" w:hAnsi="仿宋" w:eastAsia="仿宋" w:cs="仿宋"/>
          <w:sz w:val="30"/>
          <w:szCs w:val="30"/>
          <w:highlight w:val="none"/>
          <w:lang w:val="en-US" w:eastAsia="zh-CN"/>
        </w:rPr>
        <w:t>任施工单位，</w:t>
      </w:r>
      <w:r>
        <w:rPr>
          <w:rFonts w:hint="eastAsia" w:ascii="仿宋" w:hAnsi="仿宋" w:eastAsia="仿宋" w:cs="仿宋"/>
          <w:b w:val="0"/>
          <w:bCs w:val="0"/>
          <w:sz w:val="30"/>
          <w:szCs w:val="30"/>
          <w:highlight w:val="none"/>
          <w:lang w:val="en-US" w:eastAsia="zh-CN"/>
        </w:rPr>
        <w:t>项目于2023年6月26日完工验收，出具完工验收鉴定书，2023年6月27日进行工程移交。</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2"/>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4、组织及管理情况</w:t>
      </w:r>
      <w:bookmarkEnd w:id="1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default" w:ascii="仿宋" w:hAnsi="仿宋" w:eastAsia="仿宋" w:cs="仿宋"/>
          <w:b w:val="0"/>
          <w:bCs w:val="0"/>
          <w:sz w:val="30"/>
          <w:szCs w:val="30"/>
          <w:lang w:val="en-US" w:eastAsia="zh-CN"/>
        </w:rPr>
      </w:pPr>
      <w:bookmarkStart w:id="11" w:name="_Toc24895"/>
      <w:r>
        <w:rPr>
          <w:rFonts w:hint="eastAsia" w:ascii="仿宋" w:hAnsi="仿宋" w:eastAsia="仿宋" w:cs="仿宋"/>
          <w:b w:val="0"/>
          <w:bCs w:val="0"/>
          <w:sz w:val="30"/>
          <w:szCs w:val="30"/>
          <w:lang w:val="en-US" w:eastAsia="zh-CN"/>
        </w:rPr>
        <w:t>（1）项目组织情况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本项目业主单位为</w:t>
      </w:r>
      <w:r>
        <w:rPr>
          <w:rFonts w:hint="eastAsia" w:ascii="仿宋_GB2312" w:hAnsi="黑体" w:eastAsia="仿宋_GB2312"/>
          <w:sz w:val="32"/>
          <w:szCs w:val="32"/>
          <w:lang w:eastAsia="zh-CN"/>
        </w:rPr>
        <w:t>阿坝县麦尔玛镇人民政府</w:t>
      </w:r>
      <w:r>
        <w:rPr>
          <w:rFonts w:hint="default" w:ascii="仿宋" w:hAnsi="仿宋" w:eastAsia="仿宋" w:cs="仿宋"/>
          <w:b w:val="0"/>
          <w:bCs w:val="0"/>
          <w:sz w:val="30"/>
          <w:szCs w:val="30"/>
          <w:lang w:val="en-US" w:eastAsia="zh-CN"/>
        </w:rPr>
        <w:t>，系阿坝县人民政府的职能部门，其主要职能之一为：规范经济管理，组织指导经济发展和经济结构调整。加强综合生产能力建设。健全社会化服务体系，完善产业支持保护体系，推进产业现代化。着力提升经济发展的质量和水平，发展壮大村级集体经济，增加村民收入，不断提高人民生活水平。加强社会管理和基础设施建设，创造良好环境。推进党务、政务、村务、财务公开。抓好卫生健康工作，保障妇女儿童合法权益。加强自然资源管理、生态环境保护和修复等工作。保障退役军人合法权益。强化安全生产和公共安全，组织抢险救灾、优抚救助，及时上报和处置重大社情、疫情、险情等，保护人民群众的生命财产安全。发展公益事业，强化公共服务。加强公共设施建设，开展就业和社会保障服务，着力解决群众生产生活中的问题。发展科教文卫事业，建设健康农村，丰富农民群众文化生活，促进镇风文明。制订镇镇权责清单，加强公共服务体系建设</w:t>
      </w:r>
      <w:r>
        <w:rPr>
          <w:rFonts w:hint="eastAsia" w:ascii="仿宋" w:hAnsi="仿宋" w:eastAsia="仿宋" w:cs="仿宋"/>
          <w:sz w:val="30"/>
          <w:szCs w:val="30"/>
          <w:lang w:val="en-US" w:eastAsia="zh-CN"/>
        </w:rPr>
        <w:t>。</w:t>
      </w:r>
    </w:p>
    <w:bookmarkEnd w:id="11"/>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2" w:name="_Toc21143"/>
      <w:r>
        <w:rPr>
          <w:rFonts w:hint="eastAsia" w:ascii="仿宋" w:hAnsi="仿宋" w:eastAsia="仿宋" w:cs="仿宋"/>
          <w:b w:val="0"/>
          <w:bCs w:val="0"/>
          <w:sz w:val="30"/>
          <w:szCs w:val="30"/>
          <w:lang w:val="en-US" w:eastAsia="zh-CN"/>
        </w:rPr>
        <w:t>项目主管单位为乡村振兴局，为阿坝县人民政府职能部门，</w:t>
      </w:r>
      <w:r>
        <w:rPr>
          <w:rFonts w:hint="eastAsia" w:ascii="仿宋" w:hAnsi="仿宋" w:eastAsia="仿宋" w:cs="仿宋"/>
          <w:sz w:val="30"/>
          <w:szCs w:val="30"/>
          <w:lang w:val="en-US" w:eastAsia="zh-CN"/>
        </w:rPr>
        <w:t>在国家、省、州的相关规划和政策指引下，主管实施本项目，为其履行职能并完成国家、省、州的相关任务和规划的具体举措。</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项目施工单位为世华九九建工集团有限公司。本项目施工单位为合法存立的具有参与本项目建设的单位，具有相关资质条件，且参与本项目均通过符合招投标相关流程。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（2）项目管理实施</w:t>
      </w:r>
      <w:bookmarkEnd w:id="1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3" w:name="_Toc15047"/>
      <w:r>
        <w:rPr>
          <w:rFonts w:hint="eastAsia" w:ascii="仿宋" w:hAnsi="仿宋" w:eastAsia="仿宋" w:cs="仿宋"/>
          <w:b w:val="0"/>
          <w:bCs w:val="0"/>
          <w:sz w:val="30"/>
          <w:szCs w:val="30"/>
          <w:lang w:val="en-US" w:eastAsia="zh-CN"/>
        </w:rPr>
        <w:t>本工程项目责任主体为阿坝县麦尔玛镇人民政府，由阿坝县麦尔玛镇人民政府牵头开展项目的建设实施。为确保工程顺利完成，结合项目区工程进展实际情况，实行公开招标确定专业施工队伍。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管理机构为由阿坝县麦尔玛镇人民政府统一管理。本项目建设业主单位为阿坝县麦尔玛镇人民政府，根据项目的实施内容和特点、本单位人员情况，成立本项目实施小组，全面负责工程建设的工程质量管理、工程进度、工程投资和资金管理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（3）项目管理制度</w:t>
      </w:r>
      <w:bookmarkEnd w:id="1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bookmarkStart w:id="14" w:name="_Toc23760"/>
      <w:r>
        <w:rPr>
          <w:rFonts w:hint="eastAsia" w:ascii="仿宋" w:hAnsi="仿宋" w:eastAsia="仿宋" w:cs="仿宋"/>
          <w:b w:val="0"/>
          <w:bCs w:val="0"/>
          <w:sz w:val="30"/>
          <w:szCs w:val="30"/>
          <w:lang w:val="en-US" w:eastAsia="zh-CN"/>
        </w:rPr>
        <w:t>根据与阿坝县财政局、阿坝县麦尔玛镇人民政府咨询，当前项目单位未针对本项目制定相关的项目管理制度。本项目沿用阿坝县类似项目管理制度执行。</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3"/>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（4）财务管理制度</w:t>
      </w:r>
      <w:bookmarkEnd w:id="1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color w:val="auto"/>
          <w:sz w:val="30"/>
          <w:szCs w:val="30"/>
          <w:highlight w:val="none"/>
          <w:lang w:val="en-US" w:eastAsia="zh-CN"/>
        </w:rPr>
        <w:t>阿坝县麦尔玛镇人民政府暂未针对麦尔玛镇阿布洛村街面路灯采购项目制定财务管理制度，本项目财务制度沿用一般性工程项目的财务管理制度及政府部门相关财务管理制度。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5" w:name="_Toc30442"/>
      <w:r>
        <w:rPr>
          <w:rFonts w:hint="eastAsia" w:ascii="楷体" w:hAnsi="楷体" w:eastAsia="楷体" w:cs="楷体"/>
          <w:b w:val="0"/>
          <w:bCs w:val="0"/>
          <w:sz w:val="30"/>
          <w:szCs w:val="30"/>
          <w:lang w:val="en-US" w:eastAsia="zh-CN"/>
        </w:rPr>
        <w:t>（二）项目绩效目标</w:t>
      </w:r>
      <w:bookmarkEnd w:id="1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bookmarkStart w:id="16" w:name="_Toc26826"/>
      <w:r>
        <w:rPr>
          <w:rFonts w:hint="eastAsia" w:ascii="仿宋" w:hAnsi="仿宋" w:eastAsia="仿宋" w:cs="仿宋"/>
          <w:b w:val="0"/>
          <w:bCs w:val="0"/>
          <w:sz w:val="30"/>
          <w:szCs w:val="30"/>
          <w:lang w:val="en-US" w:eastAsia="zh-CN"/>
        </w:rPr>
        <w:t>阿坝县麦尔玛镇人民政府结合项目情况根据项目建设内容、项目预期产出、项目实施计划、资金筹措、项目服务对象、项目效益等方面的具体情况，设置了三级绩效目标申报表，一级目标分为产出目标和效益目标；产出指标中包含数量指标、质量指标、时效指标、成本指标、预算执行指标五类二级指标；效益指标包含经济效益指标、可持续影响指标、服务对象满意度指标几类指标：</w:t>
      </w:r>
    </w:p>
    <w:bookmarkEnd w:id="16"/>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436"/>
        <w:gridCol w:w="627"/>
        <w:gridCol w:w="1756"/>
        <w:gridCol w:w="3254"/>
        <w:gridCol w:w="24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0" w:hRule="atLeast"/>
          <w:jc w:val="center"/>
        </w:trPr>
        <w:tc>
          <w:tcPr>
            <w:tcW w:w="8522" w:type="dxa"/>
            <w:gridSpan w:val="5"/>
            <w:shd w:val="clear" w:color="auto" w:fill="auto"/>
            <w:vAlign w:val="center"/>
          </w:tcPr>
          <w:p>
            <w:pPr>
              <w:keepNext w:val="0"/>
              <w:keepLines w:val="0"/>
              <w:widowControl/>
              <w:suppressLineNumbers w:val="0"/>
              <w:spacing w:line="360" w:lineRule="exact"/>
              <w:jc w:val="center"/>
              <w:textAlignment w:val="center"/>
              <w:rPr>
                <w:rFonts w:ascii="黑体" w:hAnsi="宋体" w:eastAsia="黑体" w:cs="黑体"/>
                <w:i w:val="0"/>
                <w:iCs w:val="0"/>
                <w:color w:val="000000"/>
                <w:sz w:val="32"/>
                <w:szCs w:val="32"/>
                <w:u w:val="none"/>
              </w:rPr>
            </w:pPr>
            <w:r>
              <w:rPr>
                <w:rFonts w:hint="eastAsia" w:ascii="黑体" w:hAnsi="宋体" w:eastAsia="黑体" w:cs="黑体"/>
                <w:i w:val="0"/>
                <w:iCs w:val="0"/>
                <w:color w:val="000000"/>
                <w:kern w:val="0"/>
                <w:sz w:val="32"/>
                <w:szCs w:val="32"/>
                <w:u w:val="none"/>
                <w:lang w:val="en-US" w:eastAsia="zh-CN" w:bidi="ar"/>
              </w:rPr>
              <w:t>项目绩效目标申报表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0" w:type="auto"/>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w:t>
            </w:r>
          </w:p>
        </w:tc>
        <w:tc>
          <w:tcPr>
            <w:tcW w:w="5892"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阿坝县麦尔玛镇人民政府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5892" w:type="dxa"/>
            <w:gridSpan w:val="2"/>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麦尔玛镇阿布洛村街面路灯采购项目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0" w:type="auto"/>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2449"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536"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指标1：采购LED路灯</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536"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指标2：采购太阳能路灯</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指标1：项目（工程）验收合格率</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05"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指标1：项目（工程）按时完成率</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指标1：采购路灯标准</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1.09万/个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152万元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经济效益指标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指标1：带动增加脱贫人口务工收入</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指标1：受益脱贫人口数</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≥1127人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指标2：收益一般农户人口数</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≥5935人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0" w:type="auto"/>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指标1：项目持续服务年限</w:t>
            </w:r>
          </w:p>
        </w:tc>
        <w:tc>
          <w:tcPr>
            <w:tcW w:w="2449"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0" w:type="auto"/>
            <w:shd w:val="clear" w:color="auto" w:fill="auto"/>
            <w:vAlign w:val="center"/>
          </w:tcPr>
          <w:p>
            <w:pPr>
              <w:jc w:val="center"/>
              <w:rPr>
                <w:rFonts w:hint="eastAsia" w:ascii="黑体" w:hAnsi="宋体" w:eastAsia="黑体" w:cs="黑体"/>
                <w:i w:val="0"/>
                <w:iCs w:val="0"/>
                <w:color w:val="000000"/>
                <w:sz w:val="22"/>
                <w:szCs w:val="22"/>
                <w:u w:val="none"/>
              </w:rPr>
            </w:pPr>
          </w:p>
        </w:tc>
        <w:tc>
          <w:tcPr>
            <w:tcW w:w="0" w:type="auto"/>
            <w:shd w:val="clear" w:color="auto" w:fill="auto"/>
            <w:vAlign w:val="center"/>
          </w:tcPr>
          <w:p>
            <w:pPr>
              <w:jc w:val="center"/>
              <w:rPr>
                <w:rFonts w:hint="eastAsia" w:ascii="宋体" w:hAnsi="宋体" w:eastAsia="宋体" w:cs="宋体"/>
                <w:i w:val="0"/>
                <w:iCs w:val="0"/>
                <w:color w:val="000000"/>
                <w:sz w:val="22"/>
                <w:szCs w:val="22"/>
                <w:u w:val="none"/>
              </w:rPr>
            </w:pPr>
          </w:p>
        </w:tc>
        <w:tc>
          <w:tcPr>
            <w:tcW w:w="0" w:type="auto"/>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0" w:type="auto"/>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2449"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17" w:name="_Toc21825"/>
      <w:r>
        <w:rPr>
          <w:rFonts w:hint="eastAsia" w:ascii="黑体" w:hAnsi="黑体" w:eastAsia="黑体" w:cs="黑体"/>
          <w:b w:val="0"/>
          <w:bCs w:val="0"/>
          <w:sz w:val="30"/>
          <w:szCs w:val="30"/>
          <w:lang w:val="en-US" w:eastAsia="zh-CN"/>
        </w:rPr>
        <w:t>二、绩效评价工作开展情况</w:t>
      </w:r>
      <w:bookmarkEnd w:id="17"/>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18" w:name="_Toc26227"/>
      <w:r>
        <w:rPr>
          <w:rFonts w:hint="eastAsia" w:ascii="楷体" w:hAnsi="楷体" w:eastAsia="楷体" w:cs="楷体"/>
          <w:b w:val="0"/>
          <w:bCs w:val="0"/>
          <w:sz w:val="30"/>
          <w:szCs w:val="30"/>
          <w:lang w:val="en-US" w:eastAsia="zh-CN"/>
        </w:rPr>
        <w:t>（一）评价目的、依据、对象、范围</w:t>
      </w:r>
      <w:bookmarkEnd w:id="18"/>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1、评价目的及依据</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绩效评价是全过程预算绩效管理的重要环节。预算绩效管理主体根据设定的绩效目标，运用科学、合理的绩效评价指标、评价标准和评价方法，对财政支出的经济性、效率性和效益性进行客观、公正的评价。本次绩效评价遵循《中华人民共和国预算法》《中华人民共和国预算法实施条例》《中共中央国务院关于全面实施预算绩效管理的意见》《财政部关于贯彻落实〈中共中央国务院关于全面实施预算绩效管理的意见〉的通知》（财预〔2018〕167号）、《财政部关于委托第三方机构参与预算绩效管理的指导意见》、财政部《关于印发〈项目支出绩效评价管理办法〉的通知》（财预〔2020〕10号）、《四川省省级预算事前绩效评估管理暂行办法》等文件精</w:t>
      </w:r>
      <w:r>
        <w:rPr>
          <w:rFonts w:hint="eastAsia" w:ascii="仿宋" w:hAnsi="仿宋" w:eastAsia="仿宋" w:cs="仿宋"/>
          <w:b w:val="0"/>
          <w:bCs w:val="0"/>
          <w:sz w:val="30"/>
          <w:szCs w:val="30"/>
          <w:highlight w:val="none"/>
          <w:lang w:val="en-US" w:eastAsia="zh-CN"/>
        </w:rPr>
        <w:t>神，对阿坝县麦尔玛镇人民政府开展的麦尔玛镇阿布洛村街面路灯采购项目进行事后绩效评价，从财</w:t>
      </w:r>
      <w:r>
        <w:rPr>
          <w:rFonts w:hint="eastAsia" w:ascii="仿宋" w:hAnsi="仿宋" w:eastAsia="仿宋" w:cs="仿宋"/>
          <w:b w:val="0"/>
          <w:bCs w:val="0"/>
          <w:sz w:val="30"/>
          <w:szCs w:val="30"/>
          <w:lang w:val="en-US" w:eastAsia="zh-CN"/>
        </w:rPr>
        <w:t>政预算资金使用合规合理性、经济性的角度探寻项目的效率和效益，反映项目绩效目标的实现程度。总结该项目在预算管理、资金管理、项目实施过程管理等方面建立完善和执行内控制度的经验和教训；总结和评价该项目投入产出、效率效益的内在联系和必然结果。通过绩效评价查找项目过程存在的不足和问题，提出合理建议，从而进一步加强和规范财力资金项目的预算绩效管理，切实提高财政项目资金预算的执行力和效益。</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2、评价对象及范围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本次评价的对象为</w:t>
      </w:r>
      <w:r>
        <w:rPr>
          <w:rFonts w:hint="eastAsia" w:ascii="仿宋" w:hAnsi="仿宋" w:eastAsia="仿宋" w:cs="仿宋"/>
          <w:b w:val="0"/>
          <w:bCs w:val="0"/>
          <w:sz w:val="30"/>
          <w:szCs w:val="30"/>
          <w:highlight w:val="none"/>
          <w:lang w:val="en-US" w:eastAsia="zh-CN"/>
        </w:rPr>
        <w:t>阿坝县麦尔玛镇人民政府开展的麦尔玛镇阿布洛村街面路灯采购项目，评价本</w:t>
      </w:r>
      <w:r>
        <w:rPr>
          <w:rFonts w:hint="eastAsia" w:ascii="仿宋" w:hAnsi="仿宋" w:eastAsia="仿宋" w:cs="仿宋"/>
          <w:b w:val="0"/>
          <w:bCs w:val="0"/>
          <w:sz w:val="30"/>
          <w:szCs w:val="30"/>
          <w:lang w:val="en-US" w:eastAsia="zh-CN"/>
        </w:rPr>
        <w:t>项目预算资金的使用及达成效益情况。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范围包含麦尔玛镇阿布洛村街面路灯采购项目的项目执行后所产出的绩效以及为实现绩效目标所实施的各环节过程，具体包括项目决策、项目过程（包括资金管理、组织实施）、项目产出（包括数量、质量、时效和成本）、项目效益（包括实施效益和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19" w:name="_Toc938"/>
      <w:r>
        <w:rPr>
          <w:rFonts w:hint="eastAsia" w:ascii="楷体" w:hAnsi="楷体" w:eastAsia="楷体" w:cs="楷体"/>
          <w:b w:val="0"/>
          <w:bCs w:val="0"/>
          <w:sz w:val="30"/>
          <w:szCs w:val="30"/>
          <w:lang w:val="en-US" w:eastAsia="zh-CN"/>
        </w:rPr>
        <w:t>（二）绩效评价原则、评价指标体系、评价方法、评价标准</w:t>
      </w:r>
      <w:bookmarkEnd w:id="1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1、评价原则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本次绩效评价遵循科学规范、公开公正、绩效相关的原则：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（1）科学规范。绩效评价注重财政资金支出的经济性、效率性和有效性，严格执行规定的程序，采用定量与定性分析相结合的方法。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（2）公正公开。绩效评价客观、公正，标准统一、资料可靠，依法公开并接受监督。</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（3）绩效相关。绩效评价针对具体支出及其产出绩效进行，评价结果清晰反映支出和产出绩效之间的紧密对应关系。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2、评价指标体系</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根据绩效评价的基本原理、原则和预算绩效管理的相关要求，结合被评价项目的特点，评价组按照逻辑分析法，依照《四川省省级预算事前绩效评估管理暂行办法》及财政部相关文件、《财政项目支出绩效评价指标框架》等，在对项目单位编制的绩效指标进行梳理、补充和修正，在实地调研基础上，结合项目性质和特点，依照重要性原则进行权重分配，形成绩效评价的指标体系。在指标体系设置时，注重其科学性、实用性、可实现性和可操作性，尽可能地设置客观性的量化指标，并适当使用定性指标；既关注项目单位的项目工作目标，也考虑各相关部门的体验和感受，做到相互补充，科学可行，确保充分体现和真实反映本项目绩效目标的完成情况和绩效状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val="en-US" w:eastAsia="zh-CN"/>
        </w:rPr>
        <w:t>麦尔玛镇阿布洛村街面路灯采购项目</w:t>
      </w:r>
      <w:r>
        <w:rPr>
          <w:rFonts w:hint="eastAsia" w:ascii="仿宋" w:hAnsi="仿宋" w:eastAsia="仿宋" w:cs="仿宋"/>
          <w:b w:val="0"/>
          <w:bCs w:val="0"/>
          <w:sz w:val="30"/>
          <w:szCs w:val="30"/>
          <w:highlight w:val="none"/>
          <w:lang w:val="en-US" w:eastAsia="zh-CN"/>
        </w:rPr>
        <w:t>绩效评价指标体系由三级指标构成。其中一级指标和二级指标根据《财政项目支出绩效评价指标框架》设置三级指标，尤其是产出类和效益类指标，针对本项目特点进行个性化设置。一级指标4个，决策、过程、产出和效益；二级指标10个，三级指标17个，围绕项目立项、资金投入、项目过程、项目产出、项目效益等方面，客观分析项目的产出和效果，进而挖掘经验和好的做法，发现问题并提出改进意见。</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3、评价方法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根据现场评价工作方案，由资料搜集组进行本次绩效评价工作所需资料的搜集，</w:t>
      </w:r>
      <w:r>
        <w:rPr>
          <w:rFonts w:hint="eastAsia" w:ascii="仿宋" w:hAnsi="仿宋" w:eastAsia="仿宋" w:cs="仿宋"/>
          <w:b w:val="0"/>
          <w:bCs w:val="0"/>
          <w:sz w:val="30"/>
          <w:szCs w:val="30"/>
          <w:lang w:val="en-US" w:eastAsia="zh-CN"/>
        </w:rPr>
        <w:t>搜集整理资料包括但不限于：政策文件、项目资料、会计原始凭证、记账凭证等，</w:t>
      </w:r>
      <w:r>
        <w:rPr>
          <w:rFonts w:hint="default" w:ascii="仿宋" w:hAnsi="仿宋" w:eastAsia="仿宋" w:cs="仿宋"/>
          <w:b w:val="0"/>
          <w:bCs w:val="0"/>
          <w:sz w:val="30"/>
          <w:szCs w:val="30"/>
          <w:lang w:val="en-US" w:eastAsia="zh-CN"/>
        </w:rPr>
        <w:t>对其进行整理后带回本公司，交由各评价小组，评价小组采用不限于以下方法在内的绩效评价方法对各个项目进行绩效评价。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评价方法主要包括成本效益分析法、比较法、因素分析法、最低成本法、公众评判法、标杆管理法等。根据评价对象的具体情况，可采用一种或多种方法。本次绩效评价采用的方法是指标评价法、因素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法、公众评判法和比较法。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指标法，旨在通过指标设置、指标分析结果的提炼，反映对项目决策、实施、产出和效益各个环节的判断结果。重点分析决策的科学性、准确性，资金投入和使用的合理性、规范性，项目监管机制的健全性、有效性，项目产出和效益的目标相符性和公众满意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因素</w:t>
      </w:r>
      <w:r>
        <w:rPr>
          <w:rFonts w:hint="eastAsia" w:ascii="仿宋" w:hAnsi="仿宋" w:eastAsia="仿宋" w:cs="仿宋"/>
          <w:b w:val="0"/>
          <w:bCs w:val="0"/>
          <w:sz w:val="30"/>
          <w:szCs w:val="30"/>
          <w:lang w:val="en-US" w:eastAsia="zh-CN"/>
        </w:rPr>
        <w:t>分析</w:t>
      </w:r>
      <w:r>
        <w:rPr>
          <w:rFonts w:hint="default" w:ascii="仿宋" w:hAnsi="仿宋" w:eastAsia="仿宋" w:cs="仿宋"/>
          <w:b w:val="0"/>
          <w:bCs w:val="0"/>
          <w:sz w:val="30"/>
          <w:szCs w:val="30"/>
          <w:lang w:val="en-US" w:eastAsia="zh-CN"/>
        </w:rPr>
        <w:t>法，是指通过综合分析影响财政支出绩效目标实现实施效果的内部、外部因素，综合评价财政支出绩效目标实现程度。如外部环境、内部控制、资金和制度保障、项目实施路径等。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比较法，是指通过财政支出绩效目标与实施效果、前一轮和当前执行情况、国内同类的行业情况等进行比较，综合分析财政支出绩效目标实现程度。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公众评判法，是指通过专家评议，抽样调查，座谈访谈等方式，反映社会公众对财政项目支出效果进行的评判，以评价财政项目支出绩效目标实现程度。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4.评价标准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的评价标准是依据绩效评价基本原理，以客观性因素为重要依据，以量化指标值为重要原则，分别按照计划标准、行业标准、历史标准等作为衡量项目绩效目标实现程度的判断尺度。对于定性指标，根据指标完成情况分为达成项目指标、部分达成项目指标并具有一定效果、未达成项目指标且效果较差</w:t>
      </w:r>
      <w:r>
        <w:rPr>
          <w:rFonts w:hint="eastAsia" w:ascii="仿宋" w:hAnsi="仿宋" w:eastAsia="仿宋" w:cs="仿宋"/>
          <w:b w:val="0"/>
          <w:bCs w:val="0"/>
          <w:sz w:val="30"/>
          <w:szCs w:val="30"/>
          <w:lang w:val="en-US" w:eastAsia="zh-CN"/>
        </w:rPr>
        <w:t>三档</w:t>
      </w:r>
      <w:r>
        <w:rPr>
          <w:rFonts w:hint="default" w:ascii="仿宋" w:hAnsi="仿宋" w:eastAsia="仿宋" w:cs="仿宋"/>
          <w:b w:val="0"/>
          <w:bCs w:val="0"/>
          <w:sz w:val="30"/>
          <w:szCs w:val="30"/>
          <w:lang w:val="en-US" w:eastAsia="zh-CN"/>
        </w:rPr>
        <w:t>，分别按照该指标对应分值区间100%-80%（含）、80%-60%（含）、60%-0%</w:t>
      </w:r>
      <w:r>
        <w:rPr>
          <w:rFonts w:hint="eastAsia" w:ascii="仿宋" w:hAnsi="仿宋" w:eastAsia="仿宋" w:cs="仿宋"/>
          <w:b w:val="0"/>
          <w:bCs w:val="0"/>
          <w:sz w:val="30"/>
          <w:szCs w:val="30"/>
          <w:lang w:val="en-US" w:eastAsia="zh-CN"/>
        </w:rPr>
        <w:t>，按比例</w:t>
      </w:r>
      <w:r>
        <w:rPr>
          <w:rFonts w:hint="default" w:ascii="仿宋" w:hAnsi="仿宋" w:eastAsia="仿宋" w:cs="仿宋"/>
          <w:b w:val="0"/>
          <w:bCs w:val="0"/>
          <w:sz w:val="30"/>
          <w:szCs w:val="30"/>
          <w:lang w:val="en-US" w:eastAsia="zh-CN"/>
        </w:rPr>
        <w:t>合理确定分值。</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定量指标是可以准确数量定义、精确衡量并能设定绩效目标的考核指标。定量指标按照与设定指标值相比的公式等予以量化，完成指标值</w:t>
      </w:r>
      <w:r>
        <w:rPr>
          <w:rFonts w:hint="eastAsia" w:ascii="仿宋" w:hAnsi="仿宋" w:eastAsia="仿宋" w:cs="仿宋"/>
          <w:b w:val="0"/>
          <w:bCs w:val="0"/>
          <w:sz w:val="30"/>
          <w:szCs w:val="30"/>
          <w:lang w:val="en-US" w:eastAsia="zh-CN"/>
        </w:rPr>
        <w:t>赋予</w:t>
      </w:r>
      <w:r>
        <w:rPr>
          <w:rFonts w:hint="default" w:ascii="仿宋" w:hAnsi="仿宋" w:eastAsia="仿宋" w:cs="仿宋"/>
          <w:b w:val="0"/>
          <w:bCs w:val="0"/>
          <w:sz w:val="30"/>
          <w:szCs w:val="30"/>
          <w:lang w:val="en-US" w:eastAsia="zh-CN"/>
        </w:rPr>
        <w:t>全部权重分值；高于指标值的，分析和反观指标值设定合理性；低于指标值的，按照完成值与指标值的比例得分。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绩效评价结果采取评分</w:t>
      </w:r>
      <w:r>
        <w:rPr>
          <w:rFonts w:hint="default" w:ascii="仿宋" w:hAnsi="仿宋" w:eastAsia="仿宋" w:cs="仿宋"/>
          <w:b w:val="0"/>
          <w:bCs w:val="0"/>
          <w:sz w:val="30"/>
          <w:szCs w:val="30"/>
          <w:highlight w:val="none"/>
          <w:lang w:val="en-US" w:eastAsia="zh-CN"/>
        </w:rPr>
        <w:t>和评级相结合的方式。总分设置为 100分，等级划分为</w:t>
      </w:r>
      <w:r>
        <w:rPr>
          <w:rFonts w:hint="eastAsia" w:ascii="仿宋" w:hAnsi="仿宋" w:eastAsia="仿宋" w:cs="仿宋"/>
          <w:b w:val="0"/>
          <w:bCs w:val="0"/>
          <w:sz w:val="30"/>
          <w:szCs w:val="30"/>
          <w:highlight w:val="none"/>
          <w:lang w:val="en-US" w:eastAsia="zh-CN"/>
        </w:rPr>
        <w:t>四档</w:t>
      </w:r>
      <w:r>
        <w:rPr>
          <w:rFonts w:hint="default" w:ascii="仿宋" w:hAnsi="仿宋" w:eastAsia="仿宋" w:cs="仿宋"/>
          <w:b w:val="0"/>
          <w:bCs w:val="0"/>
          <w:sz w:val="30"/>
          <w:szCs w:val="30"/>
          <w:highlight w:val="none"/>
          <w:lang w:val="en-US" w:eastAsia="zh-CN"/>
        </w:rPr>
        <w:t>：90分（含）-100分为优；80分（含）-90分为良； 60（含）-80分为中；60分以下为差</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0" w:name="_Toc31055"/>
      <w:r>
        <w:rPr>
          <w:rFonts w:hint="eastAsia" w:ascii="楷体" w:hAnsi="楷体" w:eastAsia="楷体" w:cs="楷体"/>
          <w:b w:val="0"/>
          <w:bCs w:val="0"/>
          <w:sz w:val="30"/>
          <w:szCs w:val="30"/>
          <w:lang w:val="en-US" w:eastAsia="zh-CN"/>
        </w:rPr>
        <w:t>（三）绩效评价工作过程保障</w:t>
      </w:r>
      <w:bookmarkEnd w:id="2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1.资料采集方法及过程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本项目绩效评价工作方案确定后，评价组根据不同的绩效指标，采取了不同的数据采集方法，具体过程及对应的数据采集内容如下：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 xml:space="preserve">（1）评价工作组根据被评价项目情况，依次对相关项目实施单位开展调研。力图通过调研，了解项目的基本情况、组织管理情况，评价组成员与被评价项目领导工作小组进行沟通，了解项目组织、实施、管理的具体情况，了解和评估财政资金使用的效率和效益，发现资金使用和项目管理中存在的问题并予以核实。为下一步绩效评价工作的全面展开做好准备。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采用现场搜集绩效评价工作所需资料，远程开展绩效评价工作的方式开展工作，即委派资料搜集小组进行现场资料搜集整理，搜集整理资料包括但不限于：政策文件、项目资料、会计原始凭证、记账凭证等，依据资料清单进行现场资料搜集工作，将资料带回本公司后统一展开评审工作，在评审过程中需要补充完善资料的，由资料搜集组负责与相关项目单位进行联系，获取所需资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资料汇总整理：资料搜集小组在现场对所搜集的资料进行初步整理后，带回本公司送至评价工作组，由评价工作组对收集到的资料进行进一步的分类整理和审查，分析相关数据；评价工作组按照资料清单对所收集的资料进行整理，对于应提供而未提供的资料，及时与项目主管单位和项目实施单位沟通，要求按照规定提供，最大程度地保证工作的顺利开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（3）问卷调查：为客观测定财政资金的使用效果，依据公共财政支出绩效评价“为公众服务”的原理，引入“满意度”指标，针对项目受益对象和项目参与人员开展满意度调查。</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2.绩效评价实施过程</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1、人员安排</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我公司针对本项目提供的</w:t>
      </w:r>
      <w:r>
        <w:rPr>
          <w:rFonts w:hint="default" w:ascii="仿宋" w:hAnsi="仿宋" w:eastAsia="仿宋" w:cs="仿宋"/>
          <w:b w:val="0"/>
          <w:bCs w:val="0"/>
          <w:sz w:val="30"/>
          <w:szCs w:val="30"/>
          <w:lang w:val="en-US" w:eastAsia="zh-CN"/>
        </w:rPr>
        <w:t>绩效评价工作组</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成员包括1名组长及至少2名组员。并为本项目安排了两名售后服务人员，随时保持与阿坝县财政局以及各项目单位的沟通负责该项目绩效评价工作，包括前期调查，制定工作方案，调查取数，撰写评价报告。同时，本公司聘请相关的顾问专家，提供评价前期辅导工作，协助指导设计绩效评价工作方案、评价指标体系，指导评价报告的撰写。</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2、绩效评价工作方案</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已针对本项目形成完善的工作方案，包含人员安排、实施程序、评价方法、资料交接等在内的工作方案，能够为本项目的绩效评价工作提供方案支撑。</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21" w:name="_Toc12654"/>
      <w:r>
        <w:rPr>
          <w:rFonts w:hint="eastAsia" w:ascii="黑体" w:hAnsi="黑体" w:eastAsia="黑体" w:cs="黑体"/>
          <w:b w:val="0"/>
          <w:bCs w:val="0"/>
          <w:sz w:val="30"/>
          <w:szCs w:val="30"/>
          <w:lang w:val="en-US" w:eastAsia="zh-CN"/>
        </w:rPr>
        <w:t>三、绩效评价指标分析</w:t>
      </w:r>
      <w:bookmarkEnd w:id="21"/>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color w:val="0000FF"/>
          <w:sz w:val="30"/>
          <w:szCs w:val="30"/>
          <w:lang w:val="en-US" w:eastAsia="zh-CN"/>
        </w:rPr>
      </w:pPr>
      <w:bookmarkStart w:id="22" w:name="_Toc31513"/>
      <w:r>
        <w:rPr>
          <w:rFonts w:hint="eastAsia" w:ascii="楷体" w:hAnsi="楷体" w:eastAsia="楷体" w:cs="楷体"/>
          <w:b w:val="0"/>
          <w:bCs w:val="0"/>
          <w:sz w:val="30"/>
          <w:szCs w:val="30"/>
          <w:lang w:val="en-US" w:eastAsia="zh-CN"/>
        </w:rPr>
        <w:t>（一）项目决策</w:t>
      </w:r>
      <w:bookmarkEnd w:id="2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决策指标主要从项目立项和绩效目标两个要点进行评价，具体包含立项依据充分性和立项程序规范性、绩效目标合理性和绩效指标明确性、预算编制科学性和资金分配合理性等六个方面对项目立项、绩效目标、资金投入决策进行考察。项目决策类指标权重分20%，评</w:t>
      </w:r>
      <w:r>
        <w:rPr>
          <w:rFonts w:hint="eastAsia" w:ascii="仿宋" w:hAnsi="仿宋" w:eastAsia="仿宋" w:cs="仿宋"/>
          <w:b w:val="0"/>
          <w:bCs w:val="0"/>
          <w:sz w:val="30"/>
          <w:szCs w:val="30"/>
          <w:highlight w:val="none"/>
          <w:lang w:val="en-US" w:eastAsia="zh-CN"/>
        </w:rPr>
        <w:t>价得分17分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1、项目立项，</w:t>
      </w:r>
      <w:r>
        <w:rPr>
          <w:rFonts w:hint="eastAsia" w:ascii="仿宋" w:hAnsi="仿宋" w:eastAsia="仿宋" w:cs="仿宋"/>
          <w:b/>
          <w:bCs/>
          <w:sz w:val="30"/>
          <w:szCs w:val="30"/>
          <w:highlight w:val="none"/>
          <w:lang w:val="en-US" w:eastAsia="zh-CN"/>
        </w:rPr>
        <w:t>权重6分，得6分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（1）立项依据充分性</w:t>
      </w:r>
      <w:r>
        <w:rPr>
          <w:rFonts w:hint="eastAsia" w:ascii="仿宋" w:hAnsi="仿宋" w:eastAsia="仿宋" w:cs="仿宋"/>
          <w:b w:val="0"/>
          <w:bCs w:val="0"/>
          <w:sz w:val="30"/>
          <w:szCs w:val="30"/>
          <w:highlight w:val="none"/>
          <w:lang w:val="en-US" w:eastAsia="zh-CN"/>
        </w:rPr>
        <w:t>，权重3分，得</w:t>
      </w:r>
      <w:r>
        <w:rPr>
          <w:rFonts w:hint="eastAsia" w:ascii="仿宋" w:hAnsi="仿宋" w:eastAsia="仿宋" w:cs="仿宋"/>
          <w:b w:val="0"/>
          <w:bCs w:val="0"/>
          <w:color w:val="auto"/>
          <w:sz w:val="30"/>
          <w:szCs w:val="30"/>
          <w:highlight w:val="none"/>
          <w:lang w:val="en-US" w:eastAsia="zh-CN"/>
        </w:rPr>
        <w:t>3</w:t>
      </w:r>
      <w:r>
        <w:rPr>
          <w:rFonts w:hint="eastAsia" w:ascii="仿宋" w:hAnsi="仿宋" w:eastAsia="仿宋" w:cs="仿宋"/>
          <w:b w:val="0"/>
          <w:bCs w:val="0"/>
          <w:sz w:val="30"/>
          <w:szCs w:val="30"/>
          <w:highlight w:val="none"/>
          <w:lang w:val="en-US" w:eastAsia="zh-CN"/>
        </w:rPr>
        <w:t>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本指标考察项目立项是否有充分的依</w:t>
      </w:r>
      <w:r>
        <w:rPr>
          <w:rFonts w:hint="eastAsia" w:ascii="仿宋" w:hAnsi="仿宋" w:eastAsia="仿宋" w:cs="仿宋"/>
          <w:b w:val="0"/>
          <w:bCs w:val="0"/>
          <w:sz w:val="30"/>
          <w:szCs w:val="30"/>
          <w:lang w:val="en-US" w:eastAsia="zh-CN"/>
        </w:rPr>
        <w:t>据，是否符合国家和省、市、县的相关规定，是否与项目单位职责密切相关。用以反映和考核项目立项依据情况。</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四川省国民经济和社会发展第十四个五年规划和二〇三五年远景目标纲要》指出“推进县城城镇化补短板强弱项，加快县域城镇化进程。推动公共服务设施提标扩面、环境卫生设施提级扩能、市政公用设施提档升级、产业培育设施提质增效，动态适应城乡居民在县城就业安家需求。优化完善县城教育卫生、市政管网、农贸市场、生活垃圾和污水收运处理、公路配套等设施，加强防洪、排涝、抗震、消防等设施建设。推进国家新型城镇化示范县（市）建设，有序开展省级试点示范”。</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阿坝藏族羌族自治州国民经济和社会发展第十四个五年规划和二〇三五年远景目标纲要》指出“实施小县优城行动，创新产城融合发展模式，推动旧城改造和新城区建设，全面提升城市经济品质、人文品质、生态品质、生活品质，打造宜居宜业、宜游宜人、繁荣舒适的现代复合型城区，建设一批高原魅力县城，打造县域经济核心增长极”。</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关于全面推进乡村振兴加快农业农村现代化的意见》提出：开发休闲农业和乡村旅游精品线路，完善公共卫生间、停车场、街面路灯等配套设施。走中国特色社会主义乡村振兴道路，加快农业农村现代化，加快形成工农互促、城乡互补、协调发展、共同繁荣的新型工农城乡关系，促进农业高质高效、乡村宜居宜业、农民富裕富足，为全面建设社会主义现代化国家开好局、起好步提供有力支撑。</w:t>
      </w: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default" w:asciiTheme="minorHAnsi" w:hAnsiTheme="minorHAnsi" w:eastAsiaTheme="minorEastAsia" w:cstheme="minorBidi"/>
          <w:b w:val="0"/>
          <w:bCs w:val="0"/>
          <w:sz w:val="21"/>
          <w:szCs w:val="24"/>
          <w:lang w:val="en-US" w:eastAsia="zh-CN"/>
        </w:rPr>
      </w:pPr>
      <w:r>
        <w:rPr>
          <w:rFonts w:hint="eastAsia" w:ascii="仿宋" w:hAnsi="仿宋" w:eastAsia="仿宋" w:cs="仿宋"/>
          <w:b w:val="0"/>
          <w:bCs w:val="0"/>
          <w:sz w:val="30"/>
          <w:szCs w:val="30"/>
          <w:highlight w:val="none"/>
          <w:lang w:val="en-US" w:eastAsia="zh-CN"/>
        </w:rPr>
        <w:t xml:space="preserve">    上述相关文件，为本项目立项提供了充分的依</w:t>
      </w:r>
      <w:r>
        <w:rPr>
          <w:rFonts w:hint="eastAsia" w:ascii="仿宋" w:hAnsi="仿宋" w:eastAsia="仿宋" w:cs="仿宋"/>
          <w:b w:val="0"/>
          <w:bCs w:val="0"/>
          <w:sz w:val="30"/>
          <w:szCs w:val="30"/>
          <w:lang w:val="en-US" w:eastAsia="zh-CN"/>
        </w:rPr>
        <w:t>据。</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（2）立项程序</w:t>
      </w:r>
      <w:r>
        <w:rPr>
          <w:rFonts w:hint="eastAsia" w:ascii="仿宋" w:hAnsi="仿宋" w:eastAsia="仿宋" w:cs="仿宋"/>
          <w:b w:val="0"/>
          <w:bCs w:val="0"/>
          <w:sz w:val="30"/>
          <w:szCs w:val="30"/>
          <w:highlight w:val="none"/>
          <w:lang w:val="en-US" w:eastAsia="zh-CN"/>
        </w:rPr>
        <w:t>规范性，权重3分，得3分。</w:t>
      </w:r>
    </w:p>
    <w:p>
      <w:pPr>
        <w:keepNext w:val="0"/>
        <w:keepLines w:val="0"/>
        <w:pageBreakBefore w:val="0"/>
        <w:widowControl w:val="0"/>
        <w:kinsoku/>
        <w:wordWrap/>
        <w:overflowPunct/>
        <w:topLinePunct w:val="0"/>
        <w:autoSpaceDE/>
        <w:autoSpaceDN/>
        <w:bidi w:val="0"/>
        <w:adjustRightInd/>
        <w:snapToGrid/>
        <w:spacing w:afterLines="0"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本指标考察项目的申请、设立过程是否符合相关要求，用以反映和考核项目立项的规范情况。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该项目按照阿坝县财政局规定的程序申请设立，阿坝县麦尔玛镇人民政府先内部讨论决议设立该项目，经过主管部门和财政部门等审核，最终项目立项，审批文件、材料符合阿坝县财政局相关要求。</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bCs/>
          <w:sz w:val="30"/>
          <w:szCs w:val="30"/>
          <w:lang w:val="en-US" w:eastAsia="zh-CN"/>
        </w:rPr>
      </w:pPr>
      <w:r>
        <w:rPr>
          <w:rFonts w:hint="eastAsia" w:ascii="仿宋" w:hAnsi="仿宋" w:eastAsia="仿宋" w:cs="仿宋"/>
          <w:b/>
          <w:bCs/>
          <w:sz w:val="30"/>
          <w:szCs w:val="30"/>
          <w:lang w:val="en-US" w:eastAsia="zh-CN"/>
        </w:rPr>
        <w:t>2、绩效目标，</w:t>
      </w:r>
      <w:r>
        <w:rPr>
          <w:rFonts w:hint="eastAsia" w:ascii="仿宋" w:hAnsi="仿宋" w:eastAsia="仿宋" w:cs="仿宋"/>
          <w:b/>
          <w:bCs/>
          <w:sz w:val="30"/>
          <w:szCs w:val="30"/>
          <w:highlight w:val="none"/>
          <w:lang w:val="en-US" w:eastAsia="zh-CN"/>
        </w:rPr>
        <w:t>权重8分，得分5分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（1）绩效目标合理性，权重4分，得分2分。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 xml:space="preserve">本指标考察项目所设定的绩效目标是否依据充分，是否符合客观实际，用以反映和考核项目绩效目标与项目实施的相符情况。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sz w:val="30"/>
          <w:szCs w:val="30"/>
          <w:highlight w:val="none"/>
          <w:lang w:eastAsia="zh-CN"/>
        </w:rPr>
        <w:t>阿坝县麦尔玛镇人民政府</w:t>
      </w:r>
      <w:r>
        <w:rPr>
          <w:rFonts w:ascii="仿宋" w:hAnsi="仿宋" w:eastAsia="仿宋" w:cs="仿宋"/>
          <w:sz w:val="30"/>
          <w:szCs w:val="30"/>
          <w:highlight w:val="none"/>
        </w:rPr>
        <w:t>结合项目情况</w:t>
      </w:r>
      <w:r>
        <w:rPr>
          <w:rFonts w:hint="eastAsia" w:ascii="仿宋" w:hAnsi="仿宋" w:eastAsia="仿宋" w:cs="仿宋"/>
          <w:sz w:val="30"/>
          <w:szCs w:val="30"/>
          <w:highlight w:val="none"/>
        </w:rPr>
        <w:t>根据项目建设内容、项目预期产出、项目实施计划、资金筹措、项目服务对象、项目效益等方面的具体情况，设三级绩效目标申报表</w:t>
      </w:r>
      <w:r>
        <w:rPr>
          <w:rFonts w:hint="eastAsia" w:ascii="仿宋" w:hAnsi="仿宋" w:eastAsia="仿宋" w:cs="仿宋"/>
          <w:sz w:val="30"/>
          <w:szCs w:val="30"/>
          <w:highlight w:val="none"/>
          <w:lang w:eastAsia="zh-CN"/>
        </w:rPr>
        <w:t>。</w:t>
      </w:r>
      <w:r>
        <w:rPr>
          <w:rFonts w:hint="eastAsia" w:ascii="仿宋" w:hAnsi="仿宋" w:eastAsia="仿宋" w:cs="仿宋"/>
          <w:sz w:val="30"/>
          <w:szCs w:val="30"/>
          <w:highlight w:val="none"/>
          <w:lang w:val="en-US" w:eastAsia="zh-CN"/>
        </w:rPr>
        <w:t>产出</w:t>
      </w:r>
      <w:r>
        <w:rPr>
          <w:rFonts w:hint="eastAsia" w:ascii="仿宋" w:hAnsi="仿宋" w:eastAsia="仿宋" w:cs="仿宋"/>
          <w:sz w:val="30"/>
          <w:szCs w:val="30"/>
          <w:highlight w:val="none"/>
          <w:lang w:eastAsia="zh-CN"/>
        </w:rPr>
        <w:t>指标中数量、质量指标根据该项目具体工作内容展开。</w:t>
      </w:r>
      <w:r>
        <w:rPr>
          <w:rFonts w:hint="eastAsia" w:ascii="仿宋" w:hAnsi="仿宋" w:eastAsia="仿宋" w:cs="仿宋"/>
          <w:sz w:val="30"/>
          <w:szCs w:val="30"/>
          <w:highlight w:val="none"/>
          <w:lang w:val="en-US" w:eastAsia="zh-CN"/>
        </w:rPr>
        <w:t>效益指标根据本项目所实际带来的效益而设定，三级绩效指标大部分与项目实际产出相关，绩效目标与预算确定的项目投资额或资金量相匹配，但部分绩效目标的设置不够合理，时效指标设置未明确开竣工时间，项目未设置生态效益指标。</w:t>
      </w:r>
      <w:r>
        <w:rPr>
          <w:rFonts w:hint="eastAsia" w:ascii="仿宋" w:hAnsi="仿宋" w:eastAsia="仿宋" w:cs="仿宋"/>
          <w:b w:val="0"/>
          <w:bCs w:val="0"/>
          <w:sz w:val="30"/>
          <w:szCs w:val="30"/>
          <w:highlight w:val="none"/>
          <w:lang w:val="en-US" w:eastAsia="zh-CN"/>
        </w:rPr>
        <w:t xml:space="preserve">   </w:t>
      </w:r>
      <w:r>
        <w:rPr>
          <w:rFonts w:hint="eastAsia" w:ascii="仿宋" w:hAnsi="仿宋" w:eastAsia="仿宋" w:cs="仿宋"/>
          <w:b w:val="0"/>
          <w:bCs w:val="0"/>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（2）绩效指标明确性</w:t>
      </w:r>
      <w:r>
        <w:rPr>
          <w:rFonts w:hint="eastAsia" w:ascii="仿宋" w:hAnsi="仿宋" w:eastAsia="仿宋" w:cs="仿宋"/>
          <w:b w:val="0"/>
          <w:bCs w:val="0"/>
          <w:sz w:val="30"/>
          <w:szCs w:val="30"/>
          <w:highlight w:val="none"/>
          <w:lang w:val="en-US" w:eastAsia="zh-CN"/>
        </w:rPr>
        <w:t>，权重4分，得分3分。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本指标考察依据绩效目标设定的</w:t>
      </w:r>
      <w:r>
        <w:rPr>
          <w:rFonts w:hint="eastAsia" w:ascii="仿宋" w:hAnsi="仿宋" w:eastAsia="仿宋" w:cs="仿宋"/>
          <w:b w:val="0"/>
          <w:bCs w:val="0"/>
          <w:sz w:val="30"/>
          <w:szCs w:val="30"/>
          <w:lang w:val="en-US" w:eastAsia="zh-CN"/>
        </w:rPr>
        <w:t xml:space="preserve">绩效指标是否清晰、细化、可衡量等，用以反映和考核项目绩效目标与项目实施的相符情况。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项目一级目标分为产出目标和效益目标；产出指标中包含数量指标、质量指标、时效指标、成本指标、预算执行指标五类二级指标；效益指标包含经济效益指标、可持续影响指标、服务对象满意度指标五类指标；一二级指标下根据项目实际情况设置三级细化指标。本项目绩效目标值设置产出指标均能够量化，可以衡量项目建设所取得的效果，与项目具体建设内容或计划匹配。时效效益指标的目标为“项目（工程）按时完成率”，指标值为≥100%；时效的指标值未细化量化，后续考核困难。</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3、资金投入，权重6分，得分6分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（1）预算编制科学性，权重3分，得分3分。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本指标考察项目预算编制是否经过科学论证、有明确标准，资金额度与年度目标是否相适应</w:t>
      </w:r>
      <w:r>
        <w:rPr>
          <w:rFonts w:hint="eastAsia" w:ascii="仿宋" w:hAnsi="仿宋" w:eastAsia="仿宋" w:cs="仿宋"/>
          <w:b w:val="0"/>
          <w:bCs w:val="0"/>
          <w:sz w:val="30"/>
          <w:szCs w:val="30"/>
          <w:lang w:val="en-US" w:eastAsia="zh-CN"/>
        </w:rPr>
        <w:t>，用以反映和考核项目预算编制的科学性、合理性情况。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本项目预算编制经过科学论证，总体预算计划由项目单位进行合理确定把关，具有科学性。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本项目立项预估资金总额为152.00万元，阿坝县发展和改革局批复列示，项目资金来源为</w:t>
      </w:r>
      <w:r>
        <w:rPr>
          <w:rFonts w:hint="eastAsia" w:ascii="仿宋" w:hAnsi="仿宋" w:eastAsia="仿宋" w:cs="仿宋"/>
          <w:b w:val="0"/>
          <w:bCs w:val="0"/>
          <w:sz w:val="30"/>
          <w:szCs w:val="30"/>
          <w:lang w:val="en-US" w:eastAsia="zh-CN"/>
        </w:rPr>
        <w:t>中央和省级财政衔接推进乡村振兴补助资金</w:t>
      </w:r>
      <w:r>
        <w:rPr>
          <w:rFonts w:hint="default" w:ascii="仿宋" w:hAnsi="仿宋" w:eastAsia="仿宋" w:cs="仿宋"/>
          <w:b w:val="0"/>
          <w:bCs w:val="0"/>
          <w:sz w:val="30"/>
          <w:szCs w:val="30"/>
          <w:lang w:val="en-US" w:eastAsia="zh-CN"/>
        </w:rPr>
        <w:t>。资金文件依据为阿坝州财政局、阿坝州乡村振兴局、阿坝州发改委《阿州财农(2023)14号》文件、阿坝县财政局《阿县财农(2023)8号》文件。</w:t>
      </w:r>
      <w:r>
        <w:rPr>
          <w:rFonts w:hint="eastAsia" w:ascii="仿宋" w:hAnsi="仿宋" w:eastAsia="仿宋" w:cs="仿宋"/>
          <w:b w:val="0"/>
          <w:bCs w:val="0"/>
          <w:sz w:val="30"/>
          <w:szCs w:val="30"/>
          <w:lang w:val="en-US" w:eastAsia="zh-CN"/>
        </w:rPr>
        <w:t>已落实资金为</w:t>
      </w:r>
      <w:r>
        <w:rPr>
          <w:rFonts w:hint="default" w:ascii="仿宋" w:hAnsi="仿宋" w:eastAsia="仿宋" w:cs="仿宋"/>
          <w:b w:val="0"/>
          <w:bCs w:val="0"/>
          <w:sz w:val="30"/>
          <w:szCs w:val="30"/>
          <w:lang w:val="en-US" w:eastAsia="zh-CN"/>
        </w:rPr>
        <w:t>147.90万元，已下达资金147.90万元。</w:t>
      </w:r>
      <w:r>
        <w:rPr>
          <w:rFonts w:hint="eastAsia" w:ascii="仿宋" w:hAnsi="仿宋" w:eastAsia="仿宋" w:cs="仿宋"/>
          <w:sz w:val="30"/>
          <w:szCs w:val="30"/>
          <w:lang w:val="en-US" w:eastAsia="zh-CN"/>
        </w:rPr>
        <w:t>项目预算额度测算依据充分，经过科学论证、具有明确标准，资金额度与年度目标和项目建设计划相匹配。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（2）资金分配合理性</w:t>
      </w:r>
      <w:r>
        <w:rPr>
          <w:rFonts w:hint="eastAsia" w:ascii="仿宋" w:hAnsi="仿宋" w:eastAsia="仿宋" w:cs="仿宋"/>
          <w:b w:val="0"/>
          <w:bCs w:val="0"/>
          <w:sz w:val="30"/>
          <w:szCs w:val="30"/>
          <w:highlight w:val="none"/>
          <w:lang w:val="en-US" w:eastAsia="zh-CN"/>
        </w:rPr>
        <w:t>，权重3分，得分3分。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本指标考察项目预算资金</w:t>
      </w:r>
      <w:r>
        <w:rPr>
          <w:rFonts w:hint="eastAsia" w:ascii="仿宋" w:hAnsi="仿宋" w:eastAsia="仿宋" w:cs="仿宋"/>
          <w:b w:val="0"/>
          <w:bCs w:val="0"/>
          <w:sz w:val="30"/>
          <w:szCs w:val="30"/>
          <w:lang w:val="en-US" w:eastAsia="zh-CN"/>
        </w:rPr>
        <w:t>分配是否有测算依据，用以反映和考核项目预算资金分配的科学性、合理性情况。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本项目资金分配包含建筑工程、安装工程、施工临时工程等，均按相关规定和实际需要进行分配。</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项目资金实际用于本项目基础设施建设、临时工程及设施设备采购等，本项目资金分配结果与规划一致。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23" w:name="_Toc20594"/>
      <w:r>
        <w:rPr>
          <w:rFonts w:hint="eastAsia" w:ascii="楷体" w:hAnsi="楷体" w:eastAsia="楷体" w:cs="楷体"/>
          <w:b w:val="0"/>
          <w:bCs w:val="0"/>
          <w:sz w:val="30"/>
          <w:szCs w:val="30"/>
          <w:lang w:val="en-US" w:eastAsia="zh-CN"/>
        </w:rPr>
        <w:t>（二）项目过程</w:t>
      </w:r>
      <w:bookmarkEnd w:id="2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项目过程指标主要从资金管理和组织实施两个要点评价，具体包含项目资金到位率、预算执行率、资金使用合规性，管理制度健全性、制度执行有效性、项目档案管理完整性等七个方面对项目资金管理、组织实施进行考核。项目过程管理指标权重20%，实际评价</w:t>
      </w:r>
      <w:r>
        <w:rPr>
          <w:rFonts w:hint="eastAsia" w:ascii="仿宋" w:hAnsi="仿宋" w:eastAsia="仿宋" w:cs="仿宋"/>
          <w:b w:val="0"/>
          <w:bCs w:val="0"/>
          <w:sz w:val="30"/>
          <w:szCs w:val="30"/>
          <w:highlight w:val="none"/>
          <w:lang w:val="en-US" w:eastAsia="zh-CN"/>
        </w:rPr>
        <w:t>得分17.5分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lang w:val="en-US" w:eastAsia="zh-CN"/>
        </w:rPr>
        <w:t>1、资金管理，</w:t>
      </w:r>
      <w:r>
        <w:rPr>
          <w:rFonts w:hint="eastAsia" w:ascii="仿宋" w:hAnsi="仿宋" w:eastAsia="仿宋" w:cs="仿宋"/>
          <w:b/>
          <w:bCs/>
          <w:sz w:val="30"/>
          <w:szCs w:val="30"/>
          <w:highlight w:val="none"/>
          <w:lang w:val="en-US" w:eastAsia="zh-CN"/>
        </w:rPr>
        <w:t>权重12分，得分12分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（1）资金到位率，权重4分，得分4分。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考察项目资金支付到位及时情况。用以反映和考核资金落实情况对项目实施的总体保障程度。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color w:val="auto"/>
          <w:sz w:val="30"/>
          <w:szCs w:val="30"/>
          <w:highlight w:val="none"/>
          <w:lang w:val="en-US" w:eastAsia="zh-CN"/>
        </w:rPr>
      </w:pPr>
      <w:r>
        <w:rPr>
          <w:rFonts w:hint="default" w:ascii="仿宋" w:hAnsi="仿宋" w:eastAsia="仿宋" w:cs="仿宋"/>
          <w:b w:val="0"/>
          <w:bCs w:val="0"/>
          <w:sz w:val="30"/>
          <w:szCs w:val="30"/>
          <w:lang w:val="en-US" w:eastAsia="zh-CN"/>
        </w:rPr>
        <w:t>本项目立项预估资金总额为152.00万元，阿坝县发展和改革局批复列示，项目资金来源为</w:t>
      </w:r>
      <w:r>
        <w:rPr>
          <w:rFonts w:hint="eastAsia" w:ascii="仿宋" w:hAnsi="仿宋" w:eastAsia="仿宋" w:cs="仿宋"/>
          <w:b w:val="0"/>
          <w:bCs w:val="0"/>
          <w:sz w:val="30"/>
          <w:szCs w:val="30"/>
          <w:lang w:val="en-US" w:eastAsia="zh-CN"/>
        </w:rPr>
        <w:t>中央和省级财政衔接推进乡村振兴补助资金</w:t>
      </w:r>
      <w:r>
        <w:rPr>
          <w:rFonts w:hint="default" w:ascii="仿宋" w:hAnsi="仿宋" w:eastAsia="仿宋" w:cs="仿宋"/>
          <w:b w:val="0"/>
          <w:bCs w:val="0"/>
          <w:sz w:val="30"/>
          <w:szCs w:val="30"/>
          <w:lang w:val="en-US" w:eastAsia="zh-CN"/>
        </w:rPr>
        <w:t>。资金文件依据为阿坝州财政局、阿坝州乡村振兴局、阿坝州发改委《阿州财农(2023)14号》文件、阿坝县财政局《阿县财农(2023)8号》文件。</w:t>
      </w:r>
      <w:r>
        <w:rPr>
          <w:rFonts w:hint="eastAsia" w:ascii="仿宋" w:hAnsi="仿宋" w:eastAsia="仿宋" w:cs="仿宋"/>
          <w:b w:val="0"/>
          <w:bCs w:val="0"/>
          <w:sz w:val="30"/>
          <w:szCs w:val="30"/>
          <w:lang w:val="en-US" w:eastAsia="zh-CN"/>
        </w:rPr>
        <w:t>已落实资金为</w:t>
      </w:r>
      <w:r>
        <w:rPr>
          <w:rFonts w:hint="default" w:ascii="仿宋" w:hAnsi="仿宋" w:eastAsia="仿宋" w:cs="仿宋"/>
          <w:b w:val="0"/>
          <w:bCs w:val="0"/>
          <w:sz w:val="30"/>
          <w:szCs w:val="30"/>
          <w:lang w:val="en-US" w:eastAsia="zh-CN"/>
        </w:rPr>
        <w:t>147.90万元，已下达资金147.90万元</w:t>
      </w:r>
      <w:r>
        <w:rPr>
          <w:rFonts w:hint="eastAsia" w:ascii="仿宋" w:hAnsi="仿宋" w:eastAsia="仿宋" w:cs="仿宋"/>
          <w:sz w:val="30"/>
          <w:szCs w:val="30"/>
          <w:lang w:val="en-US" w:eastAsia="zh-CN"/>
        </w:rPr>
        <w:t>。</w:t>
      </w:r>
      <w:r>
        <w:rPr>
          <w:rFonts w:hint="eastAsia" w:ascii="仿宋" w:hAnsi="仿宋" w:eastAsia="仿宋" w:cs="仿宋"/>
          <w:color w:val="auto"/>
          <w:sz w:val="30"/>
          <w:szCs w:val="30"/>
          <w:highlight w:val="none"/>
          <w:lang w:val="en-US" w:eastAsia="zh-CN"/>
        </w:rPr>
        <w:t>项目资金到位率为100%。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本指标考察项目预算资金是否按照计划执行，用以反映或考核项目预算执行情况</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根据本项目实际情况，</w:t>
      </w:r>
      <w:r>
        <w:rPr>
          <w:rFonts w:hint="eastAsia" w:ascii="仿宋" w:hAnsi="仿宋" w:eastAsia="仿宋" w:cs="仿宋"/>
          <w:sz w:val="30"/>
          <w:szCs w:val="30"/>
          <w:lang w:val="en-US" w:eastAsia="zh-CN"/>
        </w:rPr>
        <w:t>截至绩效评价日2023年10月30日，本项目已下达资金147.90万元，本项目已支付147.90万元。</w:t>
      </w:r>
      <w:r>
        <w:rPr>
          <w:rFonts w:hint="default" w:ascii="仿宋" w:hAnsi="仿宋" w:eastAsia="仿宋" w:cs="仿宋"/>
          <w:b w:val="0"/>
          <w:bCs w:val="0"/>
          <w:sz w:val="30"/>
          <w:szCs w:val="30"/>
          <w:highlight w:val="none"/>
          <w:lang w:val="en-US" w:eastAsia="zh-CN"/>
        </w:rPr>
        <w:t>预算执行率=</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实际支出资金/实际到位资金</w:t>
      </w:r>
      <w:r>
        <w:rPr>
          <w:rFonts w:hint="eastAsia" w:ascii="仿宋" w:hAnsi="仿宋" w:eastAsia="仿宋" w:cs="仿宋"/>
          <w:b w:val="0"/>
          <w:bCs w:val="0"/>
          <w:sz w:val="30"/>
          <w:szCs w:val="30"/>
          <w:highlight w:val="none"/>
          <w:lang w:val="en-US" w:eastAsia="zh-CN"/>
        </w:rPr>
        <w:t>）</w:t>
      </w:r>
      <w:r>
        <w:rPr>
          <w:rFonts w:hint="eastAsia" w:ascii="仿宋" w:hAnsi="仿宋" w:eastAsia="仿宋" w:cs="仿宋"/>
          <w:sz w:val="30"/>
          <w:szCs w:val="30"/>
          <w:highlight w:val="none"/>
          <w:lang w:val="en-US" w:eastAsia="zh-CN"/>
        </w:rPr>
        <w:t>*100%</w:t>
      </w:r>
      <w:r>
        <w:rPr>
          <w:rFonts w:hint="eastAsia" w:ascii="仿宋" w:hAnsi="仿宋" w:eastAsia="仿宋" w:cs="仿宋"/>
          <w:b w:val="0"/>
          <w:bCs w:val="0"/>
          <w:sz w:val="30"/>
          <w:szCs w:val="30"/>
          <w:highlight w:val="none"/>
          <w:lang w:val="en-US" w:eastAsia="zh-CN"/>
        </w:rPr>
        <w:t>，</w:t>
      </w:r>
      <w:r>
        <w:rPr>
          <w:rFonts w:hint="default" w:ascii="仿宋" w:hAnsi="仿宋" w:eastAsia="仿宋" w:cs="仿宋"/>
          <w:b w:val="0"/>
          <w:bCs w:val="0"/>
          <w:sz w:val="30"/>
          <w:szCs w:val="30"/>
          <w:highlight w:val="none"/>
          <w:lang w:val="en-US" w:eastAsia="zh-CN"/>
        </w:rPr>
        <w:t>项目预算执行率</w:t>
      </w:r>
      <w:r>
        <w:rPr>
          <w:rFonts w:hint="eastAsia" w:ascii="仿宋" w:hAnsi="仿宋" w:eastAsia="仿宋" w:cs="仿宋"/>
          <w:b w:val="0"/>
          <w:bCs w:val="0"/>
          <w:sz w:val="30"/>
          <w:szCs w:val="30"/>
          <w:highlight w:val="none"/>
          <w:lang w:val="en-US" w:eastAsia="zh-CN"/>
        </w:rPr>
        <w:t>为100</w:t>
      </w:r>
      <w:r>
        <w:rPr>
          <w:rFonts w:hint="eastAsia" w:ascii="仿宋" w:hAnsi="仿宋" w:eastAsia="仿宋" w:cs="仿宋"/>
          <w:sz w:val="30"/>
          <w:szCs w:val="30"/>
          <w:highlight w:val="none"/>
          <w:lang w:val="en-US" w:eastAsia="zh-CN"/>
        </w:rPr>
        <w:t>%</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（3）</w:t>
      </w:r>
      <w:r>
        <w:rPr>
          <w:rFonts w:hint="default" w:ascii="仿宋" w:hAnsi="仿宋" w:eastAsia="仿宋" w:cs="仿宋"/>
          <w:b w:val="0"/>
          <w:bCs w:val="0"/>
          <w:sz w:val="30"/>
          <w:szCs w:val="30"/>
          <w:highlight w:val="none"/>
          <w:lang w:val="en-US" w:eastAsia="zh-CN"/>
        </w:rPr>
        <w:t>资金使用合规性</w:t>
      </w:r>
      <w:r>
        <w:rPr>
          <w:rFonts w:hint="eastAsia" w:ascii="仿宋" w:hAnsi="仿宋" w:eastAsia="仿宋" w:cs="仿宋"/>
          <w:b w:val="0"/>
          <w:bCs w:val="0"/>
          <w:sz w:val="30"/>
          <w:szCs w:val="30"/>
          <w:highlight w:val="none"/>
          <w:lang w:val="en-US" w:eastAsia="zh-CN"/>
        </w:rPr>
        <w:t>，权重4分，得分4分。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default" w:ascii="仿宋" w:hAnsi="仿宋" w:eastAsia="仿宋" w:cs="仿宋"/>
          <w:b w:val="0"/>
          <w:bCs w:val="0"/>
          <w:sz w:val="30"/>
          <w:szCs w:val="30"/>
          <w:highlight w:val="none"/>
          <w:lang w:val="en-US" w:eastAsia="zh-CN"/>
        </w:rPr>
        <w:t>本指标考察项目资金使用是否符合相关法律法规、制度和规定，用以反映和考核项目资金使用的规范性和安全性。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本项目资金支出符合国家财经法规和财务管理制度以及有关专项资金管理办法的规定，资金的拨付有完整的审批程序和手续，符合项目预算批复或合同规定的用途，不存在截留、挤占、挪用虚列支出等情况。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本项目支付凭证包含了发票、国库集中支付凭证、拨款申请、资金拨付审批表、请款报告、合同书等，报账资料齐全。资金使用具有合规性。</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2、组织实施，权重8分，得分5.5分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（1）财务和项目管理制度健全性，权重4分，得分2分。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本指标考察项目单位财务和项目管理制度是否健全、完善，用以反映和考核财务和业务管理制度对项目合法合规实施的保障情况。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sz w:val="30"/>
          <w:szCs w:val="30"/>
          <w:highlight w:val="none"/>
          <w:lang w:val="en-US" w:eastAsia="zh-CN"/>
        </w:rPr>
        <w:t>经评价组调查了解，</w:t>
      </w:r>
      <w:r>
        <w:rPr>
          <w:rFonts w:hint="eastAsia" w:ascii="仿宋" w:hAnsi="仿宋" w:eastAsia="仿宋" w:cs="仿宋"/>
          <w:sz w:val="30"/>
          <w:szCs w:val="30"/>
          <w:highlight w:val="none"/>
        </w:rPr>
        <w:t>根据与阿坝县财政局</w:t>
      </w:r>
      <w:r>
        <w:rPr>
          <w:rFonts w:hint="eastAsia" w:ascii="仿宋" w:hAnsi="仿宋" w:eastAsia="仿宋" w:cs="仿宋"/>
          <w:sz w:val="30"/>
          <w:szCs w:val="30"/>
          <w:highlight w:val="none"/>
          <w:lang w:eastAsia="zh-CN"/>
        </w:rPr>
        <w:t>、阿坝县麦尔玛镇人民政府</w:t>
      </w:r>
      <w:r>
        <w:rPr>
          <w:rFonts w:hint="eastAsia" w:ascii="仿宋" w:hAnsi="仿宋" w:eastAsia="仿宋" w:cs="仿宋"/>
          <w:sz w:val="30"/>
          <w:szCs w:val="30"/>
          <w:highlight w:val="none"/>
        </w:rPr>
        <w:t>咨询，</w:t>
      </w:r>
      <w:r>
        <w:rPr>
          <w:rFonts w:hint="eastAsia" w:ascii="仿宋" w:hAnsi="仿宋" w:eastAsia="仿宋" w:cs="仿宋"/>
          <w:sz w:val="30"/>
          <w:szCs w:val="30"/>
          <w:highlight w:val="none"/>
          <w:lang w:eastAsia="zh-CN"/>
        </w:rPr>
        <w:t>项目单位</w:t>
      </w:r>
      <w:r>
        <w:rPr>
          <w:rFonts w:hint="eastAsia" w:ascii="仿宋" w:hAnsi="仿宋" w:eastAsia="仿宋" w:cs="仿宋"/>
          <w:sz w:val="30"/>
          <w:szCs w:val="30"/>
          <w:highlight w:val="none"/>
        </w:rPr>
        <w:t>未针对本项目制定相关的业务、财务及管理等方面的保障制度</w:t>
      </w:r>
      <w:r>
        <w:rPr>
          <w:rFonts w:hint="eastAsia" w:ascii="仿宋" w:hAnsi="仿宋" w:eastAsia="仿宋" w:cs="仿宋"/>
          <w:sz w:val="30"/>
          <w:szCs w:val="30"/>
          <w:highlight w:val="none"/>
          <w:lang w:eastAsia="zh-CN"/>
        </w:rPr>
        <w:t>，</w:t>
      </w:r>
      <w:r>
        <w:rPr>
          <w:rFonts w:hint="eastAsia" w:ascii="仿宋" w:hAnsi="仿宋" w:eastAsia="仿宋" w:cs="仿宋"/>
          <w:b w:val="0"/>
          <w:bCs w:val="0"/>
          <w:sz w:val="30"/>
          <w:szCs w:val="30"/>
          <w:highlight w:val="none"/>
          <w:lang w:val="en-US" w:eastAsia="zh-CN"/>
        </w:rPr>
        <w:t>财务和项目管理制度沿用政府投资项目一般性财务和项目管理制度，项目建设过程中未出现相关财务和项目管理上的问题。</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项目由专业人员和群管人员共同负责管理，专业人员实行目标管理和岗位责任制，层层签定目标管理责任书，制定管理条例、管理制度、奖惩制度、规章制度、设备操作规程等。</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（2）采购、合同、档案管理制度执行有效性，权重4分，得分3.5分。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①采购管理制度执行有效性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本指标主要考察项目服务活动的采购方式、政府采购流程是否合法合规，用以反映采购合规对项目资金、项目实施的保障作用。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项目单位未针对该项目制定政府采购管理制度，政府采购管理主要依据相关法律法规，如《中华人民共和国招标投标法》、《中华人民共和国政府采购法》等。</w:t>
      </w:r>
      <w:r>
        <w:rPr>
          <w:rFonts w:hint="eastAsia" w:ascii="仿宋" w:hAnsi="仿宋" w:eastAsia="仿宋" w:cs="仿宋"/>
          <w:b w:val="0"/>
          <w:bCs w:val="0"/>
          <w:sz w:val="30"/>
          <w:szCs w:val="30"/>
          <w:lang w:val="en-US" w:eastAsia="zh-CN"/>
        </w:rPr>
        <w:t>本项目服务活动的采购方式、政府采购流程合法合规。但是项目合同填写不严谨，项目施工合同中，合同工期一栏，计划竣工日期为2023年7月31日，但是计划开工日期一栏为空。根据相关规定，合同内应当包含项目开工时间和竣工时间。</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②合同管理制度执行有效性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本指标考察项目合同签约和履约管理情况，以反映项目管理合同环节对完成项目的保障作用。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sz w:val="30"/>
          <w:szCs w:val="30"/>
          <w:lang w:eastAsia="zh-CN"/>
        </w:rPr>
        <w:t>阿坝县麦尔玛镇人民政府</w:t>
      </w:r>
      <w:r>
        <w:rPr>
          <w:rFonts w:hint="eastAsia" w:ascii="仿宋" w:hAnsi="仿宋" w:eastAsia="仿宋" w:cs="仿宋"/>
          <w:sz w:val="30"/>
          <w:szCs w:val="30"/>
          <w:lang w:val="en-US" w:eastAsia="zh-CN"/>
        </w:rPr>
        <w:t>已制定合同审批办法，</w:t>
      </w:r>
      <w:r>
        <w:rPr>
          <w:rFonts w:hint="eastAsia" w:ascii="仿宋" w:hAnsi="仿宋" w:eastAsia="仿宋" w:cs="仿宋"/>
          <w:b w:val="0"/>
          <w:bCs w:val="0"/>
          <w:sz w:val="30"/>
          <w:szCs w:val="30"/>
          <w:lang w:val="en-US" w:eastAsia="zh-CN"/>
        </w:rPr>
        <w:t>主要内容包括宗旨、适用范围、职责分工、合同文本、提请审批、财务审核、法律审核、审核的意见出具及执行、审批权限、合同盖章、重新审签等，能有效管理和审批项目合同书、验收报告、技术鉴定等资料。评价组已抽查本项目施工合同等，核对合同签约条款与采购需求文件的相符性，合同签约审核程序规范性，合同履约及时性，合同管理责任落实情况，以及合同法律责任明确和落实情况。抽查的相关合同签约条款与采购文件基本相符，合同签约审核程序规范。</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③项目档案管理完整性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本指标考察项目档案资料保管和归档合规性、完整性和及时性情况，以反映项目档案管理对完成项目的保障作用。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本项目的项目档案在项目验收完成后，由</w:t>
      </w:r>
      <w:r>
        <w:rPr>
          <w:rFonts w:hint="eastAsia" w:ascii="仿宋" w:hAnsi="仿宋" w:eastAsia="仿宋" w:cs="仿宋"/>
          <w:sz w:val="30"/>
          <w:szCs w:val="30"/>
          <w:lang w:eastAsia="zh-CN"/>
        </w:rPr>
        <w:t>阿坝县麦尔玛镇人民政府</w:t>
      </w:r>
      <w:r>
        <w:rPr>
          <w:rFonts w:hint="eastAsia" w:ascii="仿宋" w:hAnsi="仿宋" w:eastAsia="仿宋" w:cs="仿宋"/>
          <w:sz w:val="30"/>
          <w:szCs w:val="30"/>
          <w:lang w:val="en-US" w:eastAsia="zh-CN"/>
        </w:rPr>
        <w:t>财务股负责归档保存，包括文书档案归档、财会档案归档、基础建设文件资料归档、项目采购资料归档、档案保管期限、档案查阅和利用、档案保密、档案销毁等项目合同书、验收报告、技术鉴定等资料齐全并及时归档，档案管理完好且齐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4" w:name="_Toc24586"/>
      <w:r>
        <w:rPr>
          <w:rFonts w:hint="eastAsia" w:ascii="楷体" w:hAnsi="楷体" w:eastAsia="楷体" w:cs="楷体"/>
          <w:b w:val="0"/>
          <w:bCs w:val="0"/>
          <w:sz w:val="30"/>
          <w:szCs w:val="30"/>
          <w:lang w:val="en-US" w:eastAsia="zh-CN"/>
        </w:rPr>
        <w:t>（三）项目产出</w:t>
      </w:r>
      <w:bookmarkEnd w:id="2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本指标主要考察项目实施的实际产出数与计划产出数的比率，用以反映和考核项目产出数量目标的实现程度。项目产出指标权重40%，实际评</w:t>
      </w:r>
      <w:r>
        <w:rPr>
          <w:rFonts w:hint="eastAsia" w:ascii="仿宋" w:hAnsi="仿宋" w:eastAsia="仿宋" w:cs="仿宋"/>
          <w:b w:val="0"/>
          <w:bCs w:val="0"/>
          <w:sz w:val="30"/>
          <w:szCs w:val="30"/>
          <w:highlight w:val="none"/>
          <w:lang w:val="en-US" w:eastAsia="zh-CN"/>
        </w:rPr>
        <w:t>价得分39分。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red"/>
          <w:lang w:val="en-US" w:eastAsia="zh-CN"/>
        </w:rPr>
      </w:pPr>
      <w:r>
        <w:rPr>
          <w:rFonts w:hint="eastAsia" w:ascii="仿宋" w:hAnsi="仿宋" w:eastAsia="仿宋" w:cs="仿宋"/>
          <w:b/>
          <w:bCs/>
          <w:sz w:val="30"/>
          <w:szCs w:val="30"/>
          <w:highlight w:val="none"/>
          <w:lang w:val="en-US" w:eastAsia="zh-CN"/>
        </w:rPr>
        <w:t>1、产出数量：实际完成率，权重10分，得分10分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（1）采购LED路灯，权重5分，得分5分。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项目绩效目标申报表的产出指标中采购LED路灯指标值为105个，</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，项目采购LED路灯为105个，项目采购LED路灯完成率为100%。</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（2）采购太阳能路灯，权重5分，得分5分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项目绩效目标申报表的产出指标中采购太阳能路灯指标值为34个，</w:t>
      </w:r>
      <w:r>
        <w:rPr>
          <w:rFonts w:hint="default" w:ascii="仿宋" w:hAnsi="仿宋" w:eastAsia="仿宋" w:cs="仿宋"/>
          <w:b w:val="0"/>
          <w:bCs w:val="0"/>
          <w:sz w:val="30"/>
          <w:szCs w:val="30"/>
          <w:highlight w:val="none"/>
          <w:lang w:val="en-US" w:eastAsia="zh-CN"/>
        </w:rPr>
        <w:t>根据</w:t>
      </w:r>
      <w:r>
        <w:rPr>
          <w:rFonts w:hint="eastAsia" w:ascii="仿宋" w:hAnsi="仿宋" w:eastAsia="仿宋" w:cs="仿宋"/>
          <w:b w:val="0"/>
          <w:bCs w:val="0"/>
          <w:sz w:val="30"/>
          <w:szCs w:val="30"/>
          <w:highlight w:val="none"/>
          <w:lang w:val="en-US" w:eastAsia="zh-CN"/>
        </w:rPr>
        <w:t>其</w:t>
      </w:r>
      <w:r>
        <w:rPr>
          <w:rFonts w:hint="default" w:ascii="仿宋" w:hAnsi="仿宋" w:eastAsia="仿宋" w:cs="仿宋"/>
          <w:b w:val="0"/>
          <w:bCs w:val="0"/>
          <w:sz w:val="30"/>
          <w:szCs w:val="30"/>
          <w:highlight w:val="none"/>
          <w:lang w:val="en-US" w:eastAsia="zh-CN"/>
        </w:rPr>
        <w:t>提交的</w:t>
      </w:r>
      <w:r>
        <w:rPr>
          <w:rFonts w:hint="eastAsia" w:ascii="仿宋" w:hAnsi="仿宋" w:eastAsia="仿宋" w:cs="仿宋"/>
          <w:b w:val="0"/>
          <w:bCs w:val="0"/>
          <w:sz w:val="30"/>
          <w:szCs w:val="30"/>
          <w:highlight w:val="none"/>
          <w:lang w:val="en-US" w:eastAsia="zh-CN"/>
        </w:rPr>
        <w:t>完工验收鉴定书</w:t>
      </w:r>
      <w:r>
        <w:rPr>
          <w:rFonts w:hint="default" w:ascii="仿宋" w:hAnsi="仿宋" w:eastAsia="仿宋" w:cs="仿宋"/>
          <w:b w:val="0"/>
          <w:bCs w:val="0"/>
          <w:sz w:val="30"/>
          <w:szCs w:val="30"/>
          <w:highlight w:val="none"/>
          <w:lang w:val="en-US" w:eastAsia="zh-CN"/>
        </w:rPr>
        <w:t>、</w:t>
      </w:r>
      <w:r>
        <w:rPr>
          <w:rFonts w:hint="eastAsia" w:ascii="仿宋" w:hAnsi="仿宋" w:eastAsia="仿宋" w:cs="仿宋"/>
          <w:b w:val="0"/>
          <w:bCs w:val="0"/>
          <w:sz w:val="30"/>
          <w:szCs w:val="30"/>
          <w:highlight w:val="none"/>
          <w:lang w:val="en-US" w:eastAsia="zh-CN"/>
        </w:rPr>
        <w:t>项目采购合同</w:t>
      </w:r>
      <w:r>
        <w:rPr>
          <w:rFonts w:hint="default" w:ascii="仿宋" w:hAnsi="仿宋" w:eastAsia="仿宋" w:cs="仿宋"/>
          <w:b w:val="0"/>
          <w:bCs w:val="0"/>
          <w:sz w:val="30"/>
          <w:szCs w:val="30"/>
          <w:highlight w:val="none"/>
          <w:lang w:val="en-US" w:eastAsia="zh-CN"/>
        </w:rPr>
        <w:t>等文件以及与相关负责人的访谈工作</w:t>
      </w:r>
      <w:r>
        <w:rPr>
          <w:rFonts w:hint="eastAsia" w:ascii="仿宋" w:hAnsi="仿宋" w:eastAsia="仿宋" w:cs="仿宋"/>
          <w:b w:val="0"/>
          <w:bCs w:val="0"/>
          <w:sz w:val="30"/>
          <w:szCs w:val="30"/>
          <w:highlight w:val="none"/>
          <w:lang w:val="en-US" w:eastAsia="zh-CN"/>
        </w:rPr>
        <w:t>，项目采购太阳能路灯为34个，采购太阳能路灯完成率为100%。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default" w:ascii="仿宋" w:hAnsi="仿宋" w:eastAsia="仿宋" w:cs="仿宋"/>
          <w:b w:val="0"/>
          <w:bCs w:val="0"/>
          <w:sz w:val="30"/>
          <w:szCs w:val="30"/>
          <w:highlight w:val="yellow"/>
          <w:lang w:val="en-US" w:eastAsia="zh-CN"/>
        </w:rPr>
      </w:pPr>
      <w:r>
        <w:rPr>
          <w:rFonts w:hint="eastAsia" w:ascii="仿宋" w:hAnsi="仿宋" w:eastAsia="仿宋" w:cs="仿宋"/>
          <w:b/>
          <w:bCs/>
          <w:sz w:val="30"/>
          <w:szCs w:val="30"/>
          <w:highlight w:val="none"/>
          <w:lang w:val="en-US" w:eastAsia="zh-CN"/>
        </w:rPr>
        <w:t>2、产出质量：质量达标率，权重10分，得分10分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本指标考核</w:t>
      </w:r>
      <w:r>
        <w:rPr>
          <w:rFonts w:hint="default" w:ascii="仿宋" w:hAnsi="仿宋" w:eastAsia="仿宋" w:cs="仿宋"/>
          <w:b w:val="0"/>
          <w:bCs w:val="0"/>
          <w:sz w:val="30"/>
          <w:szCs w:val="30"/>
          <w:highlight w:val="none"/>
          <w:lang w:val="en-US" w:eastAsia="zh-CN"/>
        </w:rPr>
        <w:t>项目完成的质量达标产出数与实际产出数的比率 ，用以反映和考核项目产出质量目标的实现程度。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项目（工程）验收合格率，权重10分，得分10分。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项目绩效目标申报表的质量指标中项目竣工验收达标率指标值为≥100%，依据项目单位、施工单位、设计单位出具的完工验收鉴定书的结论列示：路灯数量、质量均达合格验收标准，所有路灯均已安装调试完成。验收结论为合格。项目（工程）验收合格率≥100%，项目（工程）验收合格率完成率为100%。</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3、产出时效，权重10分，得分9分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本指标主要考察</w:t>
      </w:r>
      <w:r>
        <w:rPr>
          <w:rFonts w:hint="default" w:ascii="仿宋" w:hAnsi="仿宋" w:eastAsia="仿宋" w:cs="仿宋"/>
          <w:b w:val="0"/>
          <w:bCs w:val="0"/>
          <w:sz w:val="30"/>
          <w:szCs w:val="30"/>
          <w:highlight w:val="none"/>
          <w:lang w:val="en-US" w:eastAsia="zh-CN"/>
        </w:rPr>
        <w:t>项目实际完成时间与计划完成时间的比较，用以反映和考核项目产出时效目标的实现程度</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sz w:val="30"/>
          <w:szCs w:val="30"/>
          <w:highlight w:val="none"/>
          <w:lang w:val="en-US" w:eastAsia="zh-CN"/>
        </w:rPr>
      </w:pPr>
      <w:r>
        <w:rPr>
          <w:rFonts w:hint="eastAsia" w:ascii="仿宋" w:hAnsi="仿宋" w:eastAsia="仿宋" w:cs="仿宋"/>
          <w:b w:val="0"/>
          <w:bCs w:val="0"/>
          <w:sz w:val="30"/>
          <w:szCs w:val="30"/>
          <w:highlight w:val="none"/>
          <w:lang w:val="en-US" w:eastAsia="zh-CN"/>
        </w:rPr>
        <w:t>（1）项目（工程）完成及时率</w:t>
      </w:r>
      <w:r>
        <w:rPr>
          <w:rFonts w:hint="eastAsia" w:ascii="仿宋" w:hAnsi="仿宋" w:eastAsia="仿宋" w:cs="仿宋"/>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根据项目竣工验收资料及与项目单位相关人员了解，本项目已完工。</w:t>
      </w:r>
      <w:r>
        <w:rPr>
          <w:rFonts w:hint="eastAsia" w:ascii="仿宋" w:hAnsi="仿宋" w:eastAsia="仿宋" w:cs="仿宋"/>
          <w:b w:val="0"/>
          <w:bCs w:val="0"/>
          <w:sz w:val="30"/>
          <w:szCs w:val="30"/>
          <w:highlight w:val="none"/>
          <w:lang w:val="en-US" w:eastAsia="zh-CN"/>
        </w:rPr>
        <w:t>根据本项目批复文件列示，项目建设年限为1年，本项目已于2023年建设完成，但设置项目绩效目标时未明确开工竣工时间，得分9分。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bCs/>
          <w:sz w:val="30"/>
          <w:szCs w:val="30"/>
          <w:highlight w:val="none"/>
          <w:lang w:val="en-US" w:eastAsia="zh-CN"/>
        </w:rPr>
        <w:t>4、产出成本，权重10分，得分10分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本指标考察</w:t>
      </w:r>
      <w:r>
        <w:rPr>
          <w:rFonts w:hint="default" w:ascii="仿宋" w:hAnsi="仿宋" w:eastAsia="仿宋" w:cs="仿宋"/>
          <w:b w:val="0"/>
          <w:bCs w:val="0"/>
          <w:sz w:val="30"/>
          <w:szCs w:val="30"/>
          <w:highlight w:val="none"/>
          <w:lang w:val="en-US" w:eastAsia="zh-CN"/>
        </w:rPr>
        <w:t>完成项目计划工作目标的实际节约成本与计划成本 的比率，用以反映和考核项目的成本节约程度。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采购路灯标准，权重10分，得分10分。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本项目成本指标为采购路灯标准≥</w:t>
      </w:r>
      <w:r>
        <w:rPr>
          <w:rFonts w:hint="eastAsia" w:ascii="仿宋" w:hAnsi="仿宋" w:eastAsia="仿宋" w:cs="仿宋"/>
          <w:sz w:val="30"/>
          <w:szCs w:val="30"/>
          <w:highlight w:val="none"/>
          <w:lang w:val="en-US" w:eastAsia="zh-CN"/>
        </w:rPr>
        <w:t>1.09万/个</w:t>
      </w:r>
      <w:r>
        <w:rPr>
          <w:rFonts w:hint="eastAsia" w:ascii="仿宋" w:hAnsi="仿宋" w:eastAsia="仿宋" w:cs="仿宋"/>
          <w:b w:val="0"/>
          <w:bCs w:val="0"/>
          <w:sz w:val="30"/>
          <w:szCs w:val="30"/>
          <w:highlight w:val="none"/>
          <w:lang w:val="en-US" w:eastAsia="zh-CN"/>
        </w:rPr>
        <w:t>，评价组核查项目单位提供的项目预算批复、项目施工合同和项目会计核算资料，该项目实际预算为</w:t>
      </w:r>
      <w:r>
        <w:rPr>
          <w:rFonts w:hint="eastAsia" w:ascii="仿宋" w:hAnsi="仿宋" w:eastAsia="仿宋" w:cs="仿宋"/>
          <w:sz w:val="30"/>
          <w:szCs w:val="30"/>
          <w:highlight w:val="none"/>
          <w:lang w:val="en-US" w:eastAsia="zh-CN"/>
        </w:rPr>
        <w:t>1.09万/个</w:t>
      </w:r>
      <w:r>
        <w:rPr>
          <w:rFonts w:hint="eastAsia" w:ascii="仿宋" w:hAnsi="仿宋" w:eastAsia="仿宋" w:cs="仿宋"/>
          <w:b w:val="0"/>
          <w:bCs w:val="0"/>
          <w:sz w:val="30"/>
          <w:szCs w:val="30"/>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成本指标为采购路灯标准为</w:t>
      </w:r>
      <w:r>
        <w:rPr>
          <w:rFonts w:hint="eastAsia" w:ascii="仿宋" w:hAnsi="仿宋" w:eastAsia="仿宋" w:cs="仿宋"/>
          <w:sz w:val="30"/>
          <w:szCs w:val="30"/>
          <w:highlight w:val="none"/>
          <w:lang w:val="en-US" w:eastAsia="zh-CN"/>
        </w:rPr>
        <w:t>1.09万/个</w:t>
      </w:r>
      <w:r>
        <w:rPr>
          <w:rFonts w:hint="eastAsia" w:ascii="仿宋" w:hAnsi="仿宋" w:eastAsia="仿宋" w:cs="仿宋"/>
          <w:b w:val="0"/>
          <w:bCs w:val="0"/>
          <w:sz w:val="30"/>
          <w:szCs w:val="30"/>
          <w:highlight w:val="none"/>
          <w:lang w:val="en-US" w:eastAsia="zh-CN"/>
        </w:rPr>
        <w:t>，完成既定绩效目标，得分10分。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25" w:name="_Toc20043"/>
      <w:r>
        <w:rPr>
          <w:rFonts w:hint="eastAsia" w:ascii="楷体" w:hAnsi="楷体" w:eastAsia="楷体" w:cs="楷体"/>
          <w:b w:val="0"/>
          <w:bCs w:val="0"/>
          <w:sz w:val="30"/>
          <w:szCs w:val="30"/>
          <w:lang w:val="en-US" w:eastAsia="zh-CN"/>
        </w:rPr>
        <w:t>（四）项目效益情况</w:t>
      </w:r>
      <w:bookmarkEnd w:id="2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本指标主要从项目实施所产生的经济效益、社会效益、生态效益、可持续影响指标、满意度指标来项目实施所产生的效益。</w:t>
      </w:r>
      <w:r>
        <w:rPr>
          <w:rFonts w:hint="eastAsia" w:ascii="仿宋" w:hAnsi="仿宋" w:eastAsia="仿宋" w:cs="仿宋"/>
          <w:b w:val="0"/>
          <w:bCs w:val="0"/>
          <w:sz w:val="30"/>
          <w:szCs w:val="30"/>
          <w:lang w:val="en-US" w:eastAsia="zh-CN"/>
        </w:rPr>
        <w:t>项目效益情况权重20%，实际评价</w:t>
      </w:r>
      <w:r>
        <w:rPr>
          <w:rFonts w:hint="eastAsia" w:ascii="仿宋" w:hAnsi="仿宋" w:eastAsia="仿宋" w:cs="仿宋"/>
          <w:b w:val="0"/>
          <w:bCs w:val="0"/>
          <w:sz w:val="30"/>
          <w:szCs w:val="30"/>
          <w:highlight w:val="none"/>
          <w:lang w:val="en-US" w:eastAsia="zh-CN"/>
        </w:rPr>
        <w:t>得分19分。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1、实施效益</w:t>
      </w:r>
      <w:r>
        <w:rPr>
          <w:rFonts w:hint="eastAsia" w:ascii="仿宋" w:hAnsi="仿宋" w:eastAsia="仿宋" w:cs="仿宋"/>
          <w:b/>
          <w:bCs/>
          <w:sz w:val="30"/>
          <w:szCs w:val="30"/>
          <w:highlight w:val="none"/>
          <w:lang w:val="en-US" w:eastAsia="zh-CN"/>
        </w:rPr>
        <w:t>，权重10分，得分9分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highlight w:val="none"/>
          <w:lang w:val="en-US" w:eastAsia="zh-CN"/>
        </w:rPr>
        <w:t>（1）经济效益，权重2.5分，得分2.5分。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带动增加脱贫人口务工收入</w:t>
      </w:r>
      <w:r>
        <w:rPr>
          <w:rFonts w:hint="eastAsia" w:ascii="仿宋" w:hAnsi="仿宋" w:eastAsia="仿宋" w:cs="仿宋"/>
          <w:b w:val="0"/>
          <w:bCs w:val="0"/>
          <w:sz w:val="30"/>
          <w:szCs w:val="30"/>
          <w:highlight w:val="none"/>
          <w:lang w:val="en-US" w:eastAsia="zh-CN"/>
        </w:rPr>
        <w:t>≥100元，</w:t>
      </w:r>
      <w:r>
        <w:rPr>
          <w:rFonts w:hint="eastAsia" w:ascii="仿宋" w:hAnsi="仿宋" w:eastAsia="仿宋" w:cs="仿宋"/>
          <w:b w:val="0"/>
          <w:bCs w:val="0"/>
          <w:sz w:val="30"/>
          <w:szCs w:val="30"/>
          <w:lang w:val="en-US" w:eastAsia="zh-CN"/>
        </w:rPr>
        <w:t>根据本项目施工资料，经评价组查询本项目劳务用工资料，本项目劳务人员许多来自于当地脱贫群众，切实提高当地人民群众收入，产生经济效益，提供劳务岗位。得分2.5分。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（2）社会</w:t>
      </w:r>
      <w:r>
        <w:rPr>
          <w:rFonts w:hint="eastAsia" w:ascii="仿宋" w:hAnsi="仿宋" w:eastAsia="仿宋" w:cs="仿宋"/>
          <w:b w:val="0"/>
          <w:bCs w:val="0"/>
          <w:sz w:val="30"/>
          <w:szCs w:val="30"/>
          <w:highlight w:val="none"/>
          <w:lang w:val="en-US" w:eastAsia="zh-CN"/>
        </w:rPr>
        <w:t>效益，权重2.5分，得分2.5分。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受益脱贫人口数≥1127人，评价组通过调查</w:t>
      </w:r>
      <w:r>
        <w:rPr>
          <w:rFonts w:hint="eastAsia" w:ascii="仿宋" w:hAnsi="仿宋" w:eastAsia="仿宋" w:cs="仿宋"/>
          <w:b w:val="0"/>
          <w:bCs w:val="0"/>
          <w:sz w:val="30"/>
          <w:szCs w:val="30"/>
          <w:lang w:val="en-US" w:eastAsia="zh-CN"/>
        </w:rPr>
        <w:t>走访，查阅相关资料，工程主要收益范围为各地住户，项目能够服务到当地群众及游客</w:t>
      </w:r>
      <w:r>
        <w:rPr>
          <w:rFonts w:hint="eastAsia" w:ascii="仿宋" w:hAnsi="仿宋" w:eastAsia="仿宋" w:cs="仿宋"/>
          <w:b w:val="0"/>
          <w:bCs w:val="0"/>
          <w:sz w:val="30"/>
          <w:szCs w:val="30"/>
          <w:highlight w:val="none"/>
          <w:lang w:val="en-US" w:eastAsia="zh-CN"/>
        </w:rPr>
        <w:t>≥1127人</w:t>
      </w:r>
      <w:r>
        <w:rPr>
          <w:rFonts w:hint="eastAsia" w:ascii="仿宋" w:hAnsi="仿宋" w:eastAsia="仿宋" w:cs="仿宋"/>
          <w:b w:val="0"/>
          <w:bCs w:val="0"/>
          <w:sz w:val="30"/>
          <w:szCs w:val="30"/>
          <w:lang w:val="en-US" w:eastAsia="zh-CN"/>
        </w:rPr>
        <w:t>，有效完善当地基础设施，改善农村照明，</w:t>
      </w:r>
      <w:r>
        <w:rPr>
          <w:rFonts w:hint="eastAsia" w:ascii="仿宋" w:hAnsi="仿宋" w:eastAsia="仿宋" w:cs="仿宋"/>
          <w:b w:val="0"/>
          <w:bCs w:val="0"/>
          <w:sz w:val="30"/>
          <w:szCs w:val="30"/>
          <w:highlight w:val="none"/>
          <w:lang w:val="en-US" w:eastAsia="zh-CN"/>
        </w:rPr>
        <w:t>受益脱贫人口数≥1127人</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收益一般农户人口数≥5935人，评价组通过调查</w:t>
      </w:r>
      <w:r>
        <w:rPr>
          <w:rFonts w:hint="eastAsia" w:ascii="仿宋" w:hAnsi="仿宋" w:eastAsia="仿宋" w:cs="仿宋"/>
          <w:b w:val="0"/>
          <w:bCs w:val="0"/>
          <w:sz w:val="30"/>
          <w:szCs w:val="30"/>
          <w:lang w:val="en-US" w:eastAsia="zh-CN"/>
        </w:rPr>
        <w:t>走访，查阅相关资料，项目建成后能够有效服务到当地村镇及周边牧民</w:t>
      </w:r>
      <w:r>
        <w:rPr>
          <w:rFonts w:hint="eastAsia" w:ascii="仿宋" w:hAnsi="仿宋" w:eastAsia="仿宋" w:cs="仿宋"/>
          <w:b w:val="0"/>
          <w:bCs w:val="0"/>
          <w:sz w:val="30"/>
          <w:szCs w:val="30"/>
          <w:highlight w:val="none"/>
          <w:lang w:val="en-US" w:eastAsia="zh-CN"/>
        </w:rPr>
        <w:t>≥5935人</w:t>
      </w:r>
      <w:r>
        <w:rPr>
          <w:rFonts w:hint="eastAsia" w:ascii="仿宋" w:hAnsi="仿宋" w:eastAsia="仿宋" w:cs="仿宋"/>
          <w:b w:val="0"/>
          <w:bCs w:val="0"/>
          <w:sz w:val="30"/>
          <w:szCs w:val="30"/>
          <w:lang w:val="en-US" w:eastAsia="zh-CN"/>
        </w:rPr>
        <w:t>，极大改善当地人民夜间交通，</w:t>
      </w:r>
      <w:r>
        <w:rPr>
          <w:rFonts w:hint="eastAsia" w:ascii="仿宋" w:hAnsi="仿宋" w:eastAsia="仿宋" w:cs="仿宋"/>
          <w:b w:val="0"/>
          <w:bCs w:val="0"/>
          <w:sz w:val="30"/>
          <w:szCs w:val="30"/>
          <w:highlight w:val="none"/>
          <w:lang w:val="en-US" w:eastAsia="zh-CN"/>
        </w:rPr>
        <w:t>收益脱贫人口数≥5935人，得分2.5分</w:t>
      </w:r>
      <w:r>
        <w:rPr>
          <w:rFonts w:hint="eastAsia" w:ascii="仿宋" w:hAnsi="仿宋" w:eastAsia="仿宋" w:cs="仿宋"/>
          <w:b w:val="0"/>
          <w:bCs w:val="0"/>
          <w:sz w:val="30"/>
          <w:szCs w:val="30"/>
          <w:lang w:val="en-US" w:eastAsia="zh-CN"/>
        </w:rPr>
        <w:t>。</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（3）生态效益</w:t>
      </w:r>
      <w:r>
        <w:rPr>
          <w:rFonts w:hint="eastAsia" w:ascii="仿宋" w:hAnsi="仿宋" w:eastAsia="仿宋" w:cs="仿宋"/>
          <w:b w:val="0"/>
          <w:bCs w:val="0"/>
          <w:sz w:val="30"/>
          <w:szCs w:val="30"/>
          <w:highlight w:val="none"/>
          <w:lang w:val="en-US" w:eastAsia="zh-CN"/>
        </w:rPr>
        <w:t>，权重2.5分，得分1.5分。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乡村道路建设能够节约能源，有效利用太阳能路灯，减少用电，项目建成后实际已达成预期目标，但项目绩效目标申报表未填报生态效益指标，得分1.5分。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（4）可持续影响指</w:t>
      </w:r>
      <w:r>
        <w:rPr>
          <w:rFonts w:hint="eastAsia" w:ascii="仿宋" w:hAnsi="仿宋" w:eastAsia="仿宋" w:cs="仿宋"/>
          <w:b w:val="0"/>
          <w:bCs w:val="0"/>
          <w:sz w:val="30"/>
          <w:szCs w:val="30"/>
          <w:highlight w:val="none"/>
          <w:lang w:val="en-US" w:eastAsia="zh-CN"/>
        </w:rPr>
        <w:t>标，权重2.5分，得分2.5分。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经评价组查阅相关设计资料，查阅本项目完工验收鉴定报告，本项目持续使用年限为≥5年，实际能</w:t>
      </w:r>
      <w:r>
        <w:rPr>
          <w:rFonts w:hint="eastAsia" w:ascii="仿宋" w:hAnsi="仿宋" w:eastAsia="仿宋" w:cs="仿宋"/>
          <w:b w:val="0"/>
          <w:bCs w:val="0"/>
          <w:sz w:val="30"/>
          <w:szCs w:val="30"/>
          <w:lang w:val="en-US" w:eastAsia="zh-CN"/>
        </w:rPr>
        <w:t>够持续影响项目地及周边群众，产生可持续影响，得分2.5分。</w:t>
      </w:r>
    </w:p>
    <w:p>
      <w:pPr>
        <w:keepNext w:val="0"/>
        <w:keepLines w:val="0"/>
        <w:pageBreakBefore w:val="0"/>
        <w:widowControl w:val="0"/>
        <w:kinsoku/>
        <w:wordWrap/>
        <w:overflowPunct/>
        <w:topLinePunct w:val="0"/>
        <w:autoSpaceDE/>
        <w:autoSpaceDN/>
        <w:bidi w:val="0"/>
        <w:adjustRightInd/>
        <w:snapToGrid/>
        <w:spacing w:line="560" w:lineRule="exact"/>
        <w:ind w:firstLine="602" w:firstLineChars="200"/>
        <w:jc w:val="both"/>
        <w:textAlignment w:val="auto"/>
        <w:outlineLvl w:val="9"/>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lang w:val="en-US" w:eastAsia="zh-CN"/>
        </w:rPr>
        <w:t>2、满意度</w:t>
      </w:r>
      <w:r>
        <w:rPr>
          <w:rFonts w:hint="eastAsia" w:ascii="仿宋" w:hAnsi="仿宋" w:eastAsia="仿宋" w:cs="仿宋"/>
          <w:b/>
          <w:bCs/>
          <w:sz w:val="30"/>
          <w:szCs w:val="30"/>
          <w:highlight w:val="none"/>
          <w:lang w:val="en-US" w:eastAsia="zh-CN"/>
        </w:rPr>
        <w:t>，权重10分，得分10分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本指标主要考察社会公</w:t>
      </w:r>
      <w:r>
        <w:rPr>
          <w:rFonts w:hint="eastAsia" w:ascii="仿宋" w:hAnsi="仿宋" w:eastAsia="仿宋" w:cs="仿宋"/>
          <w:b w:val="0"/>
          <w:bCs w:val="0"/>
          <w:sz w:val="30"/>
          <w:szCs w:val="30"/>
          <w:lang w:val="en-US" w:eastAsia="zh-CN"/>
        </w:rPr>
        <w:t>众或服务对象对项目实施效果的满意程度。</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（1）区域辐射人群满意度，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default" w:ascii="仿宋" w:hAnsi="仿宋" w:eastAsia="仿宋" w:cs="仿宋"/>
          <w:b w:val="0"/>
          <w:bCs w:val="0"/>
          <w:sz w:val="30"/>
          <w:szCs w:val="30"/>
          <w:lang w:val="en-US" w:eastAsia="zh-CN"/>
        </w:rPr>
        <w:t>本次满意度调查对象为</w:t>
      </w:r>
      <w:r>
        <w:rPr>
          <w:rFonts w:hint="eastAsia" w:ascii="仿宋" w:hAnsi="仿宋" w:eastAsia="仿宋" w:cs="仿宋"/>
          <w:b w:val="0"/>
          <w:bCs w:val="0"/>
          <w:sz w:val="30"/>
          <w:szCs w:val="30"/>
          <w:lang w:val="en-US" w:eastAsia="zh-CN"/>
        </w:rPr>
        <w:t>项目地群众</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4</w:t>
      </w:r>
      <w:r>
        <w:rPr>
          <w:rFonts w:hint="default" w:ascii="仿宋" w:hAnsi="仿宋" w:eastAsia="仿宋" w:cs="仿宋"/>
          <w:b w:val="0"/>
          <w:bCs w:val="0"/>
          <w:sz w:val="30"/>
          <w:szCs w:val="30"/>
          <w:lang w:val="en-US" w:eastAsia="zh-CN"/>
        </w:rPr>
        <w:t>份，调查对象年龄段在</w:t>
      </w:r>
      <w:r>
        <w:rPr>
          <w:rFonts w:hint="eastAsia" w:ascii="仿宋" w:hAnsi="仿宋" w:eastAsia="仿宋" w:cs="仿宋"/>
          <w:b w:val="0"/>
          <w:bCs w:val="0"/>
          <w:sz w:val="30"/>
          <w:szCs w:val="30"/>
          <w:lang w:val="en-US" w:eastAsia="zh-CN"/>
        </w:rPr>
        <w:t>18</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60</w:t>
      </w:r>
      <w:r>
        <w:rPr>
          <w:rFonts w:hint="default" w:ascii="仿宋" w:hAnsi="仿宋" w:eastAsia="仿宋" w:cs="仿宋"/>
          <w:b w:val="0"/>
          <w:bCs w:val="0"/>
          <w:sz w:val="30"/>
          <w:szCs w:val="30"/>
          <w:lang w:val="en-US" w:eastAsia="zh-CN"/>
        </w:rPr>
        <w:t>岁之间。问卷满意度设“非常满意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4</w:t>
      </w:r>
      <w:r>
        <w:rPr>
          <w:rFonts w:hint="default" w:ascii="仿宋" w:hAnsi="仿宋" w:eastAsia="仿宋" w:cs="仿宋"/>
          <w:b w:val="0"/>
          <w:bCs w:val="0"/>
          <w:sz w:val="30"/>
          <w:szCs w:val="30"/>
          <w:lang w:val="en-US" w:eastAsia="zh-CN"/>
        </w:rPr>
        <w:t>份、“比较满意”0份、“满意”0份、“不满意”0份</w:t>
      </w:r>
      <w:r>
        <w:rPr>
          <w:rFonts w:hint="eastAsia" w:ascii="仿宋" w:hAnsi="仿宋" w:eastAsia="仿宋" w:cs="仿宋"/>
          <w:b w:val="0"/>
          <w:bCs w:val="0"/>
          <w:sz w:val="30"/>
          <w:szCs w:val="30"/>
          <w:lang w:val="en-US" w:eastAsia="zh-CN"/>
        </w:rPr>
        <w:t>。问询群众10人，均为非常满意。</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（2）区域监管部门满意度，</w:t>
      </w:r>
      <w:r>
        <w:rPr>
          <w:rFonts w:hint="eastAsia" w:ascii="仿宋" w:hAnsi="仿宋" w:eastAsia="仿宋" w:cs="仿宋"/>
          <w:b w:val="0"/>
          <w:bCs w:val="0"/>
          <w:sz w:val="30"/>
          <w:szCs w:val="30"/>
          <w:highlight w:val="none"/>
          <w:lang w:val="en-US" w:eastAsia="zh-CN"/>
        </w:rPr>
        <w:t>权重5分，得分5分。</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评价组对项目单位、阿坝县财政局进行调查</w:t>
      </w:r>
      <w:r>
        <w:rPr>
          <w:rFonts w:hint="default" w:ascii="仿宋" w:hAnsi="仿宋" w:eastAsia="仿宋" w:cs="仿宋"/>
          <w:b w:val="0"/>
          <w:bCs w:val="0"/>
          <w:sz w:val="30"/>
          <w:szCs w:val="30"/>
          <w:lang w:val="en-US" w:eastAsia="zh-CN"/>
        </w:rPr>
        <w:t>，</w:t>
      </w:r>
      <w:r>
        <w:rPr>
          <w:rFonts w:hint="eastAsia" w:ascii="仿宋" w:hAnsi="仿宋" w:eastAsia="仿宋" w:cs="仿宋"/>
          <w:b w:val="0"/>
          <w:bCs w:val="0"/>
          <w:sz w:val="30"/>
          <w:szCs w:val="30"/>
          <w:lang w:val="en-US" w:eastAsia="zh-CN"/>
        </w:rPr>
        <w:t>采用问询及问卷方式调查，问卷形式为电子问卷，共收回</w:t>
      </w:r>
      <w:r>
        <w:rPr>
          <w:rFonts w:hint="default" w:ascii="仿宋" w:hAnsi="仿宋" w:eastAsia="仿宋" w:cs="仿宋"/>
          <w:b w:val="0"/>
          <w:bCs w:val="0"/>
          <w:sz w:val="30"/>
          <w:szCs w:val="30"/>
          <w:lang w:val="en-US" w:eastAsia="zh-CN"/>
        </w:rPr>
        <w:t>有效问卷</w:t>
      </w:r>
      <w:r>
        <w:rPr>
          <w:rFonts w:hint="eastAsia" w:ascii="仿宋" w:hAnsi="仿宋" w:eastAsia="仿宋" w:cs="仿宋"/>
          <w:b w:val="0"/>
          <w:bCs w:val="0"/>
          <w:sz w:val="30"/>
          <w:szCs w:val="30"/>
          <w:lang w:val="en-US" w:eastAsia="zh-CN"/>
        </w:rPr>
        <w:t>2</w:t>
      </w:r>
      <w:r>
        <w:rPr>
          <w:rFonts w:hint="default" w:ascii="仿宋" w:hAnsi="仿宋" w:eastAsia="仿宋" w:cs="仿宋"/>
          <w:b w:val="0"/>
          <w:bCs w:val="0"/>
          <w:sz w:val="30"/>
          <w:szCs w:val="30"/>
          <w:lang w:val="en-US" w:eastAsia="zh-CN"/>
        </w:rPr>
        <w:t>份。问卷满意度设“非常满意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比较满意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满意</w:t>
      </w:r>
      <w:r>
        <w:rPr>
          <w:rFonts w:hint="eastAsia" w:ascii="仿宋" w:hAnsi="仿宋" w:eastAsia="仿宋" w:cs="仿宋"/>
          <w:b w:val="0"/>
          <w:bCs w:val="0"/>
          <w:sz w:val="30"/>
          <w:szCs w:val="30"/>
          <w:lang w:val="en-US" w:eastAsia="zh-CN"/>
        </w:rPr>
        <w:t>”“</w:t>
      </w:r>
      <w:r>
        <w:rPr>
          <w:rFonts w:hint="default" w:ascii="仿宋" w:hAnsi="仿宋" w:eastAsia="仿宋" w:cs="仿宋"/>
          <w:b w:val="0"/>
          <w:bCs w:val="0"/>
          <w:sz w:val="30"/>
          <w:szCs w:val="30"/>
          <w:lang w:val="en-US" w:eastAsia="zh-CN"/>
        </w:rPr>
        <w:t>不满意”4个类别，其中“非常满意”</w:t>
      </w:r>
      <w:r>
        <w:rPr>
          <w:rFonts w:hint="eastAsia" w:ascii="仿宋" w:hAnsi="仿宋" w:eastAsia="仿宋" w:cs="仿宋"/>
          <w:b w:val="0"/>
          <w:bCs w:val="0"/>
          <w:sz w:val="30"/>
          <w:szCs w:val="30"/>
          <w:lang w:val="en-US" w:eastAsia="zh-CN"/>
        </w:rPr>
        <w:t>3</w:t>
      </w:r>
      <w:r>
        <w:rPr>
          <w:rFonts w:hint="default" w:ascii="仿宋" w:hAnsi="仿宋" w:eastAsia="仿宋" w:cs="仿宋"/>
          <w:b w:val="0"/>
          <w:bCs w:val="0"/>
          <w:sz w:val="30"/>
          <w:szCs w:val="30"/>
          <w:lang w:val="en-US" w:eastAsia="zh-CN"/>
        </w:rPr>
        <w:t>份</w:t>
      </w:r>
      <w:r>
        <w:rPr>
          <w:rFonts w:hint="eastAsia" w:ascii="仿宋" w:hAnsi="仿宋" w:eastAsia="仿宋" w:cs="仿宋"/>
          <w:b w:val="0"/>
          <w:bCs w:val="0"/>
          <w:sz w:val="30"/>
          <w:szCs w:val="30"/>
          <w:lang w:val="en-US" w:eastAsia="zh-CN"/>
        </w:rPr>
        <w:t>，问询两位财政局领导，均为非常满意，认为其达到项目预期目的。</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highlight w:val="none"/>
          <w:lang w:val="en-US" w:eastAsia="zh-CN"/>
        </w:rPr>
      </w:pPr>
      <w:bookmarkStart w:id="26" w:name="_Toc2205"/>
      <w:r>
        <w:rPr>
          <w:rFonts w:hint="eastAsia" w:ascii="黑体" w:hAnsi="黑体" w:eastAsia="黑体" w:cs="黑体"/>
          <w:b w:val="0"/>
          <w:bCs w:val="0"/>
          <w:sz w:val="30"/>
          <w:szCs w:val="30"/>
          <w:highlight w:val="none"/>
          <w:lang w:val="en-US" w:eastAsia="zh-CN"/>
        </w:rPr>
        <w:t>四、综合评价情况及评价结论</w:t>
      </w:r>
      <w:bookmarkEnd w:id="26"/>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highlight w:val="none"/>
          <w:lang w:val="en-US" w:eastAsia="zh-CN"/>
        </w:rPr>
      </w:pPr>
      <w:bookmarkStart w:id="42" w:name="_GoBack"/>
      <w:bookmarkEnd w:id="42"/>
      <w:bookmarkStart w:id="27" w:name="_Toc30170"/>
      <w:r>
        <w:rPr>
          <w:rFonts w:hint="eastAsia" w:ascii="楷体" w:hAnsi="楷体" w:eastAsia="楷体" w:cs="楷体"/>
          <w:sz w:val="30"/>
          <w:szCs w:val="30"/>
          <w:highlight w:val="none"/>
          <w:lang w:val="en-US" w:eastAsia="zh-CN"/>
        </w:rPr>
        <w:t>（一）综合评价情况</w:t>
      </w:r>
      <w:bookmarkEnd w:id="27"/>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default" w:ascii="仿宋" w:hAnsi="仿宋" w:eastAsia="仿宋" w:cs="仿宋"/>
          <w:sz w:val="30"/>
          <w:szCs w:val="30"/>
          <w:lang w:val="en-US" w:eastAsia="zh-CN"/>
        </w:rPr>
      </w:pPr>
      <w:r>
        <w:rPr>
          <w:rFonts w:hint="eastAsia" w:ascii="仿宋" w:hAnsi="仿宋" w:eastAsia="仿宋" w:cs="仿宋"/>
          <w:sz w:val="30"/>
          <w:szCs w:val="30"/>
          <w:highlight w:val="none"/>
          <w:lang w:val="en-US" w:eastAsia="zh-CN"/>
        </w:rPr>
        <w:t>根据绩效评价小组查阅项目竣工验收资料、财务资料得出，本</w:t>
      </w:r>
      <w:r>
        <w:rPr>
          <w:rFonts w:hint="default" w:ascii="仿宋" w:hAnsi="仿宋" w:eastAsia="仿宋" w:cs="仿宋"/>
          <w:sz w:val="30"/>
          <w:szCs w:val="30"/>
          <w:highlight w:val="none"/>
          <w:lang w:val="en-US" w:eastAsia="zh-CN"/>
        </w:rPr>
        <w:t>项目完成情况较好。通过较规范的项目决策、</w:t>
      </w:r>
      <w:r>
        <w:rPr>
          <w:rFonts w:hint="eastAsia" w:ascii="仿宋" w:hAnsi="仿宋" w:eastAsia="仿宋" w:cs="仿宋"/>
          <w:sz w:val="30"/>
          <w:szCs w:val="30"/>
          <w:highlight w:val="none"/>
          <w:lang w:val="en-US" w:eastAsia="zh-CN"/>
        </w:rPr>
        <w:t>较好的项目产出和效益</w:t>
      </w:r>
      <w:r>
        <w:rPr>
          <w:rFonts w:hint="default" w:ascii="仿宋" w:hAnsi="仿宋" w:eastAsia="仿宋" w:cs="仿宋"/>
          <w:sz w:val="30"/>
          <w:szCs w:val="30"/>
          <w:highlight w:val="none"/>
          <w:lang w:val="en-US" w:eastAsia="zh-CN"/>
        </w:rPr>
        <w:t>，除项目合同填写不严谨</w:t>
      </w:r>
      <w:r>
        <w:rPr>
          <w:rFonts w:hint="eastAsia" w:ascii="仿宋" w:hAnsi="仿宋" w:eastAsia="仿宋" w:cs="仿宋"/>
          <w:sz w:val="30"/>
          <w:szCs w:val="30"/>
          <w:highlight w:val="none"/>
          <w:lang w:val="en-US" w:eastAsia="zh-CN"/>
        </w:rPr>
        <w:t>、项目时效指标设置不明确，未设置生态效益指标，未制定相应财务管理制度、业务管理制度外</w:t>
      </w:r>
      <w:r>
        <w:rPr>
          <w:rFonts w:hint="default" w:ascii="仿宋" w:hAnsi="仿宋" w:eastAsia="仿宋" w:cs="仿宋"/>
          <w:sz w:val="30"/>
          <w:szCs w:val="30"/>
          <w:highlight w:val="none"/>
          <w:lang w:val="en-US" w:eastAsia="zh-CN"/>
        </w:rPr>
        <w:t>，较好地完成了“</w:t>
      </w:r>
      <w:r>
        <w:rPr>
          <w:rFonts w:hint="eastAsia" w:ascii="仿宋" w:hAnsi="仿宋" w:eastAsia="仿宋" w:cs="仿宋"/>
          <w:sz w:val="30"/>
          <w:szCs w:val="30"/>
          <w:highlight w:val="none"/>
          <w:lang w:val="en-US" w:eastAsia="zh-CN"/>
        </w:rPr>
        <w:t>麦尔玛镇阿布洛村街面路灯采购项目</w:t>
      </w:r>
      <w:r>
        <w:rPr>
          <w:rFonts w:hint="default" w:ascii="仿宋" w:hAnsi="仿宋" w:eastAsia="仿宋" w:cs="仿宋"/>
          <w:sz w:val="30"/>
          <w:szCs w:val="30"/>
          <w:highlight w:val="none"/>
          <w:lang w:val="en-US" w:eastAsia="zh-CN"/>
        </w:rPr>
        <w:t>”。从验收和调研结果以及满意度调查结果分析，项目实施后的社会效益和可持续影响较好</w:t>
      </w:r>
      <w:r>
        <w:rPr>
          <w:rFonts w:hint="eastAsia" w:ascii="仿宋" w:hAnsi="仿宋" w:eastAsia="仿宋" w:cs="仿宋"/>
          <w:sz w:val="30"/>
          <w:szCs w:val="30"/>
          <w:highlight w:val="none"/>
          <w:lang w:val="en-US" w:eastAsia="zh-CN"/>
        </w:rPr>
        <w:t>，能够为当地群众提供较好的基础服务，</w:t>
      </w:r>
      <w:r>
        <w:rPr>
          <w:rFonts w:hint="default" w:ascii="仿宋" w:hAnsi="仿宋" w:eastAsia="仿宋" w:cs="仿宋"/>
          <w:sz w:val="30"/>
          <w:szCs w:val="30"/>
          <w:highlight w:val="none"/>
          <w:lang w:val="en-US" w:eastAsia="zh-CN"/>
        </w:rPr>
        <w:t>项目基本实现了立项时的绩效目标</w:t>
      </w:r>
      <w:r>
        <w:rPr>
          <w:rFonts w:hint="default" w:ascii="仿宋" w:hAnsi="仿宋" w:eastAsia="仿宋" w:cs="仿宋"/>
          <w:sz w:val="30"/>
          <w:szCs w:val="30"/>
          <w:lang w:val="en-US" w:eastAsia="zh-CN"/>
        </w:rPr>
        <w:t>。</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sz w:val="30"/>
          <w:szCs w:val="30"/>
          <w:lang w:val="en-US" w:eastAsia="zh-CN"/>
        </w:rPr>
      </w:pPr>
      <w:bookmarkStart w:id="28" w:name="_Toc5944"/>
      <w:r>
        <w:rPr>
          <w:rFonts w:hint="eastAsia" w:ascii="楷体" w:hAnsi="楷体" w:eastAsia="楷体" w:cs="楷体"/>
          <w:sz w:val="30"/>
          <w:szCs w:val="30"/>
          <w:lang w:val="en-US" w:eastAsia="zh-CN"/>
        </w:rPr>
        <w:t>（二）评价结论</w:t>
      </w:r>
      <w:bookmarkEnd w:id="28"/>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0" w:firstLineChars="200"/>
        <w:jc w:val="both"/>
        <w:textAlignment w:val="auto"/>
        <w:rPr>
          <w:rFonts w:hint="eastAsia" w:ascii="仿宋" w:hAnsi="仿宋" w:eastAsia="仿宋" w:cs="仿宋"/>
          <w:b/>
          <w:bCs/>
          <w:sz w:val="30"/>
          <w:szCs w:val="30"/>
          <w:highlight w:val="none"/>
          <w:lang w:val="en-US" w:eastAsia="zh-CN"/>
        </w:rPr>
      </w:pPr>
      <w:r>
        <w:rPr>
          <w:rFonts w:hint="eastAsia" w:ascii="仿宋" w:hAnsi="仿宋" w:eastAsia="仿宋" w:cs="仿宋"/>
          <w:sz w:val="30"/>
          <w:szCs w:val="30"/>
          <w:highlight w:val="none"/>
          <w:lang w:val="en-US" w:eastAsia="zh-CN"/>
        </w:rPr>
        <w:t>评价组</w:t>
      </w:r>
      <w:r>
        <w:rPr>
          <w:rFonts w:hint="eastAsia" w:ascii="仿宋" w:hAnsi="仿宋" w:eastAsia="仿宋" w:cs="仿宋"/>
          <w:color w:val="auto"/>
          <w:sz w:val="30"/>
          <w:szCs w:val="30"/>
          <w:highlight w:val="none"/>
          <w:lang w:val="en-US" w:eastAsia="zh-CN"/>
        </w:rPr>
        <w:t>运用针对本项目设计的评价指标体系及评分标准，通过基础数据采集并核实、问卷调查及访谈获取数据，评价组对阿坝县麦尔玛镇人民政府开展的麦尔玛镇阿布洛村街面路灯采购项目绩效进行独立客观评价，最终评分得分为92.5</w:t>
      </w:r>
      <w:r>
        <w:rPr>
          <w:rFonts w:hint="eastAsia" w:ascii="仿宋" w:hAnsi="仿宋" w:eastAsia="仿宋" w:cs="仿宋"/>
          <w:sz w:val="30"/>
          <w:szCs w:val="30"/>
          <w:highlight w:val="none"/>
          <w:lang w:val="en-US" w:eastAsia="zh-CN"/>
        </w:rPr>
        <w:t>分，属于“优”。具体得分情况如下表所示：</w:t>
      </w:r>
    </w:p>
    <w:p>
      <w:pPr>
        <w:keepNext w:val="0"/>
        <w:keepLines w:val="0"/>
        <w:pageBreakBefore w:val="0"/>
        <w:widowControl w:val="0"/>
        <w:numPr>
          <w:ilvl w:val="0"/>
          <w:numId w:val="0"/>
        </w:numPr>
        <w:tabs>
          <w:tab w:val="left" w:pos="609"/>
        </w:tabs>
        <w:kinsoku/>
        <w:wordWrap/>
        <w:overflowPunct/>
        <w:topLinePunct w:val="0"/>
        <w:autoSpaceDE/>
        <w:autoSpaceDN/>
        <w:bidi w:val="0"/>
        <w:adjustRightInd/>
        <w:snapToGrid/>
        <w:spacing w:line="560" w:lineRule="exact"/>
        <w:ind w:firstLine="602" w:firstLineChars="200"/>
        <w:jc w:val="center"/>
        <w:textAlignment w:val="auto"/>
        <w:rPr>
          <w:rFonts w:hint="eastAsia" w:ascii="仿宋" w:hAnsi="仿宋" w:eastAsia="仿宋" w:cs="仿宋"/>
          <w:b/>
          <w:bCs/>
          <w:sz w:val="30"/>
          <w:szCs w:val="30"/>
          <w:highlight w:val="none"/>
          <w:lang w:val="en-US" w:eastAsia="zh-CN"/>
        </w:rPr>
      </w:pPr>
      <w:r>
        <w:rPr>
          <w:rFonts w:hint="eastAsia" w:ascii="仿宋" w:hAnsi="仿宋" w:eastAsia="仿宋" w:cs="仿宋"/>
          <w:b/>
          <w:bCs/>
          <w:sz w:val="30"/>
          <w:szCs w:val="30"/>
          <w:highlight w:val="none"/>
          <w:lang w:val="en-US" w:eastAsia="zh-CN"/>
        </w:rPr>
        <w:t>项目支出绩效评价总得分表</w:t>
      </w:r>
    </w:p>
    <w:tbl>
      <w:tblPr>
        <w:tblStyle w:val="11"/>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437"/>
        <w:gridCol w:w="1983"/>
        <w:gridCol w:w="1386"/>
        <w:gridCol w:w="1550"/>
        <w:gridCol w:w="1163"/>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8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一级指标（权重）</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得分率</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二级指标（权重）</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得分</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决策（20）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项目立项（6）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绩效目标（8）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资金投入（6）</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6</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过程（20）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17.5</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85.2%</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资金管理（12）</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组织实施（8）</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5.5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产出（40）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39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97.50%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产出数量（10）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产出质量（10）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产出时效（10）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产出成本（10）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20" w:hRule="atLeast"/>
        </w:trPr>
        <w:tc>
          <w:tcPr>
            <w:tcW w:w="1430"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效益（20）</w:t>
            </w:r>
          </w:p>
        </w:tc>
        <w:tc>
          <w:tcPr>
            <w:tcW w:w="116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i w:val="0"/>
                <w:iCs w:val="0"/>
                <w:color w:val="000000"/>
                <w:sz w:val="21"/>
                <w:szCs w:val="21"/>
                <w:highlight w:val="none"/>
                <w:u w:val="none"/>
                <w:lang w:val="en-US"/>
              </w:rPr>
            </w:pPr>
            <w:r>
              <w:rPr>
                <w:rFonts w:hint="eastAsia" w:ascii="宋体" w:hAnsi="宋体" w:eastAsia="宋体" w:cs="宋体"/>
                <w:i w:val="0"/>
                <w:iCs w:val="0"/>
                <w:color w:val="000000"/>
                <w:kern w:val="0"/>
                <w:sz w:val="21"/>
                <w:szCs w:val="21"/>
                <w:highlight w:val="none"/>
                <w:u w:val="none"/>
                <w:lang w:val="en-US" w:eastAsia="zh-CN" w:bidi="ar"/>
              </w:rPr>
              <w:t>19</w:t>
            </w:r>
          </w:p>
        </w:tc>
        <w:tc>
          <w:tcPr>
            <w:tcW w:w="813"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95.00%</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实施效益（10）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20" w:hRule="atLeast"/>
        </w:trPr>
        <w:tc>
          <w:tcPr>
            <w:tcW w:w="1430"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116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813"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eastAsia" w:ascii="宋体" w:hAnsi="宋体" w:eastAsia="宋体" w:cs="宋体"/>
                <w:i w:val="0"/>
                <w:iCs w:val="0"/>
                <w:color w:val="000000"/>
                <w:sz w:val="21"/>
                <w:szCs w:val="21"/>
                <w:highlight w:val="none"/>
                <w:u w:val="none"/>
              </w:rPr>
            </w:pP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满意度（10）</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i w:val="0"/>
                <w:iCs w:val="0"/>
                <w:color w:val="000000"/>
                <w:sz w:val="21"/>
                <w:szCs w:val="21"/>
                <w:highlight w:val="none"/>
                <w:u w:val="none"/>
              </w:rPr>
            </w:pPr>
            <w:r>
              <w:rPr>
                <w:rFonts w:hint="eastAsia" w:ascii="宋体" w:hAnsi="宋体" w:eastAsia="宋体" w:cs="宋体"/>
                <w:i w:val="0"/>
                <w:iCs w:val="0"/>
                <w:color w:val="000000"/>
                <w:kern w:val="0"/>
                <w:sz w:val="21"/>
                <w:szCs w:val="21"/>
                <w:highlight w:val="none"/>
                <w:u w:val="none"/>
                <w:lang w:val="en-US" w:eastAsia="zh-CN" w:bidi="ar"/>
              </w:rPr>
              <w:t>10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430"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116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92.5</w:t>
            </w:r>
          </w:p>
        </w:tc>
        <w:tc>
          <w:tcPr>
            <w:tcW w:w="813"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exact"/>
              <w:ind w:firstLineChars="0"/>
              <w:jc w:val="center"/>
              <w:rPr>
                <w:rFonts w:hint="default" w:ascii="宋体" w:hAnsi="宋体" w:eastAsia="宋体" w:cs="宋体"/>
                <w:b/>
                <w:bCs/>
                <w:i w:val="0"/>
                <w:iCs w:val="0"/>
                <w:color w:val="000000"/>
                <w:sz w:val="21"/>
                <w:szCs w:val="21"/>
                <w:highlight w:val="none"/>
                <w:u w:val="none"/>
                <w:lang w:val="en-US" w:eastAsia="zh-CN"/>
              </w:rPr>
            </w:pPr>
            <w:r>
              <w:rPr>
                <w:rFonts w:hint="eastAsia" w:ascii="宋体" w:hAnsi="宋体" w:eastAsia="宋体" w:cs="宋体"/>
                <w:b/>
                <w:bCs/>
                <w:i w:val="0"/>
                <w:iCs w:val="0"/>
                <w:color w:val="000000"/>
                <w:sz w:val="21"/>
                <w:szCs w:val="21"/>
                <w:highlight w:val="none"/>
                <w:u w:val="none"/>
                <w:lang w:val="en-US" w:eastAsia="zh-CN"/>
              </w:rPr>
              <w:t>--</w:t>
            </w:r>
          </w:p>
        </w:tc>
        <w:tc>
          <w:tcPr>
            <w:tcW w:w="909"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eastAsia" w:ascii="宋体" w:hAnsi="宋体" w:eastAsia="宋体" w:cs="宋体"/>
                <w:b/>
                <w:bCs/>
                <w:i w:val="0"/>
                <w:iCs w:val="0"/>
                <w:color w:val="000000"/>
                <w:sz w:val="21"/>
                <w:szCs w:val="21"/>
                <w:highlight w:val="none"/>
                <w:u w:val="none"/>
              </w:rPr>
            </w:pPr>
            <w:r>
              <w:rPr>
                <w:rFonts w:hint="eastAsia" w:ascii="宋体" w:hAnsi="宋体" w:eastAsia="宋体" w:cs="宋体"/>
                <w:b/>
                <w:bCs/>
                <w:i w:val="0"/>
                <w:iCs w:val="0"/>
                <w:color w:val="000000"/>
                <w:kern w:val="0"/>
                <w:sz w:val="21"/>
                <w:szCs w:val="21"/>
                <w:highlight w:val="none"/>
                <w:u w:val="none"/>
                <w:lang w:val="en-US" w:eastAsia="zh-CN" w:bidi="ar"/>
              </w:rPr>
              <w:t>合计</w:t>
            </w:r>
          </w:p>
        </w:tc>
        <w:tc>
          <w:tcPr>
            <w:tcW w:w="68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line="240" w:lineRule="exact"/>
              <w:ind w:firstLineChars="0"/>
              <w:jc w:val="center"/>
              <w:textAlignment w:val="center"/>
              <w:rPr>
                <w:rFonts w:hint="default" w:ascii="宋体" w:hAnsi="宋体" w:eastAsia="宋体" w:cs="宋体"/>
                <w:b/>
                <w:bCs/>
                <w:i w:val="0"/>
                <w:iCs w:val="0"/>
                <w:color w:val="000000"/>
                <w:sz w:val="21"/>
                <w:szCs w:val="21"/>
                <w:highlight w:val="none"/>
                <w:u w:val="none"/>
                <w:lang w:val="en-US"/>
              </w:rPr>
            </w:pPr>
            <w:r>
              <w:rPr>
                <w:rFonts w:hint="eastAsia" w:ascii="宋体" w:hAnsi="宋体" w:eastAsia="宋体" w:cs="宋体"/>
                <w:b/>
                <w:bCs/>
                <w:i w:val="0"/>
                <w:iCs w:val="0"/>
                <w:color w:val="000000"/>
                <w:kern w:val="0"/>
                <w:sz w:val="21"/>
                <w:szCs w:val="21"/>
                <w:highlight w:val="none"/>
                <w:u w:val="none"/>
                <w:lang w:val="en-US" w:eastAsia="zh-CN" w:bidi="ar"/>
              </w:rPr>
              <w:t>92.5</w:t>
            </w:r>
          </w:p>
        </w:tc>
      </w:tr>
    </w:tbl>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29" w:name="_Toc32462"/>
      <w:r>
        <w:rPr>
          <w:rFonts w:hint="eastAsia" w:ascii="黑体" w:hAnsi="黑体" w:eastAsia="黑体" w:cs="黑体"/>
          <w:b w:val="0"/>
          <w:bCs w:val="0"/>
          <w:sz w:val="30"/>
          <w:szCs w:val="30"/>
          <w:highlight w:val="none"/>
          <w:lang w:val="en-US" w:eastAsia="zh-CN"/>
        </w:rPr>
        <w:t>五、主要经验及做法、存在的问题及</w:t>
      </w:r>
      <w:r>
        <w:rPr>
          <w:rFonts w:hint="eastAsia" w:ascii="黑体" w:hAnsi="黑体" w:eastAsia="黑体" w:cs="黑体"/>
          <w:b w:val="0"/>
          <w:bCs w:val="0"/>
          <w:sz w:val="30"/>
          <w:szCs w:val="30"/>
          <w:lang w:val="en-US" w:eastAsia="zh-CN"/>
        </w:rPr>
        <w:t>原因</w:t>
      </w:r>
      <w:bookmarkEnd w:id="2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楷体" w:hAnsi="楷体" w:eastAsia="楷体" w:cs="楷体"/>
          <w:b w:val="0"/>
          <w:bCs w:val="0"/>
          <w:sz w:val="30"/>
          <w:szCs w:val="30"/>
          <w:lang w:val="en-US" w:eastAsia="zh-CN"/>
        </w:rPr>
      </w:pPr>
      <w:bookmarkStart w:id="30" w:name="_Toc4136"/>
      <w:r>
        <w:rPr>
          <w:rFonts w:hint="eastAsia" w:ascii="楷体" w:hAnsi="楷体" w:eastAsia="楷体" w:cs="楷体"/>
          <w:b w:val="0"/>
          <w:bCs w:val="0"/>
          <w:sz w:val="30"/>
          <w:szCs w:val="30"/>
          <w:lang w:val="en-US" w:eastAsia="zh-CN"/>
        </w:rPr>
        <w:t>（一）主要经验及做法</w:t>
      </w:r>
      <w:bookmarkEnd w:id="30"/>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default" w:ascii="楷体" w:hAnsi="楷体" w:eastAsia="楷体" w:cs="楷体"/>
          <w:b w:val="0"/>
          <w:bCs w:val="0"/>
          <w:sz w:val="30"/>
          <w:szCs w:val="30"/>
          <w:lang w:val="en-US" w:eastAsia="zh-CN"/>
        </w:rPr>
      </w:pPr>
      <w:r>
        <w:rPr>
          <w:rFonts w:hint="eastAsia" w:ascii="仿宋" w:hAnsi="仿宋" w:eastAsia="仿宋" w:cs="仿宋"/>
          <w:b w:val="0"/>
          <w:bCs w:val="0"/>
          <w:sz w:val="30"/>
          <w:szCs w:val="30"/>
          <w:lang w:val="en-US" w:eastAsia="zh-CN"/>
        </w:rPr>
        <w:t>该项目在</w:t>
      </w:r>
      <w:r>
        <w:rPr>
          <w:rFonts w:hint="eastAsia" w:ascii="仿宋" w:hAnsi="仿宋" w:eastAsia="仿宋" w:cs="仿宋"/>
          <w:smallCaps w:val="0"/>
          <w:kern w:val="2"/>
          <w:sz w:val="30"/>
          <w:szCs w:val="30"/>
          <w:highlight w:val="none"/>
          <w:lang w:val="en-US" w:eastAsia="zh-CN" w:bidi="ar-SA"/>
        </w:rPr>
        <w:t>阿坝县麦尔玛镇人民政府</w:t>
      </w:r>
      <w:r>
        <w:rPr>
          <w:rFonts w:hint="eastAsia" w:ascii="仿宋" w:hAnsi="仿宋" w:eastAsia="仿宋" w:cs="仿宋"/>
          <w:b w:val="0"/>
          <w:bCs w:val="0"/>
          <w:sz w:val="30"/>
          <w:szCs w:val="30"/>
          <w:lang w:val="en-US" w:eastAsia="zh-CN"/>
        </w:rPr>
        <w:t>的统一筹划下，在阿坝县乡村振兴局的领导下，从预算资金申请全过程论证、报批，确保项目资金使用合规、合理上，提高财政资金使用效率。项目进行过程中，按照规定，项目单位均严格按报批程序履行报批义务。严格按照财政财力投资管理规定，按部就班有序推进立项、报建程序。从最终项目竣工验收结果可见，</w:t>
      </w:r>
      <w:r>
        <w:rPr>
          <w:rFonts w:hint="eastAsia" w:ascii="仿宋" w:hAnsi="仿宋" w:eastAsia="仿宋" w:cs="仿宋"/>
          <w:smallCaps w:val="0"/>
          <w:kern w:val="2"/>
          <w:sz w:val="30"/>
          <w:szCs w:val="30"/>
          <w:highlight w:val="none"/>
          <w:lang w:val="en-US" w:eastAsia="zh-CN" w:bidi="ar-SA"/>
        </w:rPr>
        <w:t>麦尔玛镇阿布洛村街面路灯采购项目建设项目</w:t>
      </w:r>
      <w:r>
        <w:rPr>
          <w:rFonts w:hint="eastAsia" w:ascii="仿宋" w:hAnsi="仿宋" w:eastAsia="仿宋" w:cs="仿宋"/>
          <w:b w:val="0"/>
          <w:bCs w:val="0"/>
          <w:sz w:val="30"/>
          <w:szCs w:val="30"/>
          <w:lang w:val="en-US" w:eastAsia="zh-CN"/>
        </w:rPr>
        <w:t>基本圆满完成，实现了预期绩效目标。阿坝县乡村振兴局作为主管部门，</w:t>
      </w:r>
      <w:r>
        <w:rPr>
          <w:rFonts w:hint="eastAsia" w:ascii="仿宋" w:hAnsi="仿宋" w:eastAsia="仿宋" w:cs="仿宋"/>
          <w:smallCaps w:val="0"/>
          <w:kern w:val="2"/>
          <w:sz w:val="30"/>
          <w:szCs w:val="30"/>
          <w:highlight w:val="none"/>
          <w:lang w:val="en-US" w:eastAsia="zh-CN" w:bidi="ar-SA"/>
        </w:rPr>
        <w:t>阿坝县麦尔玛镇人民政府</w:t>
      </w:r>
      <w:r>
        <w:rPr>
          <w:rFonts w:hint="eastAsia" w:ascii="仿宋" w:hAnsi="仿宋" w:eastAsia="仿宋" w:cs="仿宋"/>
          <w:b w:val="0"/>
          <w:bCs w:val="0"/>
          <w:sz w:val="30"/>
          <w:szCs w:val="30"/>
          <w:lang w:val="en-US" w:eastAsia="zh-CN"/>
        </w:rPr>
        <w:t>作为项目具体实施单位，负责</w:t>
      </w:r>
      <w:r>
        <w:rPr>
          <w:rFonts w:hint="eastAsia" w:ascii="仿宋" w:hAnsi="仿宋" w:eastAsia="仿宋" w:cs="仿宋"/>
          <w:smallCaps w:val="0"/>
          <w:kern w:val="2"/>
          <w:sz w:val="30"/>
          <w:szCs w:val="30"/>
          <w:highlight w:val="none"/>
          <w:lang w:val="en-US" w:eastAsia="zh-CN" w:bidi="ar-SA"/>
        </w:rPr>
        <w:t>麦尔玛镇阿布洛村街面路灯采购项目的</w:t>
      </w:r>
      <w:r>
        <w:rPr>
          <w:rFonts w:hint="eastAsia" w:ascii="仿宋" w:hAnsi="仿宋" w:eastAsia="仿宋" w:cs="仿宋"/>
          <w:b w:val="0"/>
          <w:bCs w:val="0"/>
          <w:sz w:val="30"/>
          <w:szCs w:val="30"/>
          <w:lang w:val="en-US" w:eastAsia="zh-CN"/>
        </w:rPr>
        <w:t>立项、实施过程管理，项目进度控制等工作，最终质量验收合格，取得了预期效果。</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仿宋" w:hAnsi="仿宋" w:eastAsia="仿宋" w:cs="仿宋"/>
          <w:sz w:val="30"/>
          <w:szCs w:val="30"/>
          <w:lang w:val="en-US" w:eastAsia="zh-CN"/>
        </w:rPr>
      </w:pPr>
      <w:bookmarkStart w:id="31" w:name="_Toc16948"/>
      <w:r>
        <w:rPr>
          <w:rFonts w:hint="eastAsia" w:ascii="楷体" w:hAnsi="楷体" w:eastAsia="楷体" w:cs="楷体"/>
          <w:b w:val="0"/>
          <w:bCs w:val="0"/>
          <w:sz w:val="30"/>
          <w:szCs w:val="30"/>
          <w:lang w:val="en-US" w:eastAsia="zh-CN"/>
        </w:rPr>
        <w:t>（二）存在的问题</w:t>
      </w:r>
      <w:bookmarkEnd w:id="31"/>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根据评价组向项目单位了解，项目单位未根据项目具体实施内容制定相关实施保障制度和资金保障措施，加强项目资金管理和组织管理，在项目建设过程中应当加强组织管理，保障项目正常开展，加强资金管理，有效使用资金。</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2、指标值设置模糊。例如项目绩效目标申报表中时效效益指标的目标为“项目（工程）按时完成率”，指标值为≥100%；时效的指标值未细化量化，后续考核困难。</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9"/>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3、项目合同填写不严谨，项目施工合同中，合同工期一栏，计划竣工日期为2023年7月31日，但是计划开工日期一栏为空。根据相关规定，合同内应当包含项目开工时间和竣工时间。</w:t>
      </w:r>
    </w:p>
    <w:p>
      <w:pPr>
        <w:keepNext w:val="0"/>
        <w:keepLines w:val="0"/>
        <w:pageBreakBefore w:val="0"/>
        <w:widowControl w:val="0"/>
        <w:tabs>
          <w:tab w:val="left" w:pos="609"/>
        </w:tabs>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sz w:val="30"/>
          <w:szCs w:val="30"/>
          <w:lang w:val="en-US" w:eastAsia="zh-CN"/>
        </w:rPr>
      </w:pPr>
      <w:bookmarkStart w:id="32" w:name="_Toc32373"/>
      <w:r>
        <w:rPr>
          <w:rFonts w:hint="eastAsia" w:ascii="楷体" w:hAnsi="楷体" w:eastAsia="楷体" w:cs="楷体"/>
          <w:b w:val="0"/>
          <w:bCs w:val="0"/>
          <w:sz w:val="30"/>
          <w:szCs w:val="30"/>
          <w:lang w:val="en-US" w:eastAsia="zh-CN"/>
        </w:rPr>
        <w:t>（三）有关建议</w:t>
      </w:r>
      <w:bookmarkEnd w:id="32"/>
      <w:r>
        <w:rPr>
          <w:rFonts w:hint="eastAsia" w:ascii="仿宋" w:hAnsi="仿宋" w:eastAsia="仿宋" w:cs="仿宋"/>
          <w:sz w:val="30"/>
          <w:szCs w:val="30"/>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1、建议项目单位位根据项目具体实施内容制定相关实施保障制度和资金保障措施，加强项目资金管理和组织管理，在项目建设过程中应当加强组织管理，保障项目正常进展。</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2、建议项目单位合理设置项目时效指标，根据项目实施时间，设置相应绩效目标并以相应的绩效指标并予以细化、量化描述。</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3、加强合同编制审核，建议项目单位在签订合同时，对合同内容中能够予以确定的开竣工时间加以填列，如签订时无法确定项目开工时间，需在合适时补充项目开工竣工时间，保证合同完整性。</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default" w:ascii="黑体" w:hAnsi="黑体" w:eastAsia="黑体" w:cs="黑体"/>
          <w:b w:val="0"/>
          <w:bCs w:val="0"/>
          <w:sz w:val="30"/>
          <w:szCs w:val="30"/>
          <w:lang w:val="en-US" w:eastAsia="zh-CN"/>
        </w:rPr>
      </w:pPr>
      <w:bookmarkStart w:id="33" w:name="_Toc1142"/>
      <w:r>
        <w:rPr>
          <w:rFonts w:hint="eastAsia" w:ascii="黑体" w:hAnsi="黑体" w:eastAsia="黑体" w:cs="黑体"/>
          <w:b w:val="0"/>
          <w:bCs w:val="0"/>
          <w:sz w:val="30"/>
          <w:szCs w:val="30"/>
          <w:lang w:val="en-US" w:eastAsia="zh-CN"/>
        </w:rPr>
        <w:t>六、其他需要说明的问题</w:t>
      </w:r>
      <w:bookmarkEnd w:id="33"/>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default" w:ascii="仿宋" w:hAnsi="仿宋" w:eastAsia="仿宋" w:cs="仿宋"/>
          <w:b w:val="0"/>
          <w:bCs w:val="0"/>
          <w:sz w:val="30"/>
          <w:szCs w:val="30"/>
          <w:lang w:val="en-US" w:eastAsia="zh-CN"/>
        </w:rPr>
      </w:pPr>
      <w:bookmarkStart w:id="34" w:name="_Toc27734"/>
      <w:r>
        <w:rPr>
          <w:rFonts w:hint="eastAsia" w:ascii="楷体" w:hAnsi="楷体" w:eastAsia="楷体" w:cs="楷体"/>
          <w:b w:val="0"/>
          <w:bCs w:val="0"/>
          <w:sz w:val="30"/>
          <w:szCs w:val="30"/>
          <w:lang w:val="en-US" w:eastAsia="zh-CN"/>
        </w:rPr>
        <w:t>（一）本次绩效评价的局限性</w:t>
      </w:r>
      <w:bookmarkEnd w:id="34"/>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highlight w:val="none"/>
          <w:lang w:val="en-US" w:eastAsia="zh-CN"/>
        </w:rPr>
      </w:pPr>
      <w:r>
        <w:rPr>
          <w:rFonts w:hint="eastAsia" w:ascii="仿宋" w:hAnsi="仿宋" w:eastAsia="仿宋" w:cs="仿宋"/>
          <w:b w:val="0"/>
          <w:bCs w:val="0"/>
          <w:sz w:val="30"/>
          <w:szCs w:val="30"/>
          <w:lang w:val="en-US" w:eastAsia="zh-CN"/>
        </w:rPr>
        <w:t>由于</w:t>
      </w:r>
      <w:r>
        <w:rPr>
          <w:rFonts w:hint="eastAsia" w:ascii="仿宋" w:hAnsi="仿宋" w:eastAsia="仿宋" w:cs="仿宋"/>
          <w:b w:val="0"/>
          <w:bCs w:val="0"/>
          <w:sz w:val="30"/>
          <w:szCs w:val="30"/>
          <w:highlight w:val="none"/>
          <w:lang w:val="en-US" w:eastAsia="zh-CN"/>
        </w:rPr>
        <w:t>绩效评价工作自身的复杂性，并受到评价手段和方案设计经验等方面的限制，本次绩效评价工作中由于资料、数据、凭证较多，受时间所限。项目绩效评价指标体系在评价权重的分配、指标标杆值的设定以及数据来源的选择等方面还不够完善和充分，可能在公正、公平、科学性方面存在局限。</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highlight w:val="none"/>
          <w:lang w:val="en-US" w:eastAsia="zh-CN"/>
        </w:rPr>
        <w:t>对于定性的指标，我们主要从调查问卷、调查访谈和工程项目档案资料中获取到信息和数据，</w:t>
      </w:r>
      <w:r>
        <w:rPr>
          <w:rFonts w:hint="eastAsia" w:ascii="仿宋" w:hAnsi="仿宋" w:eastAsia="仿宋" w:cs="仿宋"/>
          <w:b w:val="0"/>
          <w:bCs w:val="0"/>
          <w:sz w:val="30"/>
          <w:szCs w:val="30"/>
          <w:lang w:val="en-US" w:eastAsia="zh-CN"/>
        </w:rPr>
        <w:t>由于项目组缺乏与项目受益者直接面谈的机会，调研评价客观性存在一定局限性。无法根据量化的数据评价并得出分数，评议结果主要依据评价小组的职业判断。</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满意度指数来源于随机抽取的样本，因受益者抽样的局限性和样本量限制，我们使用的方法受到一定影响，评价结论可能存在缺陷。</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5" w:name="_Toc2176"/>
      <w:r>
        <w:rPr>
          <w:rFonts w:hint="eastAsia" w:ascii="楷体" w:hAnsi="楷体" w:eastAsia="楷体" w:cs="楷体"/>
          <w:b w:val="0"/>
          <w:bCs w:val="0"/>
          <w:sz w:val="30"/>
          <w:szCs w:val="30"/>
          <w:lang w:val="en-US" w:eastAsia="zh-CN"/>
        </w:rPr>
        <w:t>（二）本报告的使用范围</w:t>
      </w:r>
      <w:bookmarkEnd w:id="35"/>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9"/>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本报告系第三方机构受阿坝县财政局委托，对项目单位申请财政资金项目进行事前绩效评估后出具，仅作为阿坝县财政局和国家相关部门了解该财政项目支出完成绩效情况之用。</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0"/>
        <w:rPr>
          <w:rFonts w:hint="eastAsia" w:ascii="黑体" w:hAnsi="黑体" w:eastAsia="黑体" w:cs="黑体"/>
          <w:b w:val="0"/>
          <w:bCs w:val="0"/>
          <w:sz w:val="30"/>
          <w:szCs w:val="30"/>
          <w:lang w:val="en-US" w:eastAsia="zh-CN"/>
        </w:rPr>
      </w:pPr>
      <w:bookmarkStart w:id="36" w:name="_Toc13392"/>
      <w:r>
        <w:rPr>
          <w:rFonts w:hint="eastAsia" w:ascii="黑体" w:hAnsi="黑体" w:eastAsia="黑体" w:cs="黑体"/>
          <w:b w:val="0"/>
          <w:bCs w:val="0"/>
          <w:sz w:val="30"/>
          <w:szCs w:val="30"/>
          <w:lang w:val="en-US" w:eastAsia="zh-CN"/>
        </w:rPr>
        <w:t>七、附件</w:t>
      </w:r>
      <w:bookmarkEnd w:id="36"/>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7" w:name="_Toc31974"/>
      <w:r>
        <w:rPr>
          <w:rFonts w:hint="eastAsia" w:ascii="楷体" w:hAnsi="楷体" w:eastAsia="楷体" w:cs="楷体"/>
          <w:b w:val="0"/>
          <w:bCs w:val="0"/>
          <w:sz w:val="30"/>
          <w:szCs w:val="30"/>
          <w:lang w:val="en-US" w:eastAsia="zh-CN"/>
        </w:rPr>
        <w:t>（一）财政项目支出绩效评价体系</w:t>
      </w:r>
      <w:bookmarkEnd w:id="37"/>
      <w:bookmarkStart w:id="38" w:name="_Toc17572"/>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39" w:name="_Toc6212"/>
      <w:r>
        <w:rPr>
          <w:rFonts w:hint="eastAsia" w:ascii="楷体" w:hAnsi="楷体" w:eastAsia="楷体" w:cs="楷体"/>
          <w:b w:val="0"/>
          <w:bCs w:val="0"/>
          <w:sz w:val="30"/>
          <w:szCs w:val="30"/>
          <w:lang w:val="en-US" w:eastAsia="zh-CN"/>
        </w:rPr>
        <w:t>（二）绩效目标完成情况对比表</w:t>
      </w:r>
      <w:bookmarkEnd w:id="38"/>
      <w:bookmarkEnd w:id="39"/>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jc w:val="both"/>
        <w:textAlignment w:val="auto"/>
        <w:outlineLvl w:val="1"/>
        <w:rPr>
          <w:rFonts w:hint="eastAsia" w:ascii="楷体" w:hAnsi="楷体" w:eastAsia="楷体" w:cs="楷体"/>
          <w:b w:val="0"/>
          <w:bCs w:val="0"/>
          <w:sz w:val="30"/>
          <w:szCs w:val="30"/>
          <w:lang w:val="en-US" w:eastAsia="zh-CN"/>
        </w:rPr>
      </w:pPr>
      <w:bookmarkStart w:id="40" w:name="_Toc29569"/>
      <w:bookmarkStart w:id="41" w:name="_Toc6963"/>
      <w:r>
        <w:rPr>
          <w:rFonts w:hint="eastAsia" w:ascii="楷体" w:hAnsi="楷体" w:eastAsia="楷体" w:cs="楷体"/>
          <w:b w:val="0"/>
          <w:bCs w:val="0"/>
          <w:sz w:val="30"/>
          <w:szCs w:val="30"/>
          <w:lang w:val="en-US" w:eastAsia="zh-CN"/>
        </w:rPr>
        <w:t>（三）评价依据目录</w:t>
      </w:r>
      <w:bookmarkEnd w:id="40"/>
      <w:bookmarkEnd w:id="41"/>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textAlignment w:val="auto"/>
        <w:rPr>
          <w:rFonts w:hint="eastAsia" w:ascii="仿宋" w:hAnsi="仿宋" w:eastAsia="仿宋" w:cs="仿宋"/>
          <w:b w:val="0"/>
          <w:bCs w:val="0"/>
          <w:sz w:val="30"/>
          <w:szCs w:val="30"/>
          <w:lang w:val="en-US" w:eastAsia="zh-CN"/>
        </w:rPr>
      </w:pP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成都青云致远工程咨询有限公司</w:t>
      </w:r>
    </w:p>
    <w:p>
      <w:pPr>
        <w:pStyle w:val="4"/>
        <w:keepNext w:val="0"/>
        <w:keepLines w:val="0"/>
        <w:pageBreakBefore w:val="0"/>
        <w:widowControl w:val="0"/>
        <w:kinsoku/>
        <w:wordWrap/>
        <w:overflowPunct/>
        <w:topLinePunct w:val="0"/>
        <w:autoSpaceDE/>
        <w:autoSpaceDN/>
        <w:bidi w:val="0"/>
        <w:adjustRightInd/>
        <w:snapToGrid/>
        <w:spacing w:after="0" w:line="560" w:lineRule="exact"/>
        <w:jc w:val="right"/>
        <w:textAlignment w:val="auto"/>
        <w:rPr>
          <w:rFonts w:hint="eastAsia" w:ascii="仿宋" w:hAnsi="仿宋" w:eastAsia="仿宋" w:cs="仿宋"/>
          <w:b w:val="0"/>
          <w:bCs w:val="0"/>
          <w:sz w:val="30"/>
          <w:szCs w:val="30"/>
          <w:lang w:val="en-US" w:eastAsia="zh-CN"/>
        </w:rPr>
        <w:sectPr>
          <w:pgSz w:w="11906" w:h="16838"/>
          <w:pgMar w:top="1440" w:right="1800" w:bottom="1440" w:left="1800" w:header="851" w:footer="992" w:gutter="0"/>
          <w:pgNumType w:fmt="decimal"/>
          <w:cols w:space="425" w:num="1"/>
          <w:docGrid w:type="lines" w:linePitch="312" w:charSpace="0"/>
        </w:sectPr>
      </w:pPr>
      <w:r>
        <w:rPr>
          <w:rFonts w:hint="eastAsia" w:ascii="仿宋" w:hAnsi="仿宋" w:eastAsia="仿宋" w:cs="仿宋"/>
          <w:b w:val="0"/>
          <w:bCs w:val="0"/>
          <w:sz w:val="30"/>
          <w:szCs w:val="30"/>
          <w:lang w:val="en-US" w:eastAsia="zh-CN"/>
        </w:rPr>
        <w:t>2023年11月13日</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r>
        <w:rPr>
          <w:rFonts w:hint="eastAsia" w:ascii="楷体" w:hAnsi="楷体" w:eastAsia="楷体" w:cs="楷体"/>
          <w:b w:val="0"/>
          <w:bCs w:val="0"/>
          <w:sz w:val="30"/>
          <w:szCs w:val="30"/>
          <w:lang w:val="en-US" w:eastAsia="zh-CN"/>
        </w:rPr>
        <w:t>附件（二）：绩效目标完成情况对比表</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436"/>
        <w:gridCol w:w="437"/>
        <w:gridCol w:w="1455"/>
        <w:gridCol w:w="2733"/>
        <w:gridCol w:w="1715"/>
        <w:gridCol w:w="17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62" w:hRule="atLeast"/>
          <w:jc w:val="center"/>
        </w:trPr>
        <w:tc>
          <w:tcPr>
            <w:tcW w:w="8522" w:type="dxa"/>
            <w:gridSpan w:val="6"/>
            <w:shd w:val="clear" w:color="auto" w:fill="auto"/>
            <w:vAlign w:val="center"/>
          </w:tcPr>
          <w:p>
            <w:pPr>
              <w:keepNext w:val="0"/>
              <w:keepLines w:val="0"/>
              <w:widowControl/>
              <w:suppressLineNumbers w:val="0"/>
              <w:spacing w:line="360" w:lineRule="exact"/>
              <w:jc w:val="center"/>
              <w:textAlignment w:val="center"/>
              <w:rPr>
                <w:rFonts w:hint="eastAsia" w:ascii="黑体" w:hAnsi="宋体" w:eastAsia="黑体" w:cs="黑体"/>
                <w:i w:val="0"/>
                <w:iCs w:val="0"/>
                <w:color w:val="000000"/>
                <w:kern w:val="0"/>
                <w:sz w:val="32"/>
                <w:szCs w:val="32"/>
                <w:u w:val="none"/>
                <w:lang w:val="en-US" w:eastAsia="zh-CN" w:bidi="ar"/>
              </w:rPr>
            </w:pPr>
            <w:r>
              <w:rPr>
                <w:rFonts w:hint="eastAsia" w:ascii="黑体" w:hAnsi="宋体" w:eastAsia="黑体" w:cs="黑体"/>
                <w:i w:val="0"/>
                <w:iCs w:val="0"/>
                <w:color w:val="000000"/>
                <w:kern w:val="0"/>
                <w:sz w:val="32"/>
                <w:szCs w:val="32"/>
                <w:u w:val="none"/>
                <w:lang w:val="en-US" w:eastAsia="zh-CN" w:bidi="ar"/>
              </w:rPr>
              <w:t>绩效目标完成情况对比表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15" w:hRule="atLeast"/>
          <w:jc w:val="center"/>
        </w:trPr>
        <w:tc>
          <w:tcPr>
            <w:tcW w:w="2328" w:type="dxa"/>
            <w:gridSpan w:val="3"/>
            <w:shd w:val="clear" w:color="auto" w:fill="auto"/>
            <w:noWrap/>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填报单位</w:t>
            </w:r>
          </w:p>
        </w:tc>
        <w:tc>
          <w:tcPr>
            <w:tcW w:w="6194"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阿坝县麦尔玛镇人民政府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2328" w:type="dxa"/>
            <w:gridSpan w:val="3"/>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项目名称</w:t>
            </w:r>
          </w:p>
        </w:tc>
        <w:tc>
          <w:tcPr>
            <w:tcW w:w="6194" w:type="dxa"/>
            <w:gridSpan w:val="3"/>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麦尔玛镇阿布洛村街面路灯采购项目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restart"/>
            <w:shd w:val="clear" w:color="auto" w:fill="auto"/>
            <w:vAlign w:val="center"/>
          </w:tcPr>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绩</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效</w:t>
            </w:r>
          </w:p>
          <w:p>
            <w:pPr>
              <w:keepNext w:val="0"/>
              <w:keepLines w:val="0"/>
              <w:widowControl/>
              <w:suppressLineNumbers w:val="0"/>
              <w:jc w:val="center"/>
              <w:textAlignment w:val="center"/>
              <w:rPr>
                <w:rFonts w:hint="eastAsia" w:ascii="黑体" w:hAnsi="宋体" w:eastAsia="黑体" w:cs="黑体"/>
                <w:i w:val="0"/>
                <w:iCs w:val="0"/>
                <w:color w:val="000000"/>
                <w:kern w:val="0"/>
                <w:sz w:val="22"/>
                <w:szCs w:val="22"/>
                <w:u w:val="none"/>
                <w:lang w:val="en-US" w:eastAsia="zh-CN" w:bidi="ar"/>
              </w:rPr>
            </w:pPr>
            <w:r>
              <w:rPr>
                <w:rFonts w:hint="eastAsia" w:ascii="黑体" w:hAnsi="宋体" w:eastAsia="黑体" w:cs="黑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黑体" w:hAnsi="宋体" w:eastAsia="黑体" w:cs="黑体"/>
                <w:i w:val="0"/>
                <w:iCs w:val="0"/>
                <w:color w:val="000000"/>
                <w:sz w:val="22"/>
                <w:szCs w:val="22"/>
                <w:u w:val="none"/>
              </w:rPr>
            </w:pPr>
            <w:r>
              <w:rPr>
                <w:rFonts w:hint="eastAsia" w:ascii="黑体" w:hAnsi="宋体" w:eastAsia="黑体" w:cs="黑体"/>
                <w:i w:val="0"/>
                <w:iCs w:val="0"/>
                <w:color w:val="000000"/>
                <w:kern w:val="0"/>
                <w:sz w:val="22"/>
                <w:szCs w:val="22"/>
                <w:u w:val="none"/>
                <w:lang w:val="en-US" w:eastAsia="zh-CN" w:bidi="ar"/>
              </w:rPr>
              <w:t>标</w:t>
            </w:r>
          </w:p>
        </w:tc>
        <w:tc>
          <w:tcPr>
            <w:tcW w:w="437"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一级</w:t>
            </w:r>
          </w:p>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w:t>
            </w:r>
          </w:p>
        </w:tc>
        <w:tc>
          <w:tcPr>
            <w:tcW w:w="145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二级指标</w:t>
            </w:r>
          </w:p>
        </w:tc>
        <w:tc>
          <w:tcPr>
            <w:tcW w:w="2733"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三级指标</w:t>
            </w:r>
          </w:p>
        </w:tc>
        <w:tc>
          <w:tcPr>
            <w:tcW w:w="1715" w:type="dxa"/>
            <w:shd w:val="clear" w:color="auto" w:fill="auto"/>
            <w:vAlign w:val="center"/>
          </w:tcPr>
          <w:p>
            <w:pPr>
              <w:keepNext w:val="0"/>
              <w:keepLines w:val="0"/>
              <w:widowControl/>
              <w:suppressLineNumbers w:val="0"/>
              <w:jc w:val="center"/>
              <w:textAlignment w:val="center"/>
              <w:rPr>
                <w:rFonts w:hint="eastAsia" w:ascii="黑体" w:hAnsi="宋体" w:eastAsia="黑体" w:cs="黑体"/>
                <w:b/>
                <w:bCs/>
                <w:i w:val="0"/>
                <w:iCs w:val="0"/>
                <w:color w:val="000000"/>
                <w:sz w:val="22"/>
                <w:szCs w:val="22"/>
                <w:u w:val="none"/>
              </w:rPr>
            </w:pPr>
            <w:r>
              <w:rPr>
                <w:rFonts w:hint="eastAsia" w:ascii="黑体" w:hAnsi="宋体" w:eastAsia="黑体" w:cs="黑体"/>
                <w:b/>
                <w:bCs/>
                <w:i w:val="0"/>
                <w:iCs w:val="0"/>
                <w:color w:val="000000"/>
                <w:kern w:val="0"/>
                <w:sz w:val="22"/>
                <w:szCs w:val="22"/>
                <w:u w:val="none"/>
                <w:lang w:val="en-US" w:eastAsia="zh-CN" w:bidi="ar"/>
              </w:rPr>
              <w:t>指标值</w:t>
            </w:r>
          </w:p>
        </w:tc>
        <w:tc>
          <w:tcPr>
            <w:tcW w:w="1746" w:type="dxa"/>
            <w:shd w:val="clear" w:color="auto" w:fill="auto"/>
            <w:vAlign w:val="center"/>
          </w:tcPr>
          <w:p>
            <w:pPr>
              <w:keepNext w:val="0"/>
              <w:keepLines w:val="0"/>
              <w:widowControl/>
              <w:suppressLineNumbers w:val="0"/>
              <w:jc w:val="center"/>
              <w:textAlignment w:val="center"/>
              <w:rPr>
                <w:rFonts w:hint="default" w:ascii="黑体" w:hAnsi="宋体" w:eastAsia="黑体" w:cs="黑体"/>
                <w:b/>
                <w:bCs/>
                <w:i w:val="0"/>
                <w:iCs w:val="0"/>
                <w:color w:val="000000"/>
                <w:kern w:val="0"/>
                <w:sz w:val="22"/>
                <w:szCs w:val="22"/>
                <w:u w:val="none"/>
                <w:lang w:val="en-US" w:eastAsia="zh-CN" w:bidi="ar"/>
              </w:rPr>
            </w:pPr>
            <w:r>
              <w:rPr>
                <w:rFonts w:hint="eastAsia" w:ascii="黑体" w:hAnsi="宋体" w:eastAsia="黑体" w:cs="黑体"/>
                <w:b/>
                <w:bCs/>
                <w:i w:val="0"/>
                <w:iCs w:val="0"/>
                <w:color w:val="000000"/>
                <w:kern w:val="0"/>
                <w:sz w:val="22"/>
                <w:szCs w:val="22"/>
                <w:u w:val="none"/>
                <w:lang w:val="en-US" w:eastAsia="zh-CN" w:bidi="ar"/>
              </w:rPr>
              <w:t>完成值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产</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出</w:t>
            </w:r>
          </w:p>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标</w:t>
            </w:r>
          </w:p>
        </w:tc>
        <w:tc>
          <w:tcPr>
            <w:tcW w:w="145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数量指标</w:t>
            </w:r>
          </w:p>
        </w:tc>
        <w:tc>
          <w:tcPr>
            <w:tcW w:w="273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指标1：采购LED路灯</w:t>
            </w:r>
          </w:p>
        </w:tc>
        <w:tc>
          <w:tcPr>
            <w:tcW w:w="171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≥105个</w:t>
            </w:r>
          </w:p>
        </w:tc>
        <w:tc>
          <w:tcPr>
            <w:tcW w:w="174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≥105个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1455" w:type="dxa"/>
            <w:vMerge w:val="continue"/>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p>
        </w:tc>
        <w:tc>
          <w:tcPr>
            <w:tcW w:w="273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指标2：采购太阳能路灯</w:t>
            </w:r>
          </w:p>
        </w:tc>
        <w:tc>
          <w:tcPr>
            <w:tcW w:w="171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≥34个</w:t>
            </w:r>
          </w:p>
        </w:tc>
        <w:tc>
          <w:tcPr>
            <w:tcW w:w="174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≥34个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质量指标</w:t>
            </w:r>
          </w:p>
        </w:tc>
        <w:tc>
          <w:tcPr>
            <w:tcW w:w="273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指标1：项目（工程）验收合格率</w:t>
            </w:r>
          </w:p>
        </w:tc>
        <w:tc>
          <w:tcPr>
            <w:tcW w:w="171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74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时效指标</w:t>
            </w:r>
          </w:p>
        </w:tc>
        <w:tc>
          <w:tcPr>
            <w:tcW w:w="273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指标1：项目（工程）按时完成率</w:t>
            </w:r>
          </w:p>
        </w:tc>
        <w:tc>
          <w:tcPr>
            <w:tcW w:w="171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≥100%</w:t>
            </w:r>
          </w:p>
        </w:tc>
        <w:tc>
          <w:tcPr>
            <w:tcW w:w="174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成本指标</w:t>
            </w:r>
          </w:p>
        </w:tc>
        <w:tc>
          <w:tcPr>
            <w:tcW w:w="273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指标1：采购路灯标准</w:t>
            </w:r>
          </w:p>
        </w:tc>
        <w:tc>
          <w:tcPr>
            <w:tcW w:w="171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1.09万/个</w:t>
            </w:r>
          </w:p>
        </w:tc>
        <w:tc>
          <w:tcPr>
            <w:tcW w:w="174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1.09万/个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5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预算执行指标</w:t>
            </w:r>
          </w:p>
        </w:tc>
        <w:tc>
          <w:tcPr>
            <w:tcW w:w="273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指标1：财政资金</w:t>
            </w:r>
          </w:p>
        </w:tc>
        <w:tc>
          <w:tcPr>
            <w:tcW w:w="171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sz w:val="22"/>
                <w:szCs w:val="22"/>
                <w:u w:val="none"/>
                <w:lang w:val="en-US" w:eastAsia="zh-CN"/>
              </w:rPr>
              <w:t>152万元</w:t>
            </w:r>
          </w:p>
        </w:tc>
        <w:tc>
          <w:tcPr>
            <w:tcW w:w="174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147.90万元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70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5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sz w:val="22"/>
                <w:szCs w:val="22"/>
                <w:u w:val="none"/>
                <w:lang w:val="en-US" w:eastAsia="zh-CN"/>
              </w:rPr>
              <w:t>经济效益指标</w:t>
            </w:r>
          </w:p>
        </w:tc>
        <w:tc>
          <w:tcPr>
            <w:tcW w:w="273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指标1：带动增加脱贫人口务工收入</w:t>
            </w:r>
          </w:p>
        </w:tc>
        <w:tc>
          <w:tcPr>
            <w:tcW w:w="171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eastAsia="zh-CN"/>
              </w:rPr>
            </w:pPr>
            <w:r>
              <w:rPr>
                <w:rFonts w:hint="eastAsia" w:ascii="宋体" w:hAnsi="宋体" w:eastAsia="宋体" w:cs="宋体"/>
                <w:i w:val="0"/>
                <w:iCs w:val="0"/>
                <w:color w:val="000000"/>
                <w:kern w:val="0"/>
                <w:sz w:val="22"/>
                <w:szCs w:val="22"/>
                <w:u w:val="none"/>
                <w:lang w:val="en-US" w:eastAsia="zh-CN" w:bidi="ar"/>
              </w:rPr>
              <w:t>≥100元</w:t>
            </w:r>
          </w:p>
        </w:tc>
        <w:tc>
          <w:tcPr>
            <w:tcW w:w="174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5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社会效益</w:t>
            </w:r>
          </w:p>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w:t>
            </w:r>
          </w:p>
        </w:tc>
        <w:tc>
          <w:tcPr>
            <w:tcW w:w="273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指标1：受益脱贫人口数</w:t>
            </w:r>
          </w:p>
        </w:tc>
        <w:tc>
          <w:tcPr>
            <w:tcW w:w="171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≥1127人</w:t>
            </w:r>
          </w:p>
        </w:tc>
        <w:tc>
          <w:tcPr>
            <w:tcW w:w="174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1127人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5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73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指标2：收益一般农户人口数</w:t>
            </w:r>
          </w:p>
        </w:tc>
        <w:tc>
          <w:tcPr>
            <w:tcW w:w="171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≥5935人</w:t>
            </w:r>
          </w:p>
        </w:tc>
        <w:tc>
          <w:tcPr>
            <w:tcW w:w="174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5935人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55" w:type="dxa"/>
            <w:vMerge w:val="restart"/>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可持续影响指标</w:t>
            </w:r>
          </w:p>
        </w:tc>
        <w:tc>
          <w:tcPr>
            <w:tcW w:w="2733" w:type="dxa"/>
            <w:shd w:val="clear" w:color="auto" w:fill="auto"/>
            <w:vAlign w:val="center"/>
          </w:tcPr>
          <w:p>
            <w:pPr>
              <w:keepNext w:val="0"/>
              <w:keepLines w:val="0"/>
              <w:widowControl/>
              <w:suppressLineNumbers w:val="0"/>
              <w:jc w:val="left"/>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指标1：项目持续服务年限</w:t>
            </w:r>
          </w:p>
        </w:tc>
        <w:tc>
          <w:tcPr>
            <w:tcW w:w="1715" w:type="dxa"/>
            <w:shd w:val="clear" w:color="auto" w:fill="auto"/>
            <w:vAlign w:val="center"/>
          </w:tcPr>
          <w:p>
            <w:pPr>
              <w:keepNext w:val="0"/>
              <w:keepLines w:val="0"/>
              <w:widowControl/>
              <w:suppressLineNumbers w:val="0"/>
              <w:jc w:val="center"/>
              <w:textAlignment w:val="center"/>
              <w:rPr>
                <w:rFonts w:hint="default" w:ascii="宋体" w:hAnsi="宋体" w:eastAsia="宋体" w:cs="宋体"/>
                <w:i w:val="0"/>
                <w:iCs w:val="0"/>
                <w:color w:val="000000"/>
                <w:sz w:val="22"/>
                <w:szCs w:val="22"/>
                <w:u w:val="none"/>
                <w:lang w:val="en-US"/>
              </w:rPr>
            </w:pPr>
            <w:r>
              <w:rPr>
                <w:rFonts w:hint="eastAsia" w:ascii="宋体" w:hAnsi="宋体" w:eastAsia="宋体" w:cs="宋体"/>
                <w:i w:val="0"/>
                <w:iCs w:val="0"/>
                <w:color w:val="000000"/>
                <w:kern w:val="0"/>
                <w:sz w:val="22"/>
                <w:szCs w:val="22"/>
                <w:u w:val="none"/>
                <w:lang w:val="en-US" w:eastAsia="zh-CN" w:bidi="ar"/>
              </w:rPr>
              <w:t>≥5年</w:t>
            </w:r>
          </w:p>
        </w:tc>
        <w:tc>
          <w:tcPr>
            <w:tcW w:w="174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vMerge w:val="continue"/>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1455" w:type="dxa"/>
            <w:vMerge w:val="continue"/>
            <w:shd w:val="clear" w:color="auto" w:fill="auto"/>
            <w:vAlign w:val="center"/>
          </w:tcPr>
          <w:p>
            <w:pPr>
              <w:jc w:val="center"/>
              <w:rPr>
                <w:rFonts w:hint="eastAsia" w:ascii="宋体" w:hAnsi="宋体" w:eastAsia="宋体" w:cs="宋体"/>
                <w:i w:val="0"/>
                <w:iCs w:val="0"/>
                <w:color w:val="000000"/>
                <w:sz w:val="22"/>
                <w:szCs w:val="22"/>
                <w:u w:val="none"/>
              </w:rPr>
            </w:pPr>
          </w:p>
        </w:tc>
        <w:tc>
          <w:tcPr>
            <w:tcW w:w="273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sz w:val="22"/>
                <w:szCs w:val="22"/>
                <w:u w:val="none"/>
              </w:rPr>
            </w:pPr>
          </w:p>
        </w:tc>
        <w:tc>
          <w:tcPr>
            <w:tcW w:w="171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p>
        </w:tc>
        <w:tc>
          <w:tcPr>
            <w:tcW w:w="174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436" w:type="dxa"/>
            <w:shd w:val="clear" w:color="auto" w:fill="auto"/>
            <w:vAlign w:val="center"/>
          </w:tcPr>
          <w:p>
            <w:pPr>
              <w:jc w:val="center"/>
              <w:rPr>
                <w:rFonts w:hint="eastAsia" w:ascii="黑体" w:hAnsi="宋体" w:eastAsia="黑体" w:cs="黑体"/>
                <w:i w:val="0"/>
                <w:iCs w:val="0"/>
                <w:color w:val="000000"/>
                <w:sz w:val="22"/>
                <w:szCs w:val="22"/>
                <w:u w:val="none"/>
              </w:rPr>
            </w:pPr>
          </w:p>
        </w:tc>
        <w:tc>
          <w:tcPr>
            <w:tcW w:w="437" w:type="dxa"/>
            <w:shd w:val="clear" w:color="auto" w:fill="auto"/>
            <w:vAlign w:val="center"/>
          </w:tcPr>
          <w:p>
            <w:pPr>
              <w:jc w:val="center"/>
              <w:rPr>
                <w:rFonts w:hint="eastAsia" w:ascii="宋体" w:hAnsi="宋体" w:eastAsia="宋体" w:cs="宋体"/>
                <w:i w:val="0"/>
                <w:iCs w:val="0"/>
                <w:color w:val="000000"/>
                <w:sz w:val="22"/>
                <w:szCs w:val="22"/>
                <w:u w:val="none"/>
              </w:rPr>
            </w:pPr>
          </w:p>
        </w:tc>
        <w:tc>
          <w:tcPr>
            <w:tcW w:w="145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服务对象</w:t>
            </w:r>
          </w:p>
          <w:p>
            <w:pPr>
              <w:jc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满意度指标</w:t>
            </w:r>
          </w:p>
        </w:tc>
        <w:tc>
          <w:tcPr>
            <w:tcW w:w="2733" w:type="dxa"/>
            <w:shd w:val="clear" w:color="auto" w:fill="auto"/>
            <w:vAlign w:val="center"/>
          </w:tcPr>
          <w:p>
            <w:pPr>
              <w:keepNext w:val="0"/>
              <w:keepLines w:val="0"/>
              <w:widowControl/>
              <w:suppressLineNumbers w:val="0"/>
              <w:jc w:val="left"/>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指标1：群众满意度</w:t>
            </w:r>
          </w:p>
        </w:tc>
        <w:tc>
          <w:tcPr>
            <w:tcW w:w="1715"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≥95%</w:t>
            </w:r>
          </w:p>
        </w:tc>
        <w:tc>
          <w:tcPr>
            <w:tcW w:w="1746" w:type="dxa"/>
            <w:shd w:val="clear" w:color="auto" w:fill="auto"/>
            <w:vAlign w:val="center"/>
          </w:tcPr>
          <w:p>
            <w:pPr>
              <w:keepNext w:val="0"/>
              <w:keepLines w:val="0"/>
              <w:widowControl/>
              <w:suppressLineNumbers w:val="0"/>
              <w:jc w:val="center"/>
              <w:textAlignment w:val="center"/>
              <w:rPr>
                <w:rFonts w:hint="eastAsia" w:ascii="宋体" w:hAnsi="宋体" w:eastAsia="宋体" w:cs="宋体"/>
                <w:i w:val="0"/>
                <w:iCs w:val="0"/>
                <w:color w:val="000000"/>
                <w:kern w:val="2"/>
                <w:sz w:val="22"/>
                <w:szCs w:val="22"/>
                <w:u w:val="none"/>
                <w:lang w:val="en-US" w:eastAsia="zh-CN" w:bidi="ar-SA"/>
              </w:rPr>
            </w:pPr>
            <w:r>
              <w:rPr>
                <w:rFonts w:hint="eastAsia" w:ascii="宋体" w:hAnsi="宋体" w:eastAsia="宋体" w:cs="宋体"/>
                <w:i w:val="0"/>
                <w:iCs w:val="0"/>
                <w:color w:val="000000"/>
                <w:kern w:val="0"/>
                <w:sz w:val="22"/>
                <w:szCs w:val="22"/>
                <w:u w:val="none"/>
                <w:lang w:val="en-US" w:eastAsia="zh-CN" w:bidi="ar"/>
              </w:rPr>
              <w:t>100%</w:t>
            </w:r>
          </w:p>
        </w:tc>
      </w:tr>
    </w:tbl>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sectPr>
          <w:footerReference r:id="rId6" w:type="default"/>
          <w:pgSz w:w="11906" w:h="16838"/>
          <w:pgMar w:top="1440" w:right="1800" w:bottom="1440" w:left="1800" w:header="851" w:footer="992" w:gutter="0"/>
          <w:pgNumType w:fmt="decimal"/>
          <w:cols w:space="425" w:num="1"/>
          <w:docGrid w:type="lines" w:linePitch="312" w:charSpace="0"/>
        </w:sectPr>
      </w:pP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楷体" w:hAnsi="楷体" w:eastAsia="楷体" w:cs="楷体"/>
          <w:b w:val="0"/>
          <w:bCs w:val="0"/>
          <w:sz w:val="30"/>
          <w:szCs w:val="30"/>
          <w:lang w:val="en-US" w:eastAsia="zh-CN"/>
        </w:rPr>
      </w:pPr>
      <w:r>
        <w:rPr>
          <w:rFonts w:hint="eastAsia" w:ascii="楷体" w:hAnsi="楷体" w:eastAsia="楷体" w:cs="楷体"/>
          <w:b w:val="0"/>
          <w:bCs w:val="0"/>
          <w:sz w:val="30"/>
          <w:szCs w:val="30"/>
          <w:lang w:val="en-US" w:eastAsia="zh-CN"/>
        </w:rPr>
        <w:t>附件（三）：评价依据目录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本次绩效评价的依据主要包括：</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1、《中华人民共和国预算法》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2、《中华人民共和国预算法实施条例》</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3、《中共中央国务院关于全面实施预算绩效管理的意见》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4、《财政部关于贯彻落实〈中共中央国务院关于全面实施预算绩效管理的意见〉的通知》（财预〔2018〕167号）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5、财政部《关于推进预算绩效管理的指导意见》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6、《财政部关于委托第三方机构参与预算绩效管理的指导意见》</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7、财政部《关于印发〈项目支出绩效评价管理办法〉的通知》（财预〔2020〕10号）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8、财政部关于印发《财政支出绩效评价管理暂行办法》的通知财预（〔2011〕285号）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9、财政部关于印发《中央部门项目支出核心绩效目标和指标设置及取值指引（试行）》（财预〔2021〕101号）</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10、《四川省财政支出绩效评价管理办法》</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eastAsia"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11、阿坝县相关法律法规、制度，其他与绩效评价工作有关的政策、制度性文件及项目预算批准文件</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left"/>
        <w:textAlignment w:val="auto"/>
        <w:rPr>
          <w:rFonts w:hint="default" w:ascii="仿宋" w:hAnsi="仿宋" w:eastAsia="仿宋" w:cs="仿宋"/>
          <w:b w:val="0"/>
          <w:bCs w:val="0"/>
          <w:sz w:val="30"/>
          <w:szCs w:val="30"/>
          <w:lang w:val="en-US" w:eastAsia="zh-CN"/>
        </w:rPr>
      </w:pPr>
      <w:r>
        <w:rPr>
          <w:rFonts w:hint="eastAsia" w:ascii="仿宋" w:hAnsi="仿宋" w:eastAsia="仿宋" w:cs="仿宋"/>
          <w:b w:val="0"/>
          <w:bCs w:val="0"/>
          <w:sz w:val="30"/>
          <w:szCs w:val="30"/>
          <w:lang w:val="en-US" w:eastAsia="zh-CN"/>
        </w:rPr>
        <w:t>12、其他与本项目有关的资料等。</w:t>
      </w:r>
    </w:p>
    <w:p>
      <w:pPr>
        <w:pStyle w:val="4"/>
        <w:keepNext w:val="0"/>
        <w:keepLines w:val="0"/>
        <w:pageBreakBefore w:val="0"/>
        <w:widowControl w:val="0"/>
        <w:kinsoku/>
        <w:wordWrap/>
        <w:overflowPunct/>
        <w:topLinePunct w:val="0"/>
        <w:autoSpaceDE/>
        <w:autoSpaceDN/>
        <w:bidi w:val="0"/>
        <w:adjustRightInd/>
        <w:snapToGrid/>
        <w:spacing w:after="0" w:line="560" w:lineRule="exact"/>
        <w:ind w:firstLine="600" w:firstLineChars="200"/>
        <w:jc w:val="both"/>
        <w:textAlignment w:val="auto"/>
        <w:rPr>
          <w:rFonts w:hint="eastAsia" w:ascii="仿宋" w:hAnsi="仿宋" w:eastAsia="仿宋" w:cs="仿宋"/>
          <w:b w:val="0"/>
          <w:bCs w:val="0"/>
          <w:sz w:val="30"/>
          <w:szCs w:val="30"/>
          <w:lang w:val="en-US" w:eastAsia="zh-CN"/>
        </w:rPr>
      </w:pP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pPr>
                      <w:pStyle w:val="5"/>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eastAsiaTheme="minorEastAsia"/>
        <w:lang w:val="en-US"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single" w:color="auto" w:sz="4" w:space="1"/>
      </w:pBdr>
    </w:pPr>
    <w:r>
      <w:rPr>
        <w:rFonts w:hint="eastAsia" w:eastAsia="仿宋_GB2312"/>
        <w:lang w:eastAsia="zh-CN"/>
      </w:rPr>
      <w:drawing>
        <wp:inline distT="0" distB="0" distL="114300" distR="114300">
          <wp:extent cx="1327150" cy="320675"/>
          <wp:effectExtent l="0" t="0" r="635" b="3175"/>
          <wp:docPr id="3" name="图片 3" descr="青云致远"/>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青云致远"/>
                  <pic:cNvPicPr>
                    <a:picLocks noChangeAspect="1"/>
                  </pic:cNvPicPr>
                </pic:nvPicPr>
                <pic:blipFill>
                  <a:blip r:embed="rId1"/>
                  <a:stretch>
                    <a:fillRect/>
                  </a:stretch>
                </pic:blipFill>
                <pic:spPr>
                  <a:xfrm>
                    <a:off x="0" y="0"/>
                    <a:ext cx="1327150" cy="32067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C8BBC3D"/>
    <w:multiLevelType w:val="multilevel"/>
    <w:tmpl w:val="5C8BBC3D"/>
    <w:lvl w:ilvl="0" w:tentative="0">
      <w:start w:val="1"/>
      <w:numFmt w:val="chineseCounting"/>
      <w:suff w:val="nothing"/>
      <w:lvlText w:val="第%1章 "/>
      <w:lvlJc w:val="left"/>
      <w:pPr>
        <w:ind w:left="432" w:hanging="432"/>
      </w:pPr>
      <w:rPr>
        <w:rFonts w:hint="eastAsia"/>
      </w:rPr>
    </w:lvl>
    <w:lvl w:ilvl="1" w:tentative="0">
      <w:start w:val="1"/>
      <w:numFmt w:val="decimal"/>
      <w:isLgl/>
      <w:lvlText w:val="%1.%2."/>
      <w:lvlJc w:val="left"/>
      <w:pPr>
        <w:ind w:left="575" w:hanging="575"/>
      </w:pPr>
      <w:rPr>
        <w:rFonts w:hint="eastAsia"/>
      </w:rPr>
    </w:lvl>
    <w:lvl w:ilvl="2" w:tentative="0">
      <w:start w:val="1"/>
      <w:numFmt w:val="decimal"/>
      <w:isLgl/>
      <w:lvlText w:val="%1.%2.%3."/>
      <w:lvlJc w:val="left"/>
      <w:pPr>
        <w:ind w:left="1000" w:hanging="720"/>
      </w:pPr>
      <w:rPr>
        <w:rFonts w:hint="eastAsia"/>
      </w:rPr>
    </w:lvl>
    <w:lvl w:ilvl="3" w:tentative="0">
      <w:start w:val="1"/>
      <w:numFmt w:val="decimal"/>
      <w:pStyle w:val="3"/>
      <w:isLgl/>
      <w:lvlText w:val="%1.%2.%3.%4."/>
      <w:lvlJc w:val="left"/>
      <w:pPr>
        <w:ind w:left="864" w:hanging="864"/>
      </w:pPr>
      <w:rPr>
        <w:rFonts w:hint="eastAsia"/>
      </w:rPr>
    </w:lvl>
    <w:lvl w:ilvl="4" w:tentative="0">
      <w:start w:val="1"/>
      <w:numFmt w:val="decimal"/>
      <w:isLgl/>
      <w:lvlText w:val="%1.%2.%3.%4.%5."/>
      <w:lvlJc w:val="left"/>
      <w:pPr>
        <w:ind w:left="1008" w:hanging="1008"/>
      </w:pPr>
      <w:rPr>
        <w:rFonts w:hint="eastAsia"/>
      </w:rPr>
    </w:lvl>
    <w:lvl w:ilvl="5" w:tentative="0">
      <w:start w:val="1"/>
      <w:numFmt w:val="decimal"/>
      <w:isLgl/>
      <w:lvlText w:val="%1.%2.%3.%4.%5.%6."/>
      <w:lvlJc w:val="left"/>
      <w:pPr>
        <w:ind w:left="1151" w:hanging="1151"/>
      </w:pPr>
      <w:rPr>
        <w:rFonts w:hint="eastAsia"/>
      </w:rPr>
    </w:lvl>
    <w:lvl w:ilvl="6" w:tentative="0">
      <w:start w:val="1"/>
      <w:numFmt w:val="decimal"/>
      <w:isLgl/>
      <w:lvlText w:val="%1.%2.%3.%4.%5.%6.%7."/>
      <w:lvlJc w:val="left"/>
      <w:pPr>
        <w:ind w:left="1296" w:hanging="1296"/>
      </w:pPr>
      <w:rPr>
        <w:rFonts w:hint="eastAsia"/>
      </w:rPr>
    </w:lvl>
    <w:lvl w:ilvl="7" w:tentative="0">
      <w:start w:val="1"/>
      <w:numFmt w:val="decimal"/>
      <w:isLgl/>
      <w:lvlText w:val="%1.%2.%3.%4.%5.%6.%7.%8."/>
      <w:lvlJc w:val="left"/>
      <w:pPr>
        <w:ind w:left="1440" w:hanging="1440"/>
      </w:pPr>
      <w:rPr>
        <w:rFonts w:hint="eastAsia"/>
      </w:rPr>
    </w:lvl>
    <w:lvl w:ilvl="8" w:tentative="0">
      <w:start w:val="1"/>
      <w:numFmt w:val="decimal"/>
      <w:isLgl/>
      <w:lvlText w:val="%1.%2.%3.%4.%5.%6.%7.%8.%9."/>
      <w:lvlJc w:val="left"/>
      <w:pPr>
        <w:ind w:left="1583" w:hanging="1583"/>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JiZGUzYzJlMzUwZmIzYTg1ZDNhMjVmZjI3NzYwMTUifQ=="/>
  </w:docVars>
  <w:rsids>
    <w:rsidRoot w:val="3B8D2047"/>
    <w:rsid w:val="02DA533C"/>
    <w:rsid w:val="04FC4795"/>
    <w:rsid w:val="05F92191"/>
    <w:rsid w:val="0BB13CA2"/>
    <w:rsid w:val="0FE6636B"/>
    <w:rsid w:val="10DD5867"/>
    <w:rsid w:val="16AD604D"/>
    <w:rsid w:val="1D62389D"/>
    <w:rsid w:val="1EFE189D"/>
    <w:rsid w:val="1F8B59A1"/>
    <w:rsid w:val="28F42F92"/>
    <w:rsid w:val="3042199C"/>
    <w:rsid w:val="30D8783E"/>
    <w:rsid w:val="327A2455"/>
    <w:rsid w:val="33257CE3"/>
    <w:rsid w:val="342104FD"/>
    <w:rsid w:val="38A31D7D"/>
    <w:rsid w:val="390300B7"/>
    <w:rsid w:val="39D90CC7"/>
    <w:rsid w:val="39E94459"/>
    <w:rsid w:val="3A3B5BEB"/>
    <w:rsid w:val="3B8D2047"/>
    <w:rsid w:val="3C683A70"/>
    <w:rsid w:val="3DAC2446"/>
    <w:rsid w:val="42E81EFE"/>
    <w:rsid w:val="467513C6"/>
    <w:rsid w:val="47AF0774"/>
    <w:rsid w:val="485970C9"/>
    <w:rsid w:val="4AA25D53"/>
    <w:rsid w:val="4BEE7AF7"/>
    <w:rsid w:val="4D180A77"/>
    <w:rsid w:val="4FF97A1B"/>
    <w:rsid w:val="511059C3"/>
    <w:rsid w:val="54E57286"/>
    <w:rsid w:val="55E9494E"/>
    <w:rsid w:val="55F5089E"/>
    <w:rsid w:val="60DF1D6B"/>
    <w:rsid w:val="64413E23"/>
    <w:rsid w:val="65821E83"/>
    <w:rsid w:val="66205F7D"/>
    <w:rsid w:val="677922B4"/>
    <w:rsid w:val="6B9F3430"/>
    <w:rsid w:val="71B23794"/>
    <w:rsid w:val="74BC73A8"/>
    <w:rsid w:val="75C073B9"/>
    <w:rsid w:val="75F55735"/>
    <w:rsid w:val="7DCD67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4"/>
    <w:basedOn w:val="1"/>
    <w:next w:val="1"/>
    <w:unhideWhenUsed/>
    <w:qFormat/>
    <w:uiPriority w:val="0"/>
    <w:pPr>
      <w:numPr>
        <w:ilvl w:val="3"/>
        <w:numId w:val="1"/>
      </w:numPr>
      <w:spacing w:after="50" w:line="240" w:lineRule="auto"/>
      <w:ind w:left="864" w:hanging="864" w:firstLineChars="0"/>
      <w:jc w:val="center"/>
      <w:outlineLvl w:val="3"/>
    </w:pPr>
    <w:rPr>
      <w:rFonts w:ascii="Arial" w:hAnsi="Arial"/>
      <w:b/>
      <w:bCs/>
      <w:sz w:val="21"/>
      <w:szCs w:val="28"/>
    </w:rPr>
  </w:style>
  <w:style w:type="character" w:default="1" w:styleId="13">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spacing w:line="324" w:lineRule="auto"/>
      <w:ind w:firstLine="504"/>
    </w:pPr>
    <w:rPr>
      <w:snapToGrid w:val="0"/>
      <w:spacing w:val="6"/>
      <w:kern w:val="28"/>
    </w:rPr>
  </w:style>
  <w:style w:type="paragraph" w:styleId="4">
    <w:name w:val="Body Text"/>
    <w:basedOn w:val="1"/>
    <w:qFormat/>
    <w:uiPriority w:val="0"/>
    <w:pPr>
      <w:spacing w:after="120" w:afterLines="0" w:afterAutospacing="0"/>
    </w:pPr>
  </w:style>
  <w:style w:type="paragraph" w:styleId="5">
    <w:name w:val="footer"/>
    <w:basedOn w:val="1"/>
    <w:autoRedefine/>
    <w:qFormat/>
    <w:uiPriority w:val="0"/>
    <w:pPr>
      <w:tabs>
        <w:tab w:val="center" w:pos="4153"/>
        <w:tab w:val="right" w:pos="8306"/>
      </w:tabs>
      <w:snapToGrid w:val="0"/>
      <w:jc w:val="left"/>
    </w:pPr>
    <w:rPr>
      <w:sz w:val="18"/>
    </w:rPr>
  </w:style>
  <w:style w:type="paragraph" w:styleId="6">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1"/>
    <w:basedOn w:val="1"/>
    <w:next w:val="1"/>
    <w:autoRedefine/>
    <w:qFormat/>
    <w:uiPriority w:val="0"/>
  </w:style>
  <w:style w:type="paragraph" w:styleId="8">
    <w:name w:val="table of figures"/>
    <w:basedOn w:val="1"/>
    <w:next w:val="1"/>
    <w:autoRedefine/>
    <w:unhideWhenUsed/>
    <w:qFormat/>
    <w:uiPriority w:val="0"/>
    <w:pPr>
      <w:spacing w:line="360" w:lineRule="auto"/>
      <w:ind w:left="720" w:hanging="720"/>
    </w:pPr>
    <w:rPr>
      <w:rFonts w:eastAsia="黑体"/>
      <w:smallCaps/>
      <w:sz w:val="20"/>
    </w:rPr>
  </w:style>
  <w:style w:type="paragraph" w:styleId="9">
    <w:name w:val="toc 2"/>
    <w:basedOn w:val="1"/>
    <w:next w:val="1"/>
    <w:autoRedefine/>
    <w:qFormat/>
    <w:uiPriority w:val="0"/>
    <w:pPr>
      <w:ind w:left="420" w:leftChars="200"/>
    </w:pPr>
  </w:style>
  <w:style w:type="paragraph" w:styleId="10">
    <w:name w:val="Normal (Web)"/>
    <w:basedOn w:val="1"/>
    <w:autoRedefine/>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WPSOffice手动目录 1"/>
    <w:qFormat/>
    <w:uiPriority w:val="0"/>
    <w:pPr>
      <w:ind w:leftChars="0"/>
    </w:pPr>
    <w:rPr>
      <w:rFonts w:ascii="Times New Roman" w:hAnsi="Times New Roman" w:eastAsia="宋体" w:cs="Times New Roman"/>
      <w:sz w:val="20"/>
      <w:szCs w:val="20"/>
    </w:rPr>
  </w:style>
  <w:style w:type="paragraph" w:customStyle="1" w:styleId="15">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34</Pages>
  <Words>17395</Words>
  <Characters>18199</Characters>
  <Lines>0</Lines>
  <Paragraphs>0</Paragraphs>
  <TotalTime>1</TotalTime>
  <ScaleCrop>false</ScaleCrop>
  <LinksUpToDate>false</LinksUpToDate>
  <CharactersWithSpaces>18327</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2023-04-05T07:58:00Z</dcterms:created>
  <dc:creator>城外风雨</dc:creator>
  <cp:lastModifiedBy>城外风雨</cp:lastModifiedBy>
  <dcterms:modified xsi:type="dcterms:W3CDTF">2024-01-09T06:56:13Z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02484781AB254DE0B3621FFAFEA866CE_13</vt:lpwstr>
  </property>
</Properties>
</file>