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default" w:ascii="黑体" w:hAnsi="黑体" w:eastAsia="黑体" w:cs="黑体"/>
          <w:sz w:val="44"/>
          <w:szCs w:val="44"/>
          <w:lang w:val="en-US" w:eastAsia="zh-CN"/>
        </w:rPr>
        <w:t>阿坝县2021年中央财政林业草原生态保护恢复项目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h8DOm9kAAAAKAQAADwAAAAAAAAABACAAAAAiAAAAZHJzL2Rv&#10;d25yZXYueG1sUEsBAhQAFAAAAAgAh07iQEXzzxtyAgAA1wQAAA4AAAAAAAAAAQAgAAAAKAEAAGRy&#10;cy9lMm9Eb2MueG1sUEsFBgAAAAAGAAYAWQEAAAw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阿坝县林业和草原局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阿坝县人民政府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2023年9月</w:t>
      </w:r>
      <w:r>
        <w:rPr>
          <w:rFonts w:hint="eastAsia" w:ascii="仿宋" w:hAnsi="仿宋" w:eastAsia="仿宋" w:cs="仿宋"/>
          <w:b w:val="0"/>
          <w:bCs w:val="0"/>
          <w:sz w:val="30"/>
          <w:szCs w:val="30"/>
          <w:highlight w:val="none"/>
          <w:u w:val="single"/>
          <w:lang w:val="en-US" w:eastAsia="zh-CN"/>
        </w:rPr>
        <w:t>25</w:t>
      </w:r>
      <w:r>
        <w:rPr>
          <w:rFonts w:hint="eastAsia" w:ascii="仿宋" w:hAnsi="仿宋" w:eastAsia="仿宋" w:cs="仿宋"/>
          <w:b w:val="0"/>
          <w:bCs w:val="0"/>
          <w:sz w:val="30"/>
          <w:szCs w:val="30"/>
          <w:u w:val="single"/>
          <w:lang w:val="en-US" w:eastAsia="zh-CN"/>
        </w:rPr>
        <w:t xml:space="preserve">日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_Toc25384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_Toc25384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_Toc16121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_Toc16121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_Toc24759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_Toc24759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_Toc9820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_Toc9820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_Toc13692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_Toc13692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_Toc1504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_Toc1504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_Toc410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_Toc410 \h </w:instrText>
          </w:r>
          <w:r>
            <w:rPr>
              <w:sz w:val="24"/>
              <w:szCs w:val="24"/>
            </w:rPr>
            <w:fldChar w:fldCharType="separate"/>
          </w:r>
          <w:r>
            <w:rPr>
              <w:sz w:val="24"/>
              <w:szCs w:val="24"/>
            </w:rPr>
            <w:t>10</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_Toc21805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_Toc21805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_Toc7647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_Toc7647 \h </w:instrText>
          </w:r>
          <w:r>
            <w:rPr>
              <w:sz w:val="24"/>
              <w:szCs w:val="24"/>
            </w:rPr>
            <w:fldChar w:fldCharType="separate"/>
          </w:r>
          <w:r>
            <w:rPr>
              <w:sz w:val="24"/>
              <w:szCs w:val="24"/>
            </w:rPr>
            <w:t>15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_Toc29308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_Toc29308 \h </w:instrText>
          </w:r>
          <w:r>
            <w:rPr>
              <w:sz w:val="24"/>
              <w:szCs w:val="24"/>
            </w:rPr>
            <w:fldChar w:fldCharType="separate"/>
          </w:r>
          <w:r>
            <w:rPr>
              <w:sz w:val="24"/>
              <w:szCs w:val="24"/>
            </w:rPr>
            <w:t>15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_Toc15802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_Toc15802 \h </w:instrText>
          </w:r>
          <w:r>
            <w:rPr>
              <w:sz w:val="24"/>
              <w:szCs w:val="24"/>
            </w:rPr>
            <w:fldChar w:fldCharType="separate"/>
          </w:r>
          <w:r>
            <w:rPr>
              <w:sz w:val="24"/>
              <w:szCs w:val="24"/>
            </w:rPr>
            <w:t>19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_Toc16688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_Toc16688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_Toc1517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_Toc1517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_Toc3654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_Toc3654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_Toc26046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（一）综合评价情况</w:t>
          </w:r>
          <w:r>
            <w:rPr>
              <w:sz w:val="24"/>
              <w:szCs w:val="24"/>
            </w:rPr>
            <w:tab/>
          </w:r>
          <w:r>
            <w:rPr>
              <w:sz w:val="24"/>
              <w:szCs w:val="24"/>
            </w:rPr>
            <w:fldChar w:fldCharType="begin"/>
          </w:r>
          <w:r>
            <w:rPr>
              <w:sz w:val="24"/>
              <w:szCs w:val="24"/>
            </w:rPr>
            <w:instrText xml:space="preserve"> PAGEREF _Toc26046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_Toc28991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_Toc28991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_Toc11951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五、主要经验及做法、存在的问题及原因</w:t>
          </w:r>
          <w:r>
            <w:rPr>
              <w:sz w:val="24"/>
              <w:szCs w:val="24"/>
            </w:rPr>
            <w:tab/>
          </w:r>
          <w:r>
            <w:rPr>
              <w:sz w:val="24"/>
              <w:szCs w:val="24"/>
            </w:rPr>
            <w:fldChar w:fldCharType="begin"/>
          </w:r>
          <w:r>
            <w:rPr>
              <w:sz w:val="24"/>
              <w:szCs w:val="24"/>
            </w:rPr>
            <w:instrText xml:space="preserve"> PAGEREF _Toc11951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_Toc21878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_Toc21878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_Toc1803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_Toc1803 \h </w:instrText>
          </w:r>
          <w:r>
            <w:rPr>
              <w:sz w:val="24"/>
              <w:szCs w:val="24"/>
            </w:rPr>
            <w:fldChar w:fldCharType="separate"/>
          </w:r>
          <w:r>
            <w:rPr>
              <w:sz w:val="24"/>
              <w:szCs w:val="24"/>
            </w:rPr>
            <w:t>30</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_Toc30460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_Toc30460 \h </w:instrText>
          </w:r>
          <w:r>
            <w:rPr>
              <w:sz w:val="24"/>
              <w:szCs w:val="24"/>
            </w:rPr>
            <w:fldChar w:fldCharType="separate"/>
          </w:r>
          <w:r>
            <w:rPr>
              <w:sz w:val="24"/>
              <w:szCs w:val="24"/>
            </w:rPr>
            <w:t>31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_Toc30154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_Toc30154 \h </w:instrText>
          </w:r>
          <w:r>
            <w:rPr>
              <w:sz w:val="24"/>
              <w:szCs w:val="24"/>
            </w:rPr>
            <w:fldChar w:fldCharType="separate"/>
          </w:r>
          <w:r>
            <w:rPr>
              <w:sz w:val="24"/>
              <w:szCs w:val="24"/>
            </w:rPr>
            <w:t>32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_Toc14188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_Toc14188 \h </w:instrText>
          </w:r>
          <w:r>
            <w:rPr>
              <w:sz w:val="24"/>
              <w:szCs w:val="24"/>
            </w:rPr>
            <w:fldChar w:fldCharType="separate"/>
          </w:r>
          <w:r>
            <w:rPr>
              <w:sz w:val="24"/>
              <w:szCs w:val="24"/>
            </w:rPr>
            <w:t>32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_Toc31381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_Toc31381 \h </w:instrText>
          </w:r>
          <w:r>
            <w:rPr>
              <w:sz w:val="24"/>
              <w:szCs w:val="24"/>
            </w:rPr>
            <w:fldChar w:fldCharType="separate"/>
          </w:r>
          <w:r>
            <w:rPr>
              <w:sz w:val="24"/>
              <w:szCs w:val="24"/>
            </w:rPr>
            <w:t>32</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_Toc4699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_Toc4699 \h </w:instrText>
          </w:r>
          <w:r>
            <w:rPr>
              <w:sz w:val="24"/>
              <w:szCs w:val="24"/>
            </w:rPr>
            <w:fldChar w:fldCharType="separate"/>
          </w:r>
          <w:r>
            <w:rPr>
              <w:sz w:val="24"/>
              <w:szCs w:val="24"/>
            </w:rPr>
            <w:t>32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_Toc31478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_Toc31478 \h </w:instrText>
          </w:r>
          <w:r>
            <w:rPr>
              <w:sz w:val="24"/>
              <w:szCs w:val="24"/>
            </w:rPr>
            <w:fldChar w:fldCharType="separate"/>
          </w:r>
          <w:r>
            <w:rPr>
              <w:sz w:val="24"/>
              <w:szCs w:val="24"/>
            </w:rPr>
            <w:t>32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_Toc30287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_Toc30287 \h </w:instrText>
          </w:r>
          <w:r>
            <w:rPr>
              <w:sz w:val="24"/>
              <w:szCs w:val="24"/>
            </w:rPr>
            <w:fldChar w:fldCharType="separate"/>
          </w:r>
          <w:r>
            <w:rPr>
              <w:sz w:val="24"/>
              <w:szCs w:val="24"/>
            </w:rPr>
            <w:t>32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_Toc22005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_Toc22005 \h </w:instrText>
          </w:r>
          <w:r>
            <w:rPr>
              <w:sz w:val="24"/>
              <w:szCs w:val="24"/>
            </w:rPr>
            <w:fldChar w:fldCharType="separate"/>
          </w:r>
          <w:r>
            <w:rPr>
              <w:sz w:val="24"/>
              <w:szCs w:val="24"/>
            </w:rPr>
            <w:t>33</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2538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lang w:val="en-US" w:eastAsia="zh-CN" w:bidi="ar-SA"/>
        </w:rPr>
        <w:t>阿坝县2021年中央财政林业草原生态保护恢复项目</w:t>
      </w:r>
      <w:r>
        <w:rPr>
          <w:rFonts w:hint="eastAsia" w:ascii="仿宋" w:hAnsi="仿宋" w:eastAsia="仿宋" w:cs="仿宋"/>
          <w:b w:val="0"/>
          <w:bCs w:val="0"/>
          <w:sz w:val="30"/>
          <w:szCs w:val="30"/>
          <w:lang w:val="en-US" w:eastAsia="zh-CN"/>
        </w:rPr>
        <w:t>由阿坝县林业和草原局进行申报，成都青云致远工程咨询有限公司</w:t>
      </w:r>
      <w:r>
        <w:rPr>
          <w:rFonts w:hint="eastAsia" w:ascii="仿宋" w:hAnsi="仿宋" w:eastAsia="仿宋" w:cs="仿宋"/>
          <w:b w:val="0"/>
          <w:bCs w:val="0"/>
          <w:sz w:val="30"/>
          <w:szCs w:val="30"/>
          <w:highlight w:val="none"/>
          <w:lang w:val="en-US" w:eastAsia="zh-CN"/>
        </w:rPr>
        <w:t>受阿坝县财政局委托进行本次绩效评价工作。</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项目的实施目的为增加林草综合植被盖度，提高区域水源涵养及补给能力，提升林草生态系统稳定性与服务功能，助推黄河流域林草生态保护和高质量发展。</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立项预估资金总额为2320.00万元，资金来源于中央财政林业草原生态保护恢复资金。根据阿坝州财政局、阿坝州林业和草原局的《阿州财资环（2021）34号》文件列示，本项目资金安排为2732.00万元。经调剂后收回163.28万元，实际预算为2568.72万元，项目共下达资金2568.72万元。截至绩效评价日2023年8月30日，本项目已支付2554.58万元，其中2022年支付1829.72万元，2023年支付724.86万元。</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b w:val="0"/>
          <w:bCs w:val="0"/>
          <w:sz w:val="30"/>
          <w:szCs w:val="30"/>
          <w:highlight w:val="none"/>
          <w:lang w:val="en-US" w:eastAsia="zh-CN"/>
        </w:rPr>
        <w:t>项目已于2022年9月完工验收，验收鉴定为合格。</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本项目具有</w:t>
      </w:r>
      <w:r>
        <w:rPr>
          <w:rFonts w:hint="default" w:ascii="仿宋" w:hAnsi="仿宋" w:eastAsia="仿宋" w:cs="仿宋"/>
          <w:sz w:val="30"/>
          <w:szCs w:val="30"/>
          <w:highlight w:val="none"/>
          <w:lang w:val="en-US" w:eastAsia="zh-CN"/>
        </w:rPr>
        <w:t>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highlight w:val="none"/>
          <w:lang w:val="en-US" w:eastAsia="zh-CN"/>
        </w:rPr>
        <w:t>，除项目未制定相应财务管理制度、业务管理制度，项目预估总投入与项目实际预算投入不一致，未针对本项目制定可行性研究报告、成本指标设置不合理、原始凭证存在不规范现象外，较好地完成了</w:t>
      </w:r>
      <w:r>
        <w:rPr>
          <w:rFonts w:hint="eastAsia" w:ascii="仿宋" w:hAnsi="仿宋" w:eastAsia="仿宋" w:cs="仿宋"/>
          <w:sz w:val="30"/>
          <w:szCs w:val="30"/>
          <w:highlight w:val="none"/>
          <w:lang w:val="en-US" w:eastAsia="zh-CN"/>
        </w:rPr>
        <w:t>本项目</w:t>
      </w:r>
      <w:r>
        <w:rPr>
          <w:rFonts w:hint="default" w:ascii="仿宋" w:hAnsi="仿宋" w:eastAsia="仿宋" w:cs="仿宋"/>
          <w:sz w:val="30"/>
          <w:szCs w:val="30"/>
          <w:highlight w:val="none"/>
          <w:lang w:val="en-US" w:eastAsia="zh-CN"/>
        </w:rPr>
        <w:t>。从验收和调研结果以及满意度调查结果分析，项目基本实现了立项时的绩效目标，项目实施后能够对当地产生较好的生态影响。</w:t>
      </w:r>
      <w:r>
        <w:rPr>
          <w:rFonts w:hint="eastAsia" w:ascii="仿宋" w:hAnsi="仿宋" w:eastAsia="仿宋" w:cs="仿宋"/>
          <w:color w:val="auto"/>
          <w:sz w:val="30"/>
          <w:szCs w:val="30"/>
          <w:lang w:val="en-US" w:eastAsia="zh-CN"/>
        </w:rPr>
        <w:t>最终评分得分92.97</w:t>
      </w:r>
      <w:r>
        <w:rPr>
          <w:rFonts w:hint="eastAsia" w:ascii="仿宋" w:hAnsi="仿宋" w:eastAsia="仿宋" w:cs="仿宋"/>
          <w:sz w:val="30"/>
          <w:szCs w:val="30"/>
          <w:lang w:val="en-US" w:eastAsia="zh-CN"/>
        </w:rPr>
        <w:t>分，属于“优”。</w:t>
      </w:r>
    </w:p>
    <w:p>
      <w:pPr>
        <w:pStyle w:val="3"/>
        <w:rPr>
          <w:rFonts w:hint="eastAsia" w:ascii="仿宋" w:hAnsi="仿宋" w:eastAsia="仿宋" w:cs="仿宋"/>
          <w:b w:val="0"/>
          <w:bCs w:val="0"/>
          <w:sz w:val="30"/>
          <w:szCs w:val="30"/>
          <w:lang w:val="en-US" w:eastAsia="zh-CN"/>
        </w:rPr>
      </w:pPr>
    </w:p>
    <w:p>
      <w:pPr>
        <w:pStyle w:val="3"/>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阿坝县2021年中央财政林业草原生态保护恢复项目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16121"/>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24759"/>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5" w:name="_Toc7858"/>
      <w:r>
        <w:rPr>
          <w:rFonts w:hint="eastAsia" w:ascii="仿宋" w:hAnsi="仿宋" w:eastAsia="仿宋" w:cs="仿宋"/>
          <w:b w:val="0"/>
          <w:bCs w:val="0"/>
          <w:sz w:val="30"/>
          <w:szCs w:val="30"/>
          <w:lang w:val="en-US" w:eastAsia="zh-CN"/>
        </w:rPr>
        <w:t>2019年9月18日，习近平总书记主持召开黄河流域生态保护和高质量发展座谈会，他强调，坚持生态优先、绿色发展，上下游、干支流、左右岸统筹谋划，共同抓好大保护，协同推进大治理；2020年8月31日中共中央政治局审议通过了《黄河流域生态保护和高质量发展规划纲要》，明确提出了黄河流域生态保护和高质量发展的目标任务和分工负责措施。省委副书记、省长多次赴阿坝州调研黄河流域生态保护和高质量发展工作，明确了黄河上游重要水源涵养地要担起上游责任，牢固树立并自觉践行绿水青山就是金山银山理念。因此，阿坝县作为黄河上游的重要生态屏障，本项目的实施对维护整个黄河流域生态安全具有重要意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草原是最大的陆地生态系统，具有重要的生态功能和经济利用价值，草原生态状况的好坏与人类的生存环境质量息息相关。近年来，我省草原开展了天然草原退牧还草工程及草原生态修复治理等大型生态保护工程，但由于治理速度跟不上退化速度，草原生态环境仍呈现局部好转，总体退化的趋势。川西北草原地处青藏高原东南缘，长江、黄河上游及其主要干流的源头，包括甘孜、阿坝、凉山三个少数民族自治州，是全国第五大牧区，第二大藏区、第一大彝区和唯一的羌区，是建设长江黄河上游生态屏障的重要组成部分和建设川西北生态示范区的主战场。由于长期以来对草原重利用轻保护的现状未得到改变，对其生产功能的利用和依赖过大，导致我省及阿坝州80%左右的草原存在不同程度的退化，草原生态功能明显下降，治理速度跟不上退化速度，直接威胁到本区域及长江中下游地区的生态安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阿坝县是川西北草原的重要组成部分，也是长江、黄河上游重要的水源涵养地和水土保持地，是国家重点生态功能区，生态地位极其重要。近年来，受气候变化、人口增长等因素的影响，阿坝县草原退化较严重，亟需进行草原生态修复。根据四川省财政厅 四川省林业和草原局关于下达2021年中央和省级财政林业草原生态保护恢复资金（第二批）的通知（川财资环〔2021〕79号）文件精神，结合阿坝县实际情况，在对拟实施区域草原生态情况进行调查、规划的基础上，制定本项目实施方案。拟通过本项目实施，探索建立不同类型不同程度退化草原生态修复的新技术、新模式，为大规模开展退化草原生态治理和全面提升草原生态系统服务功能提供重要依据和参考样板。</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黄河流域生态保护和高质量发展规划纲要》指出“加大对水源涵养林建设区的封山禁牧、轮封轮牧和封育保护力度，促进自然恢复。结合地貌、土壤、气候和技术条件，科学选育人工造林树种，提高成活率、改善林相结构，提高林分质量。对深山远山区、风沙区和支流发源地，在适宜区域实施飞播造林。适度发展经济林和林下经济，提高生态效益和农民收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《四川省“十四五”生态环境保护规划》指出“加强长江、黄河上游绿化，继续实施天然林保护修复、退耕还林、公益林保护等重点生态工程。 精准提升森林质量，推进森林抚育、退化林修复，培育复层异龄混交林。 完善天然林保护修复制度，落实天然林管护制度，加强管护基础设施建设。持续推进高原牧区减畜计划和退化草原生态保护修复， 加强草原鼠虫害防治”。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阿坝藏族羌族自治州国民经济和社会发展第十四个五年规划和二〇三五年远景目标纲要》指出加大天然草原保护力度，巩固和继续实施草原生态修复治理、退牧还草工程。实施森林质量精准提升工程，加强退化林修复和低效林改造。加强林木良种选育推广，统筹生态建设和特色产业发展，因地制宜发展林、果、药、苗木等特色林业。加强森林防灭火体系建设，强化森林病虫害防治，确保森林资源安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阿坝县2021年中央财政林业草原生态保护恢复项目立项预估资金总额为</w:t>
      </w:r>
      <w:r>
        <w:rPr>
          <w:rFonts w:hint="eastAsia" w:ascii="仿宋" w:hAnsi="仿宋" w:eastAsia="仿宋" w:cs="仿宋"/>
          <w:sz w:val="30"/>
          <w:szCs w:val="30"/>
          <w:highlight w:val="none"/>
          <w:lang w:val="en-US" w:eastAsia="zh-CN"/>
        </w:rPr>
        <w:t>2320.00万元</w:t>
      </w:r>
      <w:r>
        <w:rPr>
          <w:rFonts w:hint="eastAsia" w:ascii="仿宋" w:hAnsi="仿宋" w:eastAsia="仿宋" w:cs="仿宋"/>
          <w:b w:val="0"/>
          <w:bCs w:val="0"/>
          <w:sz w:val="30"/>
          <w:szCs w:val="30"/>
          <w:lang w:val="en-US" w:eastAsia="zh-CN"/>
        </w:rPr>
        <w:t>，资金来源于中央财政林业草原生态保护恢复资金。根据阿坝州财政局、阿坝州林业和草原局的《阿州财资环（2021）34号》文件列示，阿坝县2021年中央财政林业草原生态保护恢复项目资金安排为2732.00万元</w:t>
      </w:r>
      <w:r>
        <w:rPr>
          <w:rFonts w:hint="eastAsia" w:ascii="仿宋" w:hAnsi="仿宋" w:eastAsia="仿宋" w:cs="仿宋"/>
          <w:sz w:val="30"/>
          <w:szCs w:val="30"/>
          <w:lang w:val="en-US" w:eastAsia="zh-CN"/>
        </w:rPr>
        <w:t>。经调剂后收回163.28万元，实际预算为2568.72万元，截至绩效评价日，项目共下达资金2568.72万元。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截至绩效评价日2023年8月30日，本项目已支付2554.58万元，其中2022年支付1829.72万元，2023年支付724.86万元。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实施方案及其批复文件，项目区域主要位于阿坝县贾洛乡、龙藏乡、四洼乡、各莫乡、麦尔玛镇、求吉玛乡。项目主要建设内容包括人工种草、天然草原改良、乡土草种基地建设、鼠害防治、虫害防治等，具体建设内容与规模如下：人工种草：开展人工种草20000亩。需采购草种100000公斤；采购生物有机肥1000000公斤；侧挂式割草机采购130台；采购编结网围栏188400米；采购人工种草小班标识牌128个；采购C型肉毒素180ml，采购饵料12公斤，采购拌饵料工具2套，采购防护用具2套；采购农用螺纹钢三齿钉耙2把；采购鼠害防治标识牌1个。天然草原改良：开展天然草原改良40000亩。需采购草种48000公斤；采购农用螺纹钢三齿钉耙50把；采购标识牌1个。乡土草种基地建设：开展乡土草种基地3000亩。需采购草种4500公斤；采购农机13辆（挖掘机、装载机、播种机、偏置重耙机、植保机、旋耕机、撒肥机、牧草种子收获机、割草机、方捆机、搂草机、抓包机、板车各1台）；采购复合肥90000公斤；采购灭生性除草剂45件；采购热镀锌菱形网围栏10000米；采购水泥柱2000根；新建草种库房900m2；新建晒坝3391m2；新建排水沟200米；配套动力电源（变压器及动力电缆）1套；采购库区标识牌1个；采购草种基地小班标识牌1个；新建草种基地排洪土渠500米。鼠害防治：开展鼠害防治500000亩。需采购雷公藤甲素4000公斤；采购老鼠夹3000个；采购C型肉毒素58500ml；采购饵料（燕麦）3900公斤；采购拌饵料工具40套；采购防护用具100套；采购标识牌53个。虫害防治：开展虫害防治100000亩。需采购1.2%烟碱·苦参碱600公斤；采购4.5%高效氯氰菊酯1260公斤；采购电动喷雾器20套；采购防护用具40套；采购标识牌4个。</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于由阿坝县林业和草原局聘请专业第三方机构编制项目实施方案，由阿坝县人民政府出具原则同意批复，并附审批部门招投标核准意见。阿坝县2021年中央财政林业草原生态保护恢复项目于2022年9月完工验收。</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项目的主管单位为阿坝县人民政府，负责阿坝县全县的政府职能工作，本项目实施方案已经被阿坝县人民政府批复，批复中指定阿坝县林业和草原局为本项目业主单位，所以阿坝县人民政府在国家、省、州的相关规划和政策指引下，实施本项目，为其履行职能并完成国家、省、州的相关任务和规划的具体举措。</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项目单位为阿坝县林业和草原局，系阿坝县人民政府的职能部门，其主要职能之一为：负责全县林业和草原及其生态保护修复的监督管理。拟定全县林业和草原及其生态保护修复的政策、规格并组织实施，起草相关规范性文件草案。组织开展全县森林、草原、湿地、荒漠和陆生野生动植物资源动态监测与评价，推进全县林业和草原数字化建设。组织全县林业和草原生态保护修复和造林绿化工作。组织实施林业和草原重点生态保护修复工程</w:t>
      </w:r>
      <w:r>
        <w:rPr>
          <w:rFonts w:hint="eastAsia" w:ascii="仿宋" w:hAnsi="仿宋" w:eastAsia="仿宋" w:cs="仿宋"/>
          <w:sz w:val="30"/>
          <w:szCs w:val="30"/>
          <w:lang w:val="en-US" w:eastAsia="zh-CN"/>
        </w:rPr>
        <w:t>。</w:t>
      </w:r>
    </w:p>
    <w:bookmarkEnd w:id="11"/>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2" w:name="_Toc21143"/>
      <w:r>
        <w:rPr>
          <w:rFonts w:hint="eastAsia" w:ascii="仿宋" w:hAnsi="仿宋" w:eastAsia="仿宋" w:cs="仿宋"/>
          <w:b w:val="0"/>
          <w:bCs w:val="0"/>
          <w:sz w:val="30"/>
          <w:szCs w:val="30"/>
          <w:lang w:val="en-US" w:eastAsia="zh-CN"/>
        </w:rPr>
        <w:t>阿坝县2021年中央财政林业草原生态保护恢复项目主要参建单位：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施工单位：</w:t>
      </w:r>
      <w:r>
        <w:rPr>
          <w:rFonts w:hint="eastAsia" w:ascii="仿宋" w:hAnsi="仿宋" w:eastAsia="仿宋" w:cs="仿宋"/>
          <w:sz w:val="30"/>
          <w:szCs w:val="30"/>
          <w:lang w:val="en-US" w:eastAsia="zh-CN"/>
        </w:rPr>
        <w:t>四川蜀通正兴建筑工程有限公司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lang w:val="en-US" w:eastAsia="zh-CN"/>
        </w:rPr>
        <w:t>监理单位：</w:t>
      </w:r>
      <w:r>
        <w:rPr>
          <w:rFonts w:hint="eastAsia" w:ascii="仿宋" w:hAnsi="仿宋" w:eastAsia="仿宋" w:cs="仿宋"/>
          <w:sz w:val="30"/>
          <w:szCs w:val="30"/>
          <w:lang w:val="en-US" w:eastAsia="zh-CN"/>
        </w:rPr>
        <w:t>中天顺韵建设管理有限公司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本项目施工单位及监理单位均为合法存立的具有参与本项目建设的单位，均具有相关资质条件，且参与本项目均通过符合招投标相关流程。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阿坝县成立阿坝县2021年中央财政林业草原生态保护恢复项目领导小组，领导小组由县委、县政府领导牵头，县林业和草原局、发改局、财政局、审计局等部门参加。领导小组下设办公室，挂靠林业和草原局，由林业和草原局局长兼任办公室主任。领导小组统一领导协调项目建设工作，健全项目管理制度，审定项目具体实施内容、资金使用计划、监督检查项目及资金到位情况、项目建设情况。向上级报告项目进展和资金使用情况。领导小组办公室负责项目工程实施，严格实施工程建设审批制度和工程招投标制度。认真收集统计有关数据，编制相关资料，负责项目日常工作。成立以阿坝县林草局局长为组长，县林草局副局长为副组长，下属各技术骨干为成员的项目实施小组。主要负责项目方案的制定、项目的具体实施、组织技术培训和项目进度安排全面完成建设任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阿坝县林业和草原局成立的项目小组能够为本项目的实施、运营提供持续稳定的组织机构保障，其他相关部门、社会公众进行监督。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根据与阿坝县财政局、阿坝县林业和草原局咨询，当前项目单位未针对本项目制定相关的项目管理制度。本项目沿用阿坝县类似项目管理制度执行。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（4）财务管理制度</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阿坝县林业和草原局暂未针对阿坝县2021年中央财政林业草原生态保护恢复项目制定财务管理制度，本项目财务制度沿用一般性工程项目的财务管理制度及政府部门相关财务管理制度。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9820"/>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林业和草原局结合项目情况根据项目建设内容、项目预期产出、项目实施计划、资金筹措、项目服务对象、项目效益等方面的具体情况，设置了三级绩效目标申报表，一级目标分为产出目标和效益目标；产出指标中包含数量指标、质量指标、时效指标、成本指标、预算执行指标五类二级指标；效益指标包含经济效益指标、生态效益指标、可持续影响指标、服务对象满意度指标五类指标：</w:t>
      </w:r>
    </w:p>
    <w:bookmarkEnd w:id="16"/>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79"/>
        <w:gridCol w:w="711"/>
        <w:gridCol w:w="1427"/>
        <w:gridCol w:w="3670"/>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5000" w:type="pct"/>
            <w:gridSpan w:val="5"/>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653" w:type="pct"/>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填报单位（盖章）</w:t>
            </w:r>
          </w:p>
        </w:tc>
        <w:tc>
          <w:tcPr>
            <w:tcW w:w="3346" w:type="pct"/>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阿坝县林业和草原局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1653" w:type="pct"/>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项目名称</w:t>
            </w:r>
          </w:p>
        </w:tc>
        <w:tc>
          <w:tcPr>
            <w:tcW w:w="3346" w:type="pct"/>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阿坝县2021年中央财政林业草原生态保护恢复项目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399" w:type="pct"/>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0"/>
                <w:szCs w:val="20"/>
                <w:u w:val="none"/>
                <w:lang w:val="en-US" w:eastAsia="zh-CN" w:bidi="ar"/>
              </w:rPr>
            </w:pPr>
            <w:r>
              <w:rPr>
                <w:rFonts w:hint="eastAsia" w:ascii="黑体" w:hAnsi="宋体" w:eastAsia="黑体" w:cs="黑体"/>
                <w:i w:val="0"/>
                <w:iCs w:val="0"/>
                <w:color w:val="000000"/>
                <w:kern w:val="0"/>
                <w:sz w:val="20"/>
                <w:szCs w:val="20"/>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0"/>
                <w:szCs w:val="20"/>
                <w:u w:val="none"/>
                <w:lang w:val="en-US" w:eastAsia="zh-CN" w:bidi="ar"/>
              </w:rPr>
            </w:pPr>
            <w:r>
              <w:rPr>
                <w:rFonts w:hint="eastAsia" w:ascii="黑体" w:hAnsi="宋体" w:eastAsia="黑体" w:cs="黑体"/>
                <w:i w:val="0"/>
                <w:iCs w:val="0"/>
                <w:color w:val="000000"/>
                <w:kern w:val="0"/>
                <w:sz w:val="20"/>
                <w:szCs w:val="20"/>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0"/>
                <w:szCs w:val="20"/>
                <w:u w:val="none"/>
                <w:lang w:val="en-US" w:eastAsia="zh-CN" w:bidi="ar"/>
              </w:rPr>
            </w:pPr>
            <w:r>
              <w:rPr>
                <w:rFonts w:hint="eastAsia" w:ascii="黑体" w:hAnsi="宋体" w:eastAsia="黑体" w:cs="黑体"/>
                <w:i w:val="0"/>
                <w:iCs w:val="0"/>
                <w:color w:val="000000"/>
                <w:kern w:val="0"/>
                <w:sz w:val="20"/>
                <w:szCs w:val="20"/>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标</w:t>
            </w:r>
          </w:p>
        </w:tc>
        <w:tc>
          <w:tcPr>
            <w:tcW w:w="417" w:type="pct"/>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0"/>
                <w:szCs w:val="20"/>
                <w:u w:val="none"/>
                <w:lang w:val="en-US" w:eastAsia="zh-CN" w:bidi="ar"/>
              </w:rPr>
            </w:pPr>
            <w:r>
              <w:rPr>
                <w:rFonts w:hint="eastAsia" w:ascii="黑体" w:hAnsi="宋体" w:eastAsia="黑体" w:cs="黑体"/>
                <w:b/>
                <w:bCs/>
                <w:i w:val="0"/>
                <w:iCs w:val="0"/>
                <w:color w:val="000000"/>
                <w:kern w:val="0"/>
                <w:sz w:val="20"/>
                <w:szCs w:val="20"/>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0"/>
                <w:szCs w:val="20"/>
                <w:u w:val="none"/>
              </w:rPr>
            </w:pPr>
            <w:r>
              <w:rPr>
                <w:rFonts w:hint="eastAsia" w:ascii="黑体" w:hAnsi="宋体" w:eastAsia="黑体" w:cs="黑体"/>
                <w:b/>
                <w:bCs/>
                <w:i w:val="0"/>
                <w:iCs w:val="0"/>
                <w:color w:val="000000"/>
                <w:kern w:val="0"/>
                <w:sz w:val="20"/>
                <w:szCs w:val="20"/>
                <w:u w:val="none"/>
                <w:lang w:val="en-US" w:eastAsia="zh-CN" w:bidi="ar"/>
              </w:rPr>
              <w:t>指标</w:t>
            </w:r>
          </w:p>
        </w:tc>
        <w:tc>
          <w:tcPr>
            <w:tcW w:w="837" w:type="pct"/>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0"/>
                <w:szCs w:val="20"/>
                <w:u w:val="none"/>
              </w:rPr>
            </w:pPr>
            <w:r>
              <w:rPr>
                <w:rFonts w:hint="eastAsia" w:ascii="黑体" w:hAnsi="宋体" w:eastAsia="黑体" w:cs="黑体"/>
                <w:b/>
                <w:bCs/>
                <w:i w:val="0"/>
                <w:iCs w:val="0"/>
                <w:color w:val="000000"/>
                <w:kern w:val="0"/>
                <w:sz w:val="20"/>
                <w:szCs w:val="20"/>
                <w:u w:val="none"/>
                <w:lang w:val="en-US" w:eastAsia="zh-CN" w:bidi="ar"/>
              </w:rPr>
              <w:t>二级指标</w:t>
            </w:r>
          </w:p>
        </w:tc>
        <w:tc>
          <w:tcPr>
            <w:tcW w:w="2153" w:type="pct"/>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0"/>
                <w:szCs w:val="20"/>
                <w:u w:val="none"/>
              </w:rPr>
            </w:pPr>
            <w:r>
              <w:rPr>
                <w:rFonts w:hint="eastAsia" w:ascii="黑体" w:hAnsi="宋体" w:eastAsia="黑体" w:cs="黑体"/>
                <w:b/>
                <w:bCs/>
                <w:i w:val="0"/>
                <w:iCs w:val="0"/>
                <w:color w:val="000000"/>
                <w:kern w:val="0"/>
                <w:sz w:val="20"/>
                <w:szCs w:val="20"/>
                <w:u w:val="none"/>
                <w:lang w:val="en-US" w:eastAsia="zh-CN" w:bidi="ar"/>
              </w:rPr>
              <w:t>三级指标</w:t>
            </w:r>
          </w:p>
        </w:tc>
        <w:tc>
          <w:tcPr>
            <w:tcW w:w="1192" w:type="pct"/>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0"/>
                <w:szCs w:val="20"/>
                <w:u w:val="none"/>
              </w:rPr>
            </w:pPr>
            <w:r>
              <w:rPr>
                <w:rFonts w:hint="eastAsia" w:ascii="黑体" w:hAnsi="宋体" w:eastAsia="黑体" w:cs="黑体"/>
                <w:b/>
                <w:bCs/>
                <w:i w:val="0"/>
                <w:iCs w:val="0"/>
                <w:color w:val="000000"/>
                <w:kern w:val="0"/>
                <w:sz w:val="20"/>
                <w:szCs w:val="20"/>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w:t>
            </w:r>
          </w:p>
        </w:tc>
        <w:tc>
          <w:tcPr>
            <w:tcW w:w="83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指标1：人工种草生态修复</w:t>
            </w:r>
          </w:p>
        </w:tc>
        <w:tc>
          <w:tcPr>
            <w:tcW w:w="1192"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指标2：天然草原改良生态修复</w:t>
            </w:r>
          </w:p>
        </w:tc>
        <w:tc>
          <w:tcPr>
            <w:tcW w:w="1192"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指标3：乡土草种基地建设</w:t>
            </w:r>
          </w:p>
        </w:tc>
        <w:tc>
          <w:tcPr>
            <w:tcW w:w="1192"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指标4：草原鼠害防治</w:t>
            </w:r>
          </w:p>
        </w:tc>
        <w:tc>
          <w:tcPr>
            <w:tcW w:w="1192"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指标5：草原虫害防治</w:t>
            </w:r>
          </w:p>
        </w:tc>
        <w:tc>
          <w:tcPr>
            <w:tcW w:w="1192"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指标1：项目竣工验收达标率</w:t>
            </w:r>
          </w:p>
        </w:tc>
        <w:tc>
          <w:tcPr>
            <w:tcW w:w="1192"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指标2：项目设计方案变更率</w:t>
            </w:r>
          </w:p>
        </w:tc>
        <w:tc>
          <w:tcPr>
            <w:tcW w:w="1192"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指标1：工程按时开工</w:t>
            </w:r>
          </w:p>
        </w:tc>
        <w:tc>
          <w:tcPr>
            <w:tcW w:w="1192"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2022年4月29日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指标2：工程按时竣工验收</w:t>
            </w:r>
          </w:p>
        </w:tc>
        <w:tc>
          <w:tcPr>
            <w:tcW w:w="1192"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2022年9月27日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指标3：工程按时投入使用</w:t>
            </w:r>
          </w:p>
        </w:tc>
        <w:tc>
          <w:tcPr>
            <w:tcW w:w="1192"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2022年9月28日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指标1：项目建设总投资成本</w:t>
            </w:r>
          </w:p>
        </w:tc>
        <w:tc>
          <w:tcPr>
            <w:tcW w:w="1192"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≤2320万元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指标2：工程费用</w:t>
            </w:r>
          </w:p>
        </w:tc>
        <w:tc>
          <w:tcPr>
            <w:tcW w:w="1192"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≤2218.31万元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7"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预算</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指标1：中央财政林业草原生态保护恢复资金支出</w:t>
            </w:r>
          </w:p>
        </w:tc>
        <w:tc>
          <w:tcPr>
            <w:tcW w:w="1192" w:type="pct"/>
            <w:shd w:val="clear" w:color="auto" w:fill="auto"/>
            <w:vAlign w:val="center"/>
          </w:tcPr>
          <w:p>
            <w:pPr>
              <w:keepNext w:val="0"/>
              <w:keepLines w:val="0"/>
              <w:widowControl/>
              <w:suppressLineNumbers w:val="0"/>
              <w:ind w:firstLine="400" w:firstLineChars="20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2320万元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w:t>
            </w:r>
          </w:p>
        </w:tc>
        <w:tc>
          <w:tcPr>
            <w:tcW w:w="83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2153" w:type="pct"/>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指标1：人工种草</w:t>
            </w:r>
          </w:p>
        </w:tc>
        <w:tc>
          <w:tcPr>
            <w:tcW w:w="1192"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指标2：带动当地就业</w:t>
            </w:r>
          </w:p>
        </w:tc>
        <w:tc>
          <w:tcPr>
            <w:tcW w:w="1192"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指标1：服务社会公众</w:t>
            </w:r>
          </w:p>
        </w:tc>
        <w:tc>
          <w:tcPr>
            <w:tcW w:w="1192"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≥0.3万人次/年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指标2：保障农牧业生产覆盖面积</w:t>
            </w:r>
          </w:p>
        </w:tc>
        <w:tc>
          <w:tcPr>
            <w:tcW w:w="1192"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≥项目地6个乡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生态效益</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指标1：人工种草面积</w:t>
            </w:r>
          </w:p>
        </w:tc>
        <w:tc>
          <w:tcPr>
            <w:tcW w:w="1192"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7" w:type="pct"/>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指标2：天然草原改良</w:t>
            </w:r>
          </w:p>
        </w:tc>
        <w:tc>
          <w:tcPr>
            <w:tcW w:w="1192"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指标2：减少、防治鼠害</w:t>
            </w:r>
          </w:p>
        </w:tc>
        <w:tc>
          <w:tcPr>
            <w:tcW w:w="1192"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可持续影响</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指标1：持续服务本地群众期限</w:t>
            </w:r>
          </w:p>
        </w:tc>
        <w:tc>
          <w:tcPr>
            <w:tcW w:w="1192"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指标2：项目运营期限</w:t>
            </w:r>
          </w:p>
        </w:tc>
        <w:tc>
          <w:tcPr>
            <w:tcW w:w="1192"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指标1：区域辐射人群满意度</w:t>
            </w:r>
          </w:p>
        </w:tc>
        <w:tc>
          <w:tcPr>
            <w:tcW w:w="1192"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99"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41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83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2153"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指标2：区域监管部门满意度</w:t>
            </w:r>
          </w:p>
        </w:tc>
        <w:tc>
          <w:tcPr>
            <w:tcW w:w="1192"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13692"/>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1504"/>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神，对阿坝县林业和草原局开展的阿坝县2021年中央财政林业草原生态保护恢复项目进行事后绩效评价，从财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阿坝县林业和草原局开展的阿坝县2021年中央财政林业草原生态保护恢复项目，评价本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阿坝县2021年中央财政林业草原生态保护恢复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410"/>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lang w:val="en-US" w:eastAsia="zh-CN"/>
        </w:rPr>
        <w:t>阿坝县2021年中央财政林业草原生态保护恢复项目</w:t>
      </w:r>
      <w:r>
        <w:rPr>
          <w:rFonts w:hint="eastAsia" w:ascii="仿宋" w:hAnsi="仿宋" w:eastAsia="仿宋" w:cs="仿宋"/>
          <w:b w:val="0"/>
          <w:bCs w:val="0"/>
          <w:sz w:val="30"/>
          <w:szCs w:val="30"/>
          <w:lang w:val="en-US" w:eastAsia="zh-CN"/>
        </w:rPr>
        <w:t>绩效评价指标体系由三级指标构成。其中一级指标和二级指标根据《财政项目支出绩效评价指标框架》设置三级指标，尤其是产出类和效益类指标，针对本项</w:t>
      </w:r>
      <w:r>
        <w:rPr>
          <w:rFonts w:hint="eastAsia" w:ascii="仿宋" w:hAnsi="仿宋" w:eastAsia="仿宋" w:cs="仿宋"/>
          <w:b w:val="0"/>
          <w:bCs w:val="0"/>
          <w:sz w:val="30"/>
          <w:szCs w:val="30"/>
          <w:highlight w:val="none"/>
          <w:lang w:val="en-US" w:eastAsia="zh-CN"/>
        </w:rPr>
        <w:t>目特点进行个性化设置。一级指标4个：决策、过程、产出和效益；二级指标10个，三级指标17个，围绕项目立项、资金投入、项目过程、项目产出、项目效益等方面，客观分析项目的产出和效果，进而挖掘经验和好的做</w:t>
      </w:r>
      <w:r>
        <w:rPr>
          <w:rFonts w:hint="eastAsia" w:ascii="仿宋" w:hAnsi="仿宋" w:eastAsia="仿宋" w:cs="仿宋"/>
          <w:b w:val="0"/>
          <w:bCs w:val="0"/>
          <w:sz w:val="30"/>
          <w:szCs w:val="30"/>
          <w:lang w:val="en-US" w:eastAsia="zh-CN"/>
        </w:rPr>
        <w:t>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21805"/>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7647"/>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29308"/>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价得分18分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黄河流域生态保护和高质量发展规划纲要》指出“加大对水源涵养林建设区的封山禁牧、轮封轮牧和封育保护力度，促进自然恢复。结合地貌、土壤、气候和技术条件，科学选育人工造林树种，提高成活率、改善林相结构，提高林分质量。对深山远山区、风沙区和支流发源地，在适宜区域实施飞播造林。适度发展经济林和林下经济，提高生态效益和农民收益”。</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《四川省“十四五”生态环境保护规划》指出“加强长江、黄河上游绿化，继续实施天然林保护修复、退耕还林、公益林保护等重点生态工程。 精准提升森林质量，推进森林抚育、退化林修复，培育复层异龄混交林。 完善天然林保护修复制度，落实天然林管护制度，加强管护基础设施建设。持续推进高原牧区减畜计划和退化草原生态保护修复， 加强草原鼠虫害防治”。</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阿坝藏族羌族自治州国民经济和社会发展第十四个五年规划和二〇三五年远景目标纲要》指出加大天然草原保护力度，巩固和继续实施草原生态修复治理、退牧还草工程。实施森林质量精准提升工程，加强退化林修复和低效林改造。加强林木良种选育推广，统筹生态建设和特色产业发展，因地制宜发展林、果、药、苗木等特色林业。加强森林防灭火体系建设，强化森林病虫害防治，确保森林资源安全。</w:t>
      </w:r>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规范性，权重3分，得2分。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林业和草原局先内部讨论决议设立该项目，经过主管部门和财政部门等审核。未针对本项目制定可行性研究报告，项目已制定实施方案，但未制定可行性研究报告，就形式上缺少对项目建设的可行性、必要性等内容的充分论证。</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权重8分，得分7分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eastAsia="zh-CN"/>
        </w:rPr>
        <w:t>阿坝县林业和草原局</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w:t>
      </w:r>
      <w:r>
        <w:rPr>
          <w:rFonts w:hint="eastAsia" w:ascii="仿宋" w:hAnsi="仿宋" w:eastAsia="仿宋" w:cs="仿宋"/>
          <w:sz w:val="30"/>
          <w:szCs w:val="30"/>
          <w:highlight w:val="none"/>
          <w:lang w:eastAsia="zh-CN"/>
        </w:rPr>
        <w:t>设置</w:t>
      </w:r>
      <w:r>
        <w:rPr>
          <w:rFonts w:hint="eastAsia" w:ascii="仿宋" w:hAnsi="仿宋" w:eastAsia="仿宋" w:cs="仿宋"/>
          <w:sz w:val="30"/>
          <w:szCs w:val="30"/>
          <w:highlight w:val="none"/>
        </w:rPr>
        <w:t>了三级绩效目标申报表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产出</w:t>
      </w:r>
      <w:r>
        <w:rPr>
          <w:rFonts w:hint="eastAsia" w:ascii="仿宋" w:hAnsi="仿宋" w:eastAsia="仿宋" w:cs="仿宋"/>
          <w:sz w:val="30"/>
          <w:szCs w:val="30"/>
          <w:highlight w:val="none"/>
          <w:lang w:eastAsia="zh-CN"/>
        </w:rPr>
        <w:t>指标中数量、质量、时效指标根据该项目具体工作内容展开。</w:t>
      </w:r>
      <w:r>
        <w:rPr>
          <w:rFonts w:hint="eastAsia" w:ascii="仿宋" w:hAnsi="仿宋" w:eastAsia="仿宋" w:cs="仿宋"/>
          <w:sz w:val="30"/>
          <w:szCs w:val="30"/>
          <w:highlight w:val="none"/>
          <w:lang w:val="en-US" w:eastAsia="zh-CN"/>
        </w:rPr>
        <w:t>根据本项目批复文件列示，本项目成本指标为项目总投资≤2320万元，但阿坝县2021年中央财政林业草原生态保护恢复项目资金安排为2732.00万元。经调剂后收回163.28万元，实际预算为2568.72万元，评价组核查项目单位提供的项目预算批复、项目施工合同和项目会计核算资料，本项目已支付2554.58万元。成本指标为项目总投资≤2320万元，预期成本指标未做到合理估算，项目绩效目标表中成本指标设置不合理。</w:t>
      </w:r>
      <w:r>
        <w:rPr>
          <w:rFonts w:hint="eastAsia" w:ascii="仿宋" w:hAnsi="仿宋" w:eastAsia="仿宋" w:cs="仿宋"/>
          <w:b w:val="0"/>
          <w:bCs w:val="0"/>
          <w:sz w:val="30"/>
          <w:szCs w:val="30"/>
          <w:highlight w:val="none"/>
          <w:lang w:val="en-US" w:eastAsia="zh-CN"/>
        </w:rPr>
        <w:t xml:space="preserve">   </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一级目标分为产出目标和效益目标；产出指标中包含数量指标、质量指标、时效指标、成本指标、预算执行指标五类二级指标；效益指标包含经济效益指标、生态效益指标、可持续影响指标、服务对象满意度指标五类指标；一二级指标下根据项目实际情况设置三级细化指标。本项目绩效目标值设置产出指标均能够量化，可以衡量项目建设所取得的效果，与项目具体建设内容或计划匹配</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按《基本建设财务管理规定》（财建[2002]394号）；《工程勘察设计收费管理规定》（计价格[2002]10号）；《关于印发&lt;建设工程建立与相关服务收费管理规定&gt;的通知》（计价格[2007]670号）；《关于规范环境影响咨询收费有关问题的通知》（计价格[2002]125号）；《建设项目前期工作咨询收费暂行规定》（计价格[1999]1283号）；《财政部关于切实加强政府投资项目代建制财政财务管理有关问题的指导意见》（财建[2004]300号）；《基本建设项目建设成本管理规定》（财建[2016]504号）；《林业行业调查规划项目收费指导意见》（林建协〔2018〕15号）；草种、肥料等采购费用以2021年第4季度以及厂商询价为依据，人工费以阿坝县劳动力市场价格为依据；由于项目建设区地处高原，工程建设其他费用取费应考虑高程调整系数，同时投资概算还要综合考虑当地建设造价和市场物价，参考当地已实施的其他类似工程建设项目的经济技术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阿坝县2021年中央财政林业草原生态保护恢复项目立项预估资金总额为2320.00万元，资金来源于中央财政林业草原生态保护恢复资金。根据阿坝州财政局、阿坝州林业和草原局的《阿州财资环（2021）34号》文件列示，阿坝县2021年中央财政林业草原生态保护恢复项目资金安排为2732.00万元。经调剂后收回163.28万元，实际预算为2568.72万元，截至绩效评价日，项目共下达资金2568.72万元。</w:t>
      </w: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本项目资金分配包含建安工程、金属结构设备及安装工程、施工临时工程、独立费用、预备费等，均按相关规定进行分配，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阿坝县2021年中央财政林业草原生态保护恢复项目资金安排为2732.00万元。经调剂后收回163.28万元，实际预算为2568.72万元。资金实际用于本项目基础设施建设、临时工程及设施设备采购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15802"/>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得分16.97分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权重12分，得分10.97分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eastAsia" w:ascii="仿宋" w:hAnsi="仿宋" w:eastAsia="仿宋" w:cs="仿宋"/>
          <w:b w:val="0"/>
          <w:bCs w:val="0"/>
          <w:sz w:val="30"/>
          <w:szCs w:val="30"/>
          <w:lang w:val="en-US" w:eastAsia="zh-CN"/>
        </w:rPr>
        <w:t>阿坝县2021年中央财政林业草原生态保护恢复项目立项预估资金总额为2320.00万元，资金来源于中央财政林业草原生态保护恢复资金。根据阿坝州财政局、阿坝州林业和草原局的《阿州财资环（2021）34号》文件列示，阿坝县2021年中央财政林业草原生态保护恢复项目资金安排为2732.00万元。经调剂后收回163.28万元，实际预算为2568.72万元，截至绩效评价日，项目共下达资金2568.72万元，资金已全部到位。</w:t>
      </w:r>
      <w:r>
        <w:rPr>
          <w:rFonts w:hint="eastAsia" w:ascii="仿宋" w:hAnsi="仿宋" w:eastAsia="仿宋" w:cs="仿宋"/>
          <w:color w:val="auto"/>
          <w:sz w:val="30"/>
          <w:szCs w:val="30"/>
          <w:highlight w:val="none"/>
          <w:lang w:val="en-US" w:eastAsia="zh-CN"/>
        </w:rPr>
        <w:t>资金到位率=（到位资金/预算资金）*100%。项目资金到位率为100%。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，权重4分，得分3.97分。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阿坝县2021年中央财政林业草原生态保护恢复项目资金安排为2732.00万元。经调剂后收回163.28万元，实际预算为2568.72万元，截至绩效评价日，项目共下达资金2568.72万元。</w:t>
      </w:r>
      <w:r>
        <w:rPr>
          <w:rFonts w:hint="eastAsia" w:ascii="仿宋" w:hAnsi="仿宋" w:eastAsia="仿宋" w:cs="仿宋"/>
          <w:b w:val="0"/>
          <w:bCs w:val="0"/>
          <w:sz w:val="30"/>
          <w:szCs w:val="30"/>
          <w:highlight w:val="none"/>
          <w:lang w:val="en-US" w:eastAsia="zh-CN"/>
        </w:rPr>
        <w:t>截至绩效评价日2023年8月30日，本项目已支付2554.58万元，其中2022年支付1829.72万元，2023年支付724.86万元。</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为99.4%。</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原始凭证存在不规范现象，不符合相关规定，本项目多处资金拨付审批表为复印件，按照财务规定，资金拨付审批表为项目支出审批文件，在原始凭证中应存放原件。如项目2022年7月29日、2022年10月13日等日期及一份未标明日期（申请资金为396000元）的多份资金拨付审批表实际为复印件。</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、阿坝县林业和草原局</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领导小组下设办公室，挂靠林业和草原局，由林业和草原局局长兼任办公室主任。领导小组统一领导协调项目建设工作，健全项目管理制度，审定项目具体实施内容、资金使用计划、监督检查项目及资金到位情况、项目建设情况。向上级报告项目进展和资金使用情况。领导小组办公室负责项目工程实施，严格实施工程建设审批制度和工程招投标制度。认真收集统计有关数据，编制相关资料，负责项目日常工作。成立以阿坝县林草局局长为组长，县林草局副局长为副组长，下属各技术骨干为成员的项目实施小组。主要负责项目方案的制定、项目的具体实施、组织技术培训和项目进度安排全面完成建设任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eastAsia="zh-CN"/>
        </w:rPr>
        <w:t>阿坝县林业和草原局</w:t>
      </w:r>
      <w:r>
        <w:rPr>
          <w:rFonts w:hint="eastAsia" w:ascii="仿宋" w:hAnsi="仿宋" w:eastAsia="仿宋" w:cs="仿宋"/>
          <w:sz w:val="30"/>
          <w:szCs w:val="30"/>
          <w:lang w:val="en-US" w:eastAsia="zh-CN"/>
        </w:rPr>
        <w:t>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监理合同等，核对合同签约条款与采购需求文件的相符性，合同签约审核程序规范性，合同履约及时性，合同管理责任落实情况，以及合同法律责任明确和落实情况。抽查的相关合同签约条款与采购文件基本相符，合同签约审核程序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lang w:eastAsia="zh-CN"/>
        </w:rPr>
        <w:t>阿坝县林业和草原局</w:t>
      </w:r>
      <w:r>
        <w:rPr>
          <w:rFonts w:hint="eastAsia" w:ascii="仿宋" w:hAnsi="仿宋" w:eastAsia="仿宋" w:cs="仿宋"/>
          <w:sz w:val="30"/>
          <w:szCs w:val="30"/>
          <w:lang w:val="en-US" w:eastAsia="zh-CN"/>
        </w:rPr>
        <w:t>财务股负责归档保存，包括文书档案归档、财会档案归档、基础建设文件资料归档、项目采购资料归档、档案保管期限、档案查阅和利用、档案保密、档案销毁等项目合同书、验收报告、技术鉴定等资料齐全并及时归档，档案管理完好且齐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16688"/>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价得分38分。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（1）人工种草生态修复，权重2分，得分2分。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项目绩效目标申报表的产出指标中人工种草生态修复指标值为2万亩，根据其提交的竣工验收报告、监理单位出具的监理报告、项目批复及实施方案等文件以及与相关负责人的访谈工作，</w:t>
      </w:r>
      <w:r>
        <w:rPr>
          <w:rFonts w:hint="eastAsia" w:ascii="仿宋" w:hAnsi="仿宋" w:eastAsia="仿宋" w:cs="仿宋"/>
          <w:sz w:val="30"/>
          <w:szCs w:val="30"/>
          <w:lang w:val="en-US" w:eastAsia="zh-CN"/>
        </w:rPr>
        <w:t>项目</w:t>
      </w:r>
      <w:r>
        <w:rPr>
          <w:rFonts w:hint="eastAsia" w:ascii="仿宋" w:hAnsi="仿宋" w:eastAsia="仿宋" w:cs="仿宋"/>
          <w:b w:val="0"/>
          <w:bCs w:val="0"/>
          <w:sz w:val="30"/>
          <w:szCs w:val="30"/>
          <w:highlight w:val="none"/>
          <w:lang w:val="en-US" w:eastAsia="zh-CN"/>
        </w:rPr>
        <w:t>人工种草生态修复</w:t>
      </w:r>
      <w:r>
        <w:rPr>
          <w:rFonts w:hint="eastAsia" w:ascii="仿宋" w:hAnsi="仿宋" w:eastAsia="仿宋" w:cs="仿宋"/>
          <w:sz w:val="30"/>
          <w:szCs w:val="30"/>
          <w:lang w:val="en-US" w:eastAsia="zh-CN"/>
        </w:rPr>
        <w:t>为</w:t>
      </w:r>
      <w:r>
        <w:rPr>
          <w:rFonts w:hint="eastAsia" w:ascii="仿宋" w:hAnsi="仿宋" w:eastAsia="仿宋" w:cs="仿宋"/>
          <w:b w:val="0"/>
          <w:bCs w:val="0"/>
          <w:sz w:val="30"/>
          <w:szCs w:val="30"/>
          <w:highlight w:val="none"/>
          <w:lang w:val="en-US" w:eastAsia="zh-CN"/>
        </w:rPr>
        <w:t>2万亩，人工种草生态修复完成率为100%。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eastAsia" w:ascii="仿宋" w:hAnsi="仿宋" w:eastAsia="仿宋" w:cs="仿宋"/>
          <w:i w:val="0"/>
          <w:iCs w:val="0"/>
          <w:color w:val="000000"/>
          <w:kern w:val="0"/>
          <w:sz w:val="30"/>
          <w:szCs w:val="30"/>
          <w:u w:val="none"/>
          <w:lang w:val="en-US" w:eastAsia="zh-CN" w:bidi="ar"/>
        </w:rPr>
        <w:t>天然草原改良生态修复</w:t>
      </w:r>
      <w:r>
        <w:rPr>
          <w:rFonts w:hint="eastAsia" w:ascii="仿宋" w:hAnsi="仿宋" w:eastAsia="仿宋" w:cs="仿宋"/>
          <w:b w:val="0"/>
          <w:bCs w:val="0"/>
          <w:sz w:val="30"/>
          <w:szCs w:val="30"/>
          <w:highlight w:val="none"/>
          <w:lang w:val="en-US" w:eastAsia="zh-CN"/>
        </w:rPr>
        <w:t>，权重2分，得分2分。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w:t>
      </w:r>
      <w:r>
        <w:rPr>
          <w:rFonts w:hint="eastAsia" w:ascii="仿宋" w:hAnsi="仿宋" w:eastAsia="仿宋" w:cs="仿宋"/>
          <w:i w:val="0"/>
          <w:iCs w:val="0"/>
          <w:color w:val="000000"/>
          <w:kern w:val="0"/>
          <w:sz w:val="30"/>
          <w:szCs w:val="30"/>
          <w:u w:val="none"/>
          <w:lang w:val="en-US" w:eastAsia="zh-CN" w:bidi="ar"/>
        </w:rPr>
        <w:t>天然草原改良生态修复</w:t>
      </w:r>
      <w:r>
        <w:rPr>
          <w:rFonts w:hint="eastAsia" w:ascii="仿宋" w:hAnsi="仿宋" w:eastAsia="仿宋" w:cs="仿宋"/>
          <w:b w:val="0"/>
          <w:bCs w:val="0"/>
          <w:sz w:val="30"/>
          <w:szCs w:val="30"/>
          <w:highlight w:val="none"/>
          <w:lang w:val="en-US" w:eastAsia="zh-CN"/>
        </w:rPr>
        <w:t>指标值为4</w:t>
      </w:r>
      <w:r>
        <w:rPr>
          <w:rFonts w:hint="eastAsia" w:ascii="仿宋" w:hAnsi="仿宋" w:eastAsia="仿宋" w:cs="仿宋"/>
          <w:i w:val="0"/>
          <w:iCs w:val="0"/>
          <w:color w:val="000000"/>
          <w:kern w:val="0"/>
          <w:sz w:val="30"/>
          <w:szCs w:val="30"/>
          <w:u w:val="none"/>
          <w:lang w:val="en-US" w:eastAsia="zh-CN" w:bidi="ar"/>
        </w:rPr>
        <w:t>万亩</w:t>
      </w:r>
      <w:r>
        <w:rPr>
          <w:rFonts w:hint="eastAsia" w:ascii="仿宋" w:hAnsi="仿宋" w:eastAsia="仿宋" w:cs="仿宋"/>
          <w:b w:val="0"/>
          <w:bCs w:val="0"/>
          <w:sz w:val="30"/>
          <w:szCs w:val="30"/>
          <w:highlight w:val="none"/>
          <w:lang w:val="en-US" w:eastAsia="zh-CN"/>
        </w:rPr>
        <w:t>，根据施工单位提交的竣工验收报告、监理单位出具的监理报告等文件以及与相关负责人的访谈工作，本项目已完成</w:t>
      </w:r>
      <w:r>
        <w:rPr>
          <w:rFonts w:hint="eastAsia" w:ascii="仿宋" w:hAnsi="仿宋" w:eastAsia="仿宋" w:cs="仿宋"/>
          <w:i w:val="0"/>
          <w:iCs w:val="0"/>
          <w:color w:val="000000"/>
          <w:kern w:val="0"/>
          <w:sz w:val="30"/>
          <w:szCs w:val="30"/>
          <w:u w:val="none"/>
          <w:lang w:val="en-US" w:eastAsia="zh-CN" w:bidi="ar"/>
        </w:rPr>
        <w:t>天然草原改良生态修复4万亩</w:t>
      </w:r>
      <w:r>
        <w:rPr>
          <w:rFonts w:hint="eastAsia" w:ascii="仿宋" w:hAnsi="仿宋" w:eastAsia="仿宋" w:cs="仿宋"/>
          <w:b w:val="0"/>
          <w:bCs w:val="0"/>
          <w:sz w:val="30"/>
          <w:szCs w:val="30"/>
          <w:highlight w:val="none"/>
          <w:lang w:val="en-US" w:eastAsia="zh-CN"/>
        </w:rPr>
        <w:t>，</w:t>
      </w:r>
      <w:r>
        <w:rPr>
          <w:rFonts w:hint="eastAsia" w:ascii="仿宋" w:hAnsi="仿宋" w:eastAsia="仿宋" w:cs="仿宋"/>
          <w:i w:val="0"/>
          <w:iCs w:val="0"/>
          <w:color w:val="000000"/>
          <w:kern w:val="0"/>
          <w:sz w:val="30"/>
          <w:szCs w:val="30"/>
          <w:u w:val="none"/>
          <w:lang w:val="en-US" w:eastAsia="zh-CN" w:bidi="ar"/>
        </w:rPr>
        <w:t>天然草原改良生态修复</w:t>
      </w:r>
      <w:r>
        <w:rPr>
          <w:rFonts w:hint="eastAsia" w:ascii="仿宋" w:hAnsi="仿宋" w:eastAsia="仿宋" w:cs="仿宋"/>
          <w:b w:val="0"/>
          <w:bCs w:val="0"/>
          <w:sz w:val="30"/>
          <w:szCs w:val="30"/>
          <w:highlight w:val="none"/>
          <w:lang w:val="en-US" w:eastAsia="zh-CN"/>
        </w:rPr>
        <w:t>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（3）乡土草种基地建设，权重2分，得分2分。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项目绩效目标申报表的产出指标中乡土草种基地建设</w:t>
      </w:r>
      <w:r>
        <w:rPr>
          <w:rFonts w:hint="eastAsia" w:ascii="仿宋" w:hAnsi="仿宋" w:eastAsia="仿宋" w:cs="仿宋"/>
          <w:i w:val="0"/>
          <w:iCs w:val="0"/>
          <w:color w:val="000000"/>
          <w:kern w:val="0"/>
          <w:sz w:val="30"/>
          <w:szCs w:val="30"/>
          <w:u w:val="none"/>
          <w:lang w:val="en-US" w:eastAsia="zh-CN" w:bidi="ar"/>
        </w:rPr>
        <w:t>合计</w:t>
      </w:r>
      <w:r>
        <w:rPr>
          <w:rFonts w:hint="eastAsia" w:ascii="仿宋" w:hAnsi="仿宋" w:eastAsia="仿宋" w:cs="仿宋"/>
          <w:b w:val="0"/>
          <w:bCs w:val="0"/>
          <w:sz w:val="30"/>
          <w:szCs w:val="30"/>
          <w:highlight w:val="none"/>
          <w:lang w:val="en-US" w:eastAsia="zh-CN"/>
        </w:rPr>
        <w:t>指标值为</w:t>
      </w:r>
      <w:r>
        <w:rPr>
          <w:rFonts w:hint="eastAsia" w:ascii="仿宋" w:hAnsi="仿宋" w:eastAsia="仿宋" w:cs="仿宋"/>
          <w:i w:val="0"/>
          <w:iCs w:val="0"/>
          <w:color w:val="000000"/>
          <w:kern w:val="0"/>
          <w:sz w:val="30"/>
          <w:szCs w:val="30"/>
          <w:u w:val="none"/>
          <w:lang w:val="en-US" w:eastAsia="zh-CN" w:bidi="ar"/>
        </w:rPr>
        <w:t>0.3万亩</w:t>
      </w:r>
      <w:r>
        <w:rPr>
          <w:rFonts w:hint="eastAsia" w:ascii="仿宋" w:hAnsi="仿宋" w:eastAsia="仿宋" w:cs="仿宋"/>
          <w:b w:val="0"/>
          <w:bCs w:val="0"/>
          <w:sz w:val="30"/>
          <w:szCs w:val="30"/>
          <w:highlight w:val="none"/>
          <w:lang w:val="en-US" w:eastAsia="zh-CN"/>
        </w:rPr>
        <w:t>，根据其提交的竣工验收报告、监理单位出具的监理报告等文件以及与相关负责人的访谈工作，乡土草种基地建设</w:t>
      </w:r>
      <w:r>
        <w:rPr>
          <w:rFonts w:hint="eastAsia" w:ascii="仿宋" w:hAnsi="仿宋" w:eastAsia="仿宋" w:cs="仿宋"/>
          <w:i w:val="0"/>
          <w:iCs w:val="0"/>
          <w:color w:val="000000"/>
          <w:kern w:val="0"/>
          <w:sz w:val="30"/>
          <w:szCs w:val="30"/>
          <w:u w:val="none"/>
          <w:lang w:val="en-US" w:eastAsia="zh-CN" w:bidi="ar"/>
        </w:rPr>
        <w:t>合计0.3万亩</w:t>
      </w:r>
      <w:r>
        <w:rPr>
          <w:rFonts w:hint="eastAsia" w:ascii="仿宋" w:hAnsi="仿宋" w:eastAsia="仿宋" w:cs="仿宋"/>
          <w:b w:val="0"/>
          <w:bCs w:val="0"/>
          <w:sz w:val="30"/>
          <w:szCs w:val="30"/>
          <w:highlight w:val="none"/>
          <w:lang w:val="en-US" w:eastAsia="zh-CN"/>
        </w:rPr>
        <w:t>，乡土草种基地建设完成率为100%。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（4）</w:t>
      </w:r>
      <w:r>
        <w:rPr>
          <w:rFonts w:hint="eastAsia" w:ascii="仿宋" w:hAnsi="仿宋" w:eastAsia="仿宋" w:cs="仿宋"/>
          <w:i w:val="0"/>
          <w:iCs w:val="0"/>
          <w:color w:val="000000"/>
          <w:kern w:val="0"/>
          <w:sz w:val="30"/>
          <w:szCs w:val="30"/>
          <w:u w:val="none"/>
          <w:lang w:val="en-US" w:eastAsia="zh-CN" w:bidi="ar"/>
        </w:rPr>
        <w:t>草原鼠害防治</w:t>
      </w:r>
      <w:r>
        <w:rPr>
          <w:rFonts w:hint="eastAsia" w:ascii="仿宋" w:hAnsi="仿宋" w:eastAsia="仿宋" w:cs="仿宋"/>
          <w:b w:val="0"/>
          <w:bCs w:val="0"/>
          <w:sz w:val="30"/>
          <w:szCs w:val="30"/>
          <w:highlight w:val="none"/>
          <w:lang w:val="en-US" w:eastAsia="zh-CN"/>
        </w:rPr>
        <w:t>，权重2分，得分2分。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w:t>
      </w:r>
      <w:r>
        <w:rPr>
          <w:rFonts w:hint="eastAsia" w:ascii="仿宋" w:hAnsi="仿宋" w:eastAsia="仿宋" w:cs="仿宋"/>
          <w:i w:val="0"/>
          <w:iCs w:val="0"/>
          <w:color w:val="000000"/>
          <w:kern w:val="0"/>
          <w:sz w:val="30"/>
          <w:szCs w:val="30"/>
          <w:u w:val="none"/>
          <w:lang w:val="en-US" w:eastAsia="zh-CN" w:bidi="ar"/>
        </w:rPr>
        <w:t>草原鼠害防治</w:t>
      </w:r>
      <w:r>
        <w:rPr>
          <w:rFonts w:hint="eastAsia" w:ascii="仿宋" w:hAnsi="仿宋" w:eastAsia="仿宋" w:cs="仿宋"/>
          <w:b w:val="0"/>
          <w:bCs w:val="0"/>
          <w:sz w:val="30"/>
          <w:szCs w:val="30"/>
          <w:highlight w:val="none"/>
          <w:lang w:val="en-US" w:eastAsia="zh-CN"/>
        </w:rPr>
        <w:t>指标值为</w:t>
      </w:r>
      <w:r>
        <w:rPr>
          <w:rFonts w:hint="eastAsia" w:ascii="仿宋" w:hAnsi="仿宋" w:eastAsia="仿宋" w:cs="仿宋"/>
          <w:i w:val="0"/>
          <w:iCs w:val="0"/>
          <w:color w:val="000000"/>
          <w:kern w:val="0"/>
          <w:sz w:val="30"/>
          <w:szCs w:val="30"/>
          <w:u w:val="none"/>
          <w:lang w:val="en-US" w:eastAsia="zh-CN" w:bidi="ar"/>
        </w:rPr>
        <w:t>50万亩</w:t>
      </w:r>
      <w:r>
        <w:rPr>
          <w:rFonts w:hint="eastAsia" w:ascii="仿宋" w:hAnsi="仿宋" w:eastAsia="仿宋" w:cs="仿宋"/>
          <w:b w:val="0"/>
          <w:bCs w:val="0"/>
          <w:sz w:val="30"/>
          <w:szCs w:val="30"/>
          <w:highlight w:val="none"/>
          <w:lang w:val="en-US" w:eastAsia="zh-CN"/>
        </w:rPr>
        <w:t>，根据竣工验收报告、监理单位出具的监理报告等文件以及与相关负责人的访谈工作，本项目共</w:t>
      </w:r>
      <w:r>
        <w:rPr>
          <w:rFonts w:hint="eastAsia" w:ascii="仿宋" w:hAnsi="仿宋" w:eastAsia="仿宋" w:cs="仿宋"/>
          <w:i w:val="0"/>
          <w:iCs w:val="0"/>
          <w:color w:val="000000"/>
          <w:kern w:val="0"/>
          <w:sz w:val="30"/>
          <w:szCs w:val="30"/>
          <w:u w:val="none"/>
          <w:lang w:val="en-US" w:eastAsia="zh-CN" w:bidi="ar"/>
        </w:rPr>
        <w:t>草原鼠害防治50万亩</w:t>
      </w:r>
      <w:r>
        <w:rPr>
          <w:rFonts w:hint="eastAsia" w:ascii="仿宋" w:hAnsi="仿宋" w:eastAsia="仿宋" w:cs="仿宋"/>
          <w:b w:val="0"/>
          <w:bCs w:val="0"/>
          <w:sz w:val="30"/>
          <w:szCs w:val="30"/>
          <w:highlight w:val="none"/>
          <w:lang w:val="en-US" w:eastAsia="zh-CN"/>
        </w:rPr>
        <w:t>，</w:t>
      </w:r>
      <w:r>
        <w:rPr>
          <w:rFonts w:hint="eastAsia" w:ascii="仿宋" w:hAnsi="仿宋" w:eastAsia="仿宋" w:cs="仿宋"/>
          <w:i w:val="0"/>
          <w:iCs w:val="0"/>
          <w:color w:val="000000"/>
          <w:kern w:val="0"/>
          <w:sz w:val="30"/>
          <w:szCs w:val="30"/>
          <w:u w:val="none"/>
          <w:lang w:val="en-US" w:eastAsia="zh-CN" w:bidi="ar"/>
        </w:rPr>
        <w:t>草原鼠害防治</w:t>
      </w:r>
      <w:r>
        <w:rPr>
          <w:rFonts w:hint="eastAsia" w:ascii="仿宋" w:hAnsi="仿宋" w:eastAsia="仿宋" w:cs="仿宋"/>
          <w:b w:val="0"/>
          <w:bCs w:val="0"/>
          <w:sz w:val="30"/>
          <w:szCs w:val="30"/>
          <w:highlight w:val="none"/>
          <w:lang w:val="en-US" w:eastAsia="zh-CN"/>
        </w:rPr>
        <w:t>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（5）</w:t>
      </w:r>
      <w:r>
        <w:rPr>
          <w:rFonts w:hint="eastAsia" w:ascii="仿宋" w:hAnsi="仿宋" w:eastAsia="仿宋" w:cs="仿宋"/>
          <w:i w:val="0"/>
          <w:iCs w:val="0"/>
          <w:color w:val="000000"/>
          <w:kern w:val="0"/>
          <w:sz w:val="30"/>
          <w:szCs w:val="30"/>
          <w:u w:val="none"/>
          <w:lang w:val="en-US" w:eastAsia="zh-CN" w:bidi="ar"/>
        </w:rPr>
        <w:t>草原虫害防治</w:t>
      </w:r>
      <w:r>
        <w:rPr>
          <w:rFonts w:hint="eastAsia" w:ascii="仿宋" w:hAnsi="仿宋" w:eastAsia="仿宋" w:cs="仿宋"/>
          <w:b w:val="0"/>
          <w:bCs w:val="0"/>
          <w:sz w:val="30"/>
          <w:szCs w:val="30"/>
          <w:highlight w:val="none"/>
          <w:lang w:val="en-US" w:eastAsia="zh-CN"/>
        </w:rPr>
        <w:t>，权重2分，得分2分。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项目绩效目标申报表的产出指标中</w:t>
      </w:r>
      <w:r>
        <w:rPr>
          <w:rFonts w:hint="eastAsia" w:ascii="仿宋" w:hAnsi="仿宋" w:eastAsia="仿宋" w:cs="仿宋"/>
          <w:i w:val="0"/>
          <w:iCs w:val="0"/>
          <w:color w:val="000000"/>
          <w:kern w:val="0"/>
          <w:sz w:val="30"/>
          <w:szCs w:val="30"/>
          <w:u w:val="none"/>
          <w:lang w:val="en-US" w:eastAsia="zh-CN" w:bidi="ar"/>
        </w:rPr>
        <w:t>采购草原虫害防治</w:t>
      </w:r>
      <w:r>
        <w:rPr>
          <w:rFonts w:hint="eastAsia" w:ascii="仿宋" w:hAnsi="仿宋" w:eastAsia="仿宋" w:cs="仿宋"/>
          <w:b w:val="0"/>
          <w:bCs w:val="0"/>
          <w:sz w:val="30"/>
          <w:szCs w:val="30"/>
          <w:highlight w:val="none"/>
          <w:lang w:val="en-US" w:eastAsia="zh-CN"/>
        </w:rPr>
        <w:t>指标值为10万亩，根据其提交的竣工验收报告、监理单位出具的监理报告等文件以及与相关负责人的访谈工作，本项目竣工验收报告中</w:t>
      </w:r>
      <w:r>
        <w:rPr>
          <w:rFonts w:hint="eastAsia" w:ascii="仿宋" w:hAnsi="仿宋" w:eastAsia="仿宋" w:cs="仿宋"/>
          <w:i w:val="0"/>
          <w:iCs w:val="0"/>
          <w:color w:val="000000"/>
          <w:kern w:val="0"/>
          <w:sz w:val="30"/>
          <w:szCs w:val="30"/>
          <w:u w:val="none"/>
          <w:lang w:val="en-US" w:eastAsia="zh-CN" w:bidi="ar"/>
        </w:rPr>
        <w:t>草原虫害防治</w:t>
      </w:r>
      <w:r>
        <w:rPr>
          <w:rFonts w:hint="eastAsia" w:ascii="仿宋" w:hAnsi="仿宋" w:eastAsia="仿宋" w:cs="仿宋"/>
          <w:b w:val="0"/>
          <w:bCs w:val="0"/>
          <w:sz w:val="30"/>
          <w:szCs w:val="30"/>
          <w:highlight w:val="none"/>
          <w:lang w:val="en-US" w:eastAsia="zh-CN"/>
        </w:rPr>
        <w:t>完成10万亩，</w:t>
      </w:r>
      <w:r>
        <w:rPr>
          <w:rFonts w:hint="eastAsia" w:ascii="仿宋" w:hAnsi="仿宋" w:eastAsia="仿宋" w:cs="仿宋"/>
          <w:i w:val="0"/>
          <w:iCs w:val="0"/>
          <w:color w:val="000000"/>
          <w:kern w:val="0"/>
          <w:sz w:val="30"/>
          <w:szCs w:val="30"/>
          <w:u w:val="none"/>
          <w:lang w:val="en-US" w:eastAsia="zh-CN" w:bidi="ar"/>
        </w:rPr>
        <w:t>草原虫害防治</w:t>
      </w:r>
      <w:r>
        <w:rPr>
          <w:rFonts w:hint="eastAsia" w:ascii="仿宋" w:hAnsi="仿宋" w:eastAsia="仿宋" w:cs="仿宋"/>
          <w:b w:val="0"/>
          <w:bCs w:val="0"/>
          <w:sz w:val="30"/>
          <w:szCs w:val="30"/>
          <w:lang w:val="en-US" w:eastAsia="zh-CN"/>
        </w:rPr>
        <w:t>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（1）项目竣工验收达标率，权重5分，得分5分。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竣工验收达标率指标值为≥95%，依据项目单位、施工单位、设计单位、监理单位出具的竣工验收报告的结论列示：工程质量评定合格，验收结论为合格。项目竣工验收达标率≥95%，项目竣工验收达标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（2）项目设计方案变更率，权重5分，得分5分。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项目绩效目标申报表的质量指标中项目设计方案变更率指标值为≤5%，依据项目单位、施工单位、设计单位、监理单位</w:t>
      </w:r>
      <w:r>
        <w:rPr>
          <w:rFonts w:hint="eastAsia" w:ascii="仿宋" w:hAnsi="仿宋" w:eastAsia="仿宋" w:cs="仿宋"/>
          <w:sz w:val="30"/>
          <w:szCs w:val="30"/>
          <w:lang w:val="en-US" w:eastAsia="zh-CN"/>
        </w:rPr>
        <w:t>针对</w:t>
      </w:r>
      <w:r>
        <w:rPr>
          <w:rFonts w:hint="eastAsia" w:ascii="仿宋" w:hAnsi="仿宋" w:eastAsia="仿宋" w:cs="仿宋"/>
          <w:b w:val="0"/>
          <w:bCs w:val="0"/>
          <w:sz w:val="30"/>
          <w:szCs w:val="30"/>
          <w:highlight w:val="none"/>
          <w:lang w:val="en-US" w:eastAsia="zh-CN"/>
        </w:rPr>
        <w:t>本项目出具的竣工验收报告的结论列示项目已完成合同约定的施工内容，验收结论为合格。项目设计方案变更率≤5%，项目竣工验收达标率完成率为100%。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highlight w:val="none"/>
          <w:lang w:val="en-US" w:eastAsia="zh-CN"/>
        </w:rPr>
        <w:t>（1）工程按时开工</w:t>
      </w:r>
      <w:r>
        <w:rPr>
          <w:rFonts w:hint="eastAsia" w:ascii="仿宋" w:hAnsi="仿宋" w:eastAsia="仿宋" w:cs="仿宋"/>
          <w:sz w:val="30"/>
          <w:szCs w:val="30"/>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项目开工日期受资金下达时间影响、项目前期准备完成时间影响等，本项目事前绩效目标中计划开工日期为保守估计，实际开工日以资金下达时间为准，事前绩效目标为2022年4月29日，根据项目竣工验收资料及与项目单位相关人员了解，本项目实际已按预期时间进场开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lang w:val="en-US" w:eastAsia="zh-CN"/>
        </w:rPr>
        <w:t>（2）工程按时竣工验</w:t>
      </w:r>
      <w:r>
        <w:rPr>
          <w:rFonts w:hint="eastAsia" w:ascii="仿宋" w:hAnsi="仿宋" w:eastAsia="仿宋" w:cs="仿宋"/>
          <w:b w:val="0"/>
          <w:bCs w:val="0"/>
          <w:sz w:val="30"/>
          <w:szCs w:val="30"/>
          <w:highlight w:val="none"/>
          <w:lang w:val="en-US" w:eastAsia="zh-CN"/>
        </w:rPr>
        <w:t>收，权重5分，得分5分。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本项目绩效目标时效指标为2022年10月30日实现项目完工验收，在建设过程中由于施工进场人数多，气候条件较好，根据项目竣工验收报告，本项目于2022年9月完工。工程按时完工验收实现预期绩效目标。</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red"/>
          <w:lang w:val="en-US" w:eastAsia="zh-CN"/>
        </w:rPr>
      </w:pPr>
      <w:r>
        <w:rPr>
          <w:rFonts w:hint="default" w:ascii="仿宋" w:hAnsi="仿宋" w:eastAsia="仿宋" w:cs="仿宋"/>
          <w:b w:val="0"/>
          <w:bCs w:val="0"/>
          <w:sz w:val="30"/>
          <w:szCs w:val="30"/>
          <w:highlight w:val="none"/>
          <w:lang w:val="en-US" w:eastAsia="zh-CN"/>
        </w:rPr>
        <w:t>项目总投资成本</w:t>
      </w:r>
      <w:r>
        <w:rPr>
          <w:rFonts w:hint="eastAsia" w:ascii="仿宋" w:hAnsi="仿宋" w:eastAsia="仿宋" w:cs="仿宋"/>
          <w:b w:val="0"/>
          <w:bCs w:val="0"/>
          <w:sz w:val="30"/>
          <w:szCs w:val="30"/>
          <w:highlight w:val="none"/>
          <w:lang w:val="en-US" w:eastAsia="zh-CN"/>
        </w:rPr>
        <w:t>，权重10分，得分8分。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w:t>
      </w:r>
      <w:r>
        <w:rPr>
          <w:rFonts w:hint="default" w:ascii="仿宋" w:hAnsi="仿宋" w:eastAsia="仿宋" w:cs="仿宋"/>
          <w:b w:val="0"/>
          <w:bCs w:val="0"/>
          <w:sz w:val="30"/>
          <w:szCs w:val="30"/>
          <w:highlight w:val="none"/>
          <w:lang w:val="en-US" w:eastAsia="zh-CN"/>
        </w:rPr>
        <w:t>项目总投资≤2320万元</w:t>
      </w:r>
      <w:r>
        <w:rPr>
          <w:rFonts w:hint="eastAsia" w:ascii="仿宋" w:hAnsi="仿宋" w:eastAsia="仿宋" w:cs="仿宋"/>
          <w:b w:val="0"/>
          <w:bCs w:val="0"/>
          <w:sz w:val="30"/>
          <w:szCs w:val="30"/>
          <w:highlight w:val="none"/>
          <w:lang w:val="en-US" w:eastAsia="zh-CN"/>
        </w:rPr>
        <w:t>，阿坝县2021年中央财政林业草原生态保护恢复项目资金安排为2732.00万元。经调剂后收回163.28万元，实际预算为2568.72万元，评价组核查项目单位提供的项目预算批复、项目施工合同和项目会计核算资料，</w:t>
      </w:r>
      <w:r>
        <w:rPr>
          <w:rFonts w:hint="eastAsia" w:ascii="仿宋" w:hAnsi="仿宋" w:eastAsia="仿宋" w:cs="仿宋"/>
          <w:b w:val="0"/>
          <w:bCs w:val="0"/>
          <w:sz w:val="30"/>
          <w:szCs w:val="30"/>
          <w:lang w:val="en-US" w:eastAsia="zh-CN"/>
        </w:rPr>
        <w:t>本项目已支付2554.58万元。成本指标为</w:t>
      </w:r>
      <w:r>
        <w:rPr>
          <w:rFonts w:hint="default" w:ascii="仿宋" w:hAnsi="仿宋" w:eastAsia="仿宋" w:cs="仿宋"/>
          <w:b w:val="0"/>
          <w:bCs w:val="0"/>
          <w:sz w:val="30"/>
          <w:szCs w:val="30"/>
          <w:highlight w:val="none"/>
          <w:lang w:val="en-US" w:eastAsia="zh-CN"/>
        </w:rPr>
        <w:t>项目总投资≤2320万元</w:t>
      </w:r>
      <w:r>
        <w:rPr>
          <w:rFonts w:hint="eastAsia" w:ascii="仿宋" w:hAnsi="仿宋" w:eastAsia="仿宋" w:cs="仿宋"/>
          <w:b w:val="0"/>
          <w:bCs w:val="0"/>
          <w:sz w:val="30"/>
          <w:szCs w:val="30"/>
          <w:highlight w:val="none"/>
          <w:lang w:val="en-US" w:eastAsia="zh-CN"/>
        </w:rPr>
        <w:t>，预期成本指标未做到合理估算。</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1517"/>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得分20分。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①人工种草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根据对项目单位、施工单位相关负责人的访谈，以及通过走访问询当地牧民群众、实地查看的方式进行统计分析，了解到项目地区通过人工种草，项目建成后土地利用水平得到提高，牧草产量增加，实际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②带动当地就业</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根据本项目施工资料，经评价组查询本项目劳务用工资料，本项目劳务人员许多来自于当地群众，切实提高当地人民群众收入，产生劳务岗位超过50个。经济效益指标中带动当地就业实际已达成预期目标。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①</w:t>
      </w:r>
      <w:r>
        <w:rPr>
          <w:rFonts w:hint="eastAsia" w:ascii="仿宋" w:hAnsi="仿宋" w:eastAsia="仿宋" w:cs="仿宋"/>
          <w:b w:val="0"/>
          <w:bCs w:val="0"/>
          <w:sz w:val="30"/>
          <w:szCs w:val="30"/>
          <w:lang w:val="en-US" w:eastAsia="zh-CN"/>
        </w:rPr>
        <w:t>服务社会公众</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评价组通过调查走访，查阅相关资料，</w:t>
      </w:r>
      <w:r>
        <w:rPr>
          <w:rFonts w:hint="eastAsia" w:ascii="仿宋" w:hAnsi="仿宋" w:eastAsia="仿宋" w:cs="仿宋"/>
          <w:smallCaps w:val="0"/>
          <w:kern w:val="2"/>
          <w:sz w:val="30"/>
          <w:szCs w:val="30"/>
          <w:highlight w:val="none"/>
          <w:lang w:val="en-US" w:eastAsia="zh-CN" w:bidi="ar-SA"/>
        </w:rPr>
        <w:t>阿坝县2021年中央财政林业草原生态保护恢复项目</w:t>
      </w:r>
      <w:r>
        <w:rPr>
          <w:rFonts w:hint="eastAsia" w:ascii="仿宋" w:hAnsi="仿宋" w:eastAsia="仿宋" w:cs="仿宋"/>
          <w:b w:val="0"/>
          <w:bCs w:val="0"/>
          <w:sz w:val="30"/>
          <w:szCs w:val="30"/>
          <w:lang w:val="en-US" w:eastAsia="zh-CN"/>
        </w:rPr>
        <w:t>主要防护范围为</w:t>
      </w:r>
      <w:r>
        <w:rPr>
          <w:rFonts w:hint="eastAsia" w:ascii="仿宋" w:hAnsi="仿宋" w:eastAsia="仿宋" w:cs="仿宋"/>
          <w:smallCaps w:val="0"/>
          <w:kern w:val="2"/>
          <w:sz w:val="30"/>
          <w:szCs w:val="30"/>
          <w:highlight w:val="none"/>
          <w:lang w:val="en-US" w:eastAsia="zh-CN" w:bidi="ar-SA"/>
        </w:rPr>
        <w:t>当地草原地区及牧民</w:t>
      </w:r>
      <w:r>
        <w:rPr>
          <w:rFonts w:hint="eastAsia" w:ascii="仿宋" w:hAnsi="仿宋" w:eastAsia="仿宋" w:cs="仿宋"/>
          <w:b w:val="0"/>
          <w:bCs w:val="0"/>
          <w:sz w:val="30"/>
          <w:szCs w:val="30"/>
          <w:lang w:val="en-US" w:eastAsia="zh-CN"/>
        </w:rPr>
        <w:t>，项目的建设能够服务超0.3万人的牧民及游客群体，已达成预期绩效目标。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②保障农牧业生产覆盖面积</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评价组通过调查</w:t>
      </w:r>
      <w:r>
        <w:rPr>
          <w:rFonts w:hint="eastAsia" w:ascii="仿宋" w:hAnsi="仿宋" w:eastAsia="仿宋" w:cs="仿宋"/>
          <w:b w:val="0"/>
          <w:bCs w:val="0"/>
          <w:sz w:val="30"/>
          <w:szCs w:val="30"/>
          <w:lang w:val="en-US" w:eastAsia="zh-CN"/>
        </w:rPr>
        <w:t>走访，查阅相关资料，工程主要防护范围为目区域主要位于阿坝县贾洛乡、龙藏乡、四洼乡、各莫乡、麦尔玛镇、求吉玛乡。项目能够保护当地草原≥55000亩保障农牧业生产覆盖面积达成预期指标。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①人工种草面积</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项目人工种草面积</w:t>
      </w:r>
      <w:r>
        <w:rPr>
          <w:rFonts w:hint="eastAsia" w:ascii="仿宋" w:hAnsi="仿宋" w:eastAsia="仿宋" w:cs="仿宋"/>
          <w:b w:val="0"/>
          <w:bCs w:val="0"/>
          <w:sz w:val="30"/>
          <w:szCs w:val="30"/>
          <w:lang w:val="en-US" w:eastAsia="zh-CN"/>
        </w:rPr>
        <w:t>指标值为≥2万亩，根据项目验收报告及项目相关设计资料，实际已达成预期目标。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②天然草原改良</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草原生态修复指标值为≥4万亩，根据项目验收报告及项目相关设计资料，项目能有效进行天然草原改良，维护当地生物多样性，天然草原改良目标已达成预期目标值。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经评价组查阅相关设计资料，查阅本项目完工验收鉴定报告本项目运营期为10年，能</w:t>
      </w:r>
      <w:r>
        <w:rPr>
          <w:rFonts w:hint="eastAsia" w:ascii="仿宋" w:hAnsi="仿宋" w:eastAsia="仿宋" w:cs="仿宋"/>
          <w:b w:val="0"/>
          <w:bCs w:val="0"/>
          <w:sz w:val="30"/>
          <w:szCs w:val="30"/>
          <w:lang w:val="en-US" w:eastAsia="zh-CN"/>
        </w:rPr>
        <w:t>够持续影响项目地，绩效目标为持续服务社会群众≥25年，预估能够实现预期效益。</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5</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5</w:t>
      </w:r>
      <w:r>
        <w:rPr>
          <w:rFonts w:hint="default" w:ascii="仿宋" w:hAnsi="仿宋" w:eastAsia="仿宋" w:cs="仿宋"/>
          <w:b w:val="0"/>
          <w:bCs w:val="0"/>
          <w:sz w:val="30"/>
          <w:szCs w:val="30"/>
          <w:lang w:val="en-US" w:eastAsia="zh-CN"/>
        </w:rPr>
        <w:t>份、“比较满意”份、“满意”0份、“不满意”0份</w:t>
      </w:r>
      <w:r>
        <w:rPr>
          <w:rFonts w:hint="eastAsia" w:ascii="仿宋" w:hAnsi="仿宋" w:eastAsia="仿宋" w:cs="仿宋"/>
          <w:b w:val="0"/>
          <w:bCs w:val="0"/>
          <w:sz w:val="30"/>
          <w:szCs w:val="30"/>
          <w:lang w:val="en-US" w:eastAsia="zh-CN"/>
        </w:rPr>
        <w:t>。问询群众10人，均为非常满意。本项目区域辐射人群满意度指标值为90%，完成值为100%，已达成绩效目标值。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，问询两位财政局领导，均为非常满意，认为其达到项目预期目的，区域监管部门满意度指标值为90%，完成值为100%，已达成绩效目标值。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3654"/>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27" w:name="_Toc26046"/>
      <w:r>
        <w:rPr>
          <w:rFonts w:hint="eastAsia" w:ascii="楷体" w:hAnsi="楷体" w:eastAsia="楷体" w:cs="楷体"/>
          <w:sz w:val="30"/>
          <w:szCs w:val="30"/>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根据绩效评价小组查阅项目竣工验收资料、财务资料得出，本</w:t>
      </w:r>
      <w:r>
        <w:rPr>
          <w:rFonts w:hint="default" w:ascii="仿宋" w:hAnsi="仿宋" w:eastAsia="仿宋" w:cs="仿宋"/>
          <w:sz w:val="30"/>
          <w:szCs w:val="30"/>
          <w:lang w:val="en-US" w:eastAsia="zh-CN"/>
        </w:rPr>
        <w:t>项目完成情况较好。通过较规范的项目决策、</w:t>
      </w:r>
      <w:r>
        <w:rPr>
          <w:rFonts w:hint="eastAsia" w:ascii="仿宋" w:hAnsi="仿宋" w:eastAsia="仿宋" w:cs="仿宋"/>
          <w:sz w:val="30"/>
          <w:szCs w:val="30"/>
          <w:lang w:val="en-US" w:eastAsia="zh-CN"/>
        </w:rPr>
        <w:t>较好的项目产出和效益</w:t>
      </w:r>
      <w:r>
        <w:rPr>
          <w:rFonts w:hint="default" w:ascii="仿宋" w:hAnsi="仿宋" w:eastAsia="仿宋" w:cs="仿宋"/>
          <w:sz w:val="30"/>
          <w:szCs w:val="30"/>
          <w:lang w:val="en-US" w:eastAsia="zh-CN"/>
        </w:rPr>
        <w:t>，除</w:t>
      </w:r>
      <w:r>
        <w:rPr>
          <w:rFonts w:hint="eastAsia" w:ascii="仿宋" w:hAnsi="仿宋" w:eastAsia="仿宋" w:cs="仿宋"/>
          <w:sz w:val="30"/>
          <w:szCs w:val="30"/>
          <w:lang w:val="en-US" w:eastAsia="zh-CN"/>
        </w:rPr>
        <w:t>项目未制定相应财务管理制度、业务管理制度，项目预估总投入与项目实际预算投入不一致，未针对本项目制定可行性研究报告、成本指标设置不合理、原始凭证存在不规范现象外</w:t>
      </w:r>
      <w:r>
        <w:rPr>
          <w:rFonts w:hint="default" w:ascii="仿宋" w:hAnsi="仿宋" w:eastAsia="仿宋" w:cs="仿宋"/>
          <w:sz w:val="30"/>
          <w:szCs w:val="30"/>
          <w:lang w:val="en-US" w:eastAsia="zh-CN"/>
        </w:rPr>
        <w:t>，较好地完成了“</w:t>
      </w:r>
      <w:r>
        <w:rPr>
          <w:rFonts w:hint="eastAsia" w:ascii="仿宋" w:hAnsi="仿宋" w:eastAsia="仿宋" w:cs="仿宋"/>
          <w:sz w:val="30"/>
          <w:szCs w:val="30"/>
          <w:lang w:val="en-US" w:eastAsia="zh-CN"/>
        </w:rPr>
        <w:t>阿坝县2021年中央财政林业草原生态保护恢复项目</w:t>
      </w:r>
      <w:r>
        <w:rPr>
          <w:rFonts w:hint="default" w:ascii="仿宋" w:hAnsi="仿宋" w:eastAsia="仿宋" w:cs="仿宋"/>
          <w:sz w:val="30"/>
          <w:szCs w:val="30"/>
          <w:lang w:val="en-US" w:eastAsia="zh-CN"/>
        </w:rPr>
        <w:t>”。从验收和调研结果以及满意度调查结果分析，项目基本实现了立项时的绩效目标，项目实施后</w:t>
      </w:r>
      <w:r>
        <w:rPr>
          <w:rFonts w:hint="eastAsia" w:ascii="仿宋" w:hAnsi="仿宋" w:eastAsia="仿宋" w:cs="仿宋"/>
          <w:sz w:val="30"/>
          <w:szCs w:val="30"/>
          <w:lang w:val="en-US" w:eastAsia="zh-CN"/>
        </w:rPr>
        <w:t>能够对当地产生较好的生态影响</w:t>
      </w:r>
      <w:r>
        <w:rPr>
          <w:rFonts w:hint="default" w:ascii="仿宋" w:hAnsi="仿宋" w:eastAsia="仿宋" w:cs="仿宋"/>
          <w:sz w:val="30"/>
          <w:szCs w:val="30"/>
          <w:lang w:val="en-US" w:eastAsia="zh-CN"/>
        </w:rPr>
        <w:t>。</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28991"/>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lang w:val="en-US" w:eastAsia="zh-CN"/>
        </w:rPr>
      </w:pPr>
      <w:r>
        <w:rPr>
          <w:rFonts w:hint="eastAsia" w:ascii="仿宋" w:hAnsi="仿宋" w:eastAsia="仿宋" w:cs="仿宋"/>
          <w:sz w:val="30"/>
          <w:szCs w:val="30"/>
          <w:lang w:val="en-US" w:eastAsia="zh-CN"/>
        </w:rPr>
        <w:t>评价组</w:t>
      </w:r>
      <w:r>
        <w:rPr>
          <w:rFonts w:hint="eastAsia" w:ascii="仿宋" w:hAnsi="仿宋" w:eastAsia="仿宋" w:cs="仿宋"/>
          <w:color w:val="auto"/>
          <w:sz w:val="30"/>
          <w:szCs w:val="30"/>
          <w:lang w:val="en-US" w:eastAsia="zh-CN"/>
        </w:rPr>
        <w:t>运用针对本项目设计的评价指标体系及评分标准，通过基础数据采集并核实、问卷调查及访谈获取数据，评价组对阿坝县林业和草原局开展的阿坝县2021年中央财政林业草原生态保护恢复项目项目绩效进行独立客观评价，最终评分得分为92.97</w:t>
      </w:r>
      <w:r>
        <w:rPr>
          <w:rFonts w:hint="eastAsia" w:ascii="仿宋" w:hAnsi="仿宋" w:eastAsia="仿宋" w:cs="仿宋"/>
          <w:sz w:val="30"/>
          <w:szCs w:val="30"/>
          <w:lang w:val="en-US" w:eastAsia="zh-CN"/>
        </w:rPr>
        <w:t>分，属于“优”。具体得分情况如下表所示：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项目支出绩效评价总得分表</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18</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16.97</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84.85%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38</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92.97</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sz w:val="21"/>
                <w:szCs w:val="21"/>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92.97</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11951"/>
      <w:r>
        <w:rPr>
          <w:rFonts w:hint="eastAsia" w:ascii="黑体" w:hAnsi="黑体" w:eastAsia="黑体" w:cs="黑体"/>
          <w:b w:val="0"/>
          <w:bCs w:val="0"/>
          <w:sz w:val="30"/>
          <w:szCs w:val="30"/>
          <w:lang w:val="en-US" w:eastAsia="zh-CN"/>
        </w:rPr>
        <w:t>五、主要经验及做法、存在的问题及原因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21878"/>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该项目严格按照财政财力投资管理规定，按部就班有序推进立项、报建程序。在主管部门</w:t>
      </w:r>
      <w:r>
        <w:rPr>
          <w:rFonts w:hint="eastAsia" w:ascii="仿宋" w:hAnsi="仿宋" w:eastAsia="仿宋" w:cs="仿宋"/>
          <w:smallCaps w:val="0"/>
          <w:kern w:val="2"/>
          <w:sz w:val="30"/>
          <w:szCs w:val="30"/>
          <w:highlight w:val="none"/>
          <w:lang w:val="en-US" w:eastAsia="zh-CN" w:bidi="ar-SA"/>
        </w:rPr>
        <w:t>阿坝县林业和草原局</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该项目的管理组织架构较为完善：</w:t>
      </w:r>
      <w:r>
        <w:rPr>
          <w:rFonts w:hint="eastAsia" w:ascii="仿宋" w:hAnsi="仿宋" w:eastAsia="仿宋" w:cs="仿宋"/>
          <w:smallCaps w:val="0"/>
          <w:kern w:val="2"/>
          <w:sz w:val="30"/>
          <w:szCs w:val="30"/>
          <w:highlight w:val="none"/>
          <w:lang w:val="en-US" w:eastAsia="zh-CN" w:bidi="ar-SA"/>
        </w:rPr>
        <w:t>阿坝县林业和草原局</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阿坝县2021年中央财政林业草原生态保护恢复项目的</w:t>
      </w:r>
      <w:r>
        <w:rPr>
          <w:rFonts w:hint="eastAsia" w:ascii="仿宋" w:hAnsi="仿宋" w:eastAsia="仿宋" w:cs="仿宋"/>
          <w:b w:val="0"/>
          <w:bCs w:val="0"/>
          <w:sz w:val="30"/>
          <w:szCs w:val="30"/>
          <w:lang w:val="en-US" w:eastAsia="zh-CN"/>
        </w:rPr>
        <w:t>立项、实施过程管理，项目进度控制等工作。项目施工供应商通过公开招标流程选出。最终通过施工方、监理单位、项目单位、设计方等多方确认验收通过，项目实施有序，项目单位组织情况良好，项目取得良好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1803"/>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根据本项目批复文件列示，本项目成本指标为项目总投资≤2320万元，但阿坝县2021年中央财政林业草原生态保护恢复项目资金安排为2732.00万元。经调剂后收回163.28万元，实际预算为2568.72万元，评价组核查项目单位提供的项目预算批复、项目施工合同和项目会计核算资料，本项目已支付2554.58万元。成本指标为项目总投资≤2320万元，预期成本指标未做到合理估算，项目绩效目标表中成本指标设置不合理。</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2、本项目在当地属于投资额度较大的项目，项目单位未制定相关的业务、财务方面的保障制度和资金管理制度，项目建设过程中的组织管理和资金使用管理存在风险，未制定内部稽查制度和内部控制制度。</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经查阅项目财务资料，翻阅项目原始凭证，本项目原始凭证存在不规范现象，不符合相关规定，本项目多处资金拨付审批表为复印件，按照财务规定，资金拨付审批表为项目支出审批文件，在原始凭证中应存放原件。如项目2022年7月29日、2022年10月13日等日期及一份未标明日期（申请资金为396000元）的多份资金拨付审批表实际为复印件。</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4、未针对本项目制定可行性研究报告，项目已制定实施方案，但未制定可行性研究报告，就形式上缺少对项目建设的可行性、必要性等内容的充分论证。</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30460"/>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1、建议项目单位根据相关规定合</w:t>
      </w:r>
      <w:bookmarkStart w:id="42" w:name="_GoBack"/>
      <w:bookmarkEnd w:id="42"/>
      <w:r>
        <w:rPr>
          <w:rFonts w:hint="eastAsia" w:ascii="仿宋" w:hAnsi="仿宋" w:eastAsia="仿宋" w:cs="仿宋"/>
          <w:b w:val="0"/>
          <w:bCs w:val="0"/>
          <w:sz w:val="30"/>
          <w:szCs w:val="30"/>
          <w:lang w:val="en-US" w:eastAsia="zh-CN"/>
        </w:rPr>
        <w:t>理编制初步概算；编制设计方案时相关部门应开展充分的实地勘查及调研，深入了解项目建设及后期运营管理情况，充分考虑项目实施的必要性和可能存在的问题。在此基础上编制科学、合理的勘查、设计方案，尽量减少设计和施工变更在编制预算时，要紧密结合年度工作计划，细化工作任务和预算标准，加强预算编制及审核，确保预算执行进度，充分发挥财政资金效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本项目已编制可行性研究报告，且已取得阿坝县发展和改革局的批复，未编制可行性研究报告，缺少对项目内容的充分论证，建议项目单位针对类似项目编制实施方案，尤其类似施工地区位于高原，封冻期长，应合理安排施工计划，避免工期延误，影响预期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建议项目单位严格规范财务档案管理，加强原始凭证审核，严格遵守《会计基础工作规范》的规定，记账凭证必须附有原始凭证的原件作为记录经济活动的依据，原件遗失情况下应当附说明不应直接将复印件作为原始凭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建议项目单位开展类似项目时，根据项目具体建设内容，制定项目的业务管理制度，在项目的建设和运营过程中应根据相关规定，针对制定实施保障措施和资金保障措施，合理、节约使用资金，以便最大程度实现项目预期目标并保障工程质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30154"/>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14188"/>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31381"/>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4699"/>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31478"/>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30287"/>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22005"/>
      <w:bookmarkStart w:id="41" w:name="_Toc29569"/>
      <w:r>
        <w:rPr>
          <w:rFonts w:hint="eastAsia" w:ascii="楷体" w:hAnsi="楷体" w:eastAsia="楷体" w:cs="楷体"/>
          <w:b w:val="0"/>
          <w:bCs w:val="0"/>
          <w:sz w:val="30"/>
          <w:szCs w:val="30"/>
          <w:lang w:val="en-US" w:eastAsia="zh-CN"/>
        </w:rPr>
        <w:t>（三）评价依据目录</w:t>
      </w:r>
      <w:bookmarkEnd w:id="40"/>
      <w:bookmarkEnd w:id="41"/>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3"/>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2023年9月25日</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26"/>
        <w:gridCol w:w="660"/>
        <w:gridCol w:w="966"/>
        <w:gridCol w:w="3017"/>
        <w:gridCol w:w="1703"/>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5000" w:type="pct"/>
            <w:gridSpan w:val="6"/>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8"/>
                <w:szCs w:val="28"/>
                <w:u w:val="none"/>
                <w:lang w:val="en-US" w:eastAsia="zh-CN" w:bidi="ar"/>
              </w:rPr>
            </w:pPr>
            <w:r>
              <w:rPr>
                <w:rFonts w:hint="eastAsia" w:ascii="黑体" w:hAnsi="宋体" w:eastAsia="黑体" w:cs="黑体"/>
                <w:i w:val="0"/>
                <w:iCs w:val="0"/>
                <w:color w:val="000000"/>
                <w:kern w:val="0"/>
                <w:sz w:val="28"/>
                <w:szCs w:val="28"/>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1204" w:type="pct"/>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填报单位（盖章）</w:t>
            </w:r>
          </w:p>
        </w:tc>
        <w:tc>
          <w:tcPr>
            <w:tcW w:w="3795" w:type="pct"/>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阿坝县林业和草原局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1204" w:type="pct"/>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项目名称</w:t>
            </w:r>
          </w:p>
        </w:tc>
        <w:tc>
          <w:tcPr>
            <w:tcW w:w="3795" w:type="pct"/>
            <w:gridSpan w:val="3"/>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阿坝县2021年中央财政林业草原生态保护恢复项目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38" w:hRule="atLeast"/>
          <w:jc w:val="center"/>
        </w:trPr>
        <w:tc>
          <w:tcPr>
            <w:tcW w:w="250" w:type="pct"/>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0"/>
                <w:szCs w:val="20"/>
                <w:u w:val="none"/>
                <w:lang w:val="en-US" w:eastAsia="zh-CN" w:bidi="ar"/>
              </w:rPr>
            </w:pPr>
            <w:r>
              <w:rPr>
                <w:rFonts w:hint="eastAsia" w:ascii="黑体" w:hAnsi="宋体" w:eastAsia="黑体" w:cs="黑体"/>
                <w:i w:val="0"/>
                <w:iCs w:val="0"/>
                <w:color w:val="000000"/>
                <w:kern w:val="0"/>
                <w:sz w:val="20"/>
                <w:szCs w:val="20"/>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0"/>
                <w:szCs w:val="20"/>
                <w:u w:val="none"/>
                <w:lang w:val="en-US" w:eastAsia="zh-CN" w:bidi="ar"/>
              </w:rPr>
            </w:pPr>
            <w:r>
              <w:rPr>
                <w:rFonts w:hint="eastAsia" w:ascii="黑体" w:hAnsi="宋体" w:eastAsia="黑体" w:cs="黑体"/>
                <w:i w:val="0"/>
                <w:iCs w:val="0"/>
                <w:color w:val="000000"/>
                <w:kern w:val="0"/>
                <w:sz w:val="20"/>
                <w:szCs w:val="20"/>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0"/>
                <w:szCs w:val="20"/>
                <w:u w:val="none"/>
                <w:lang w:val="en-US" w:eastAsia="zh-CN" w:bidi="ar"/>
              </w:rPr>
            </w:pPr>
            <w:r>
              <w:rPr>
                <w:rFonts w:hint="eastAsia" w:ascii="黑体" w:hAnsi="宋体" w:eastAsia="黑体" w:cs="黑体"/>
                <w:i w:val="0"/>
                <w:iCs w:val="0"/>
                <w:color w:val="000000"/>
                <w:kern w:val="0"/>
                <w:sz w:val="20"/>
                <w:szCs w:val="20"/>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标</w:t>
            </w:r>
          </w:p>
        </w:tc>
        <w:tc>
          <w:tcPr>
            <w:tcW w:w="387" w:type="pct"/>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0"/>
                <w:szCs w:val="20"/>
                <w:u w:val="none"/>
                <w:lang w:val="en-US" w:eastAsia="zh-CN" w:bidi="ar"/>
              </w:rPr>
            </w:pPr>
            <w:r>
              <w:rPr>
                <w:rFonts w:hint="eastAsia" w:ascii="黑体" w:hAnsi="宋体" w:eastAsia="黑体" w:cs="黑体"/>
                <w:b/>
                <w:bCs/>
                <w:i w:val="0"/>
                <w:iCs w:val="0"/>
                <w:color w:val="000000"/>
                <w:kern w:val="0"/>
                <w:sz w:val="20"/>
                <w:szCs w:val="20"/>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0"/>
                <w:szCs w:val="20"/>
                <w:u w:val="none"/>
              </w:rPr>
            </w:pPr>
            <w:r>
              <w:rPr>
                <w:rFonts w:hint="eastAsia" w:ascii="黑体" w:hAnsi="宋体" w:eastAsia="黑体" w:cs="黑体"/>
                <w:b/>
                <w:bCs/>
                <w:i w:val="0"/>
                <w:iCs w:val="0"/>
                <w:color w:val="000000"/>
                <w:kern w:val="0"/>
                <w:sz w:val="20"/>
                <w:szCs w:val="20"/>
                <w:u w:val="none"/>
                <w:lang w:val="en-US" w:eastAsia="zh-CN" w:bidi="ar"/>
              </w:rPr>
              <w:t>指标</w:t>
            </w:r>
          </w:p>
        </w:tc>
        <w:tc>
          <w:tcPr>
            <w:tcW w:w="566" w:type="pct"/>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0"/>
                <w:szCs w:val="20"/>
                <w:u w:val="none"/>
              </w:rPr>
            </w:pPr>
            <w:r>
              <w:rPr>
                <w:rFonts w:hint="eastAsia" w:ascii="黑体" w:hAnsi="宋体" w:eastAsia="黑体" w:cs="黑体"/>
                <w:b/>
                <w:bCs/>
                <w:i w:val="0"/>
                <w:iCs w:val="0"/>
                <w:color w:val="000000"/>
                <w:kern w:val="0"/>
                <w:sz w:val="20"/>
                <w:szCs w:val="20"/>
                <w:u w:val="none"/>
                <w:lang w:val="en-US" w:eastAsia="zh-CN" w:bidi="ar"/>
              </w:rPr>
              <w:t>二级指标</w:t>
            </w:r>
          </w:p>
        </w:tc>
        <w:tc>
          <w:tcPr>
            <w:tcW w:w="1770" w:type="pct"/>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0"/>
                <w:szCs w:val="20"/>
                <w:u w:val="none"/>
              </w:rPr>
            </w:pPr>
            <w:r>
              <w:rPr>
                <w:rFonts w:hint="eastAsia" w:ascii="黑体" w:hAnsi="宋体" w:eastAsia="黑体" w:cs="黑体"/>
                <w:b/>
                <w:bCs/>
                <w:i w:val="0"/>
                <w:iCs w:val="0"/>
                <w:color w:val="000000"/>
                <w:kern w:val="0"/>
                <w:sz w:val="20"/>
                <w:szCs w:val="20"/>
                <w:u w:val="none"/>
                <w:lang w:val="en-US" w:eastAsia="zh-CN" w:bidi="ar"/>
              </w:rPr>
              <w:t>三级指标</w:t>
            </w:r>
          </w:p>
        </w:tc>
        <w:tc>
          <w:tcPr>
            <w:tcW w:w="999" w:type="pct"/>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0"/>
                <w:szCs w:val="20"/>
                <w:u w:val="none"/>
              </w:rPr>
            </w:pPr>
            <w:r>
              <w:rPr>
                <w:rFonts w:hint="eastAsia" w:ascii="黑体" w:hAnsi="宋体" w:eastAsia="黑体" w:cs="黑体"/>
                <w:b/>
                <w:bCs/>
                <w:i w:val="0"/>
                <w:iCs w:val="0"/>
                <w:color w:val="000000"/>
                <w:kern w:val="0"/>
                <w:sz w:val="20"/>
                <w:szCs w:val="20"/>
                <w:u w:val="none"/>
                <w:lang w:val="en-US" w:eastAsia="zh-CN" w:bidi="ar"/>
              </w:rPr>
              <w:t>指标值</w:t>
            </w:r>
          </w:p>
        </w:tc>
        <w:tc>
          <w:tcPr>
            <w:tcW w:w="1024" w:type="pct"/>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0"/>
                <w:szCs w:val="20"/>
                <w:u w:val="none"/>
                <w:lang w:val="en-US" w:eastAsia="zh-CN" w:bidi="ar"/>
              </w:rPr>
            </w:pPr>
            <w:r>
              <w:rPr>
                <w:rFonts w:hint="eastAsia" w:ascii="黑体" w:hAnsi="宋体" w:eastAsia="黑体" w:cs="黑体"/>
                <w:b/>
                <w:bCs/>
                <w:i w:val="0"/>
                <w:iCs w:val="0"/>
                <w:color w:val="000000"/>
                <w:kern w:val="0"/>
                <w:sz w:val="20"/>
                <w:szCs w:val="20"/>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38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w:t>
            </w:r>
          </w:p>
        </w:tc>
        <w:tc>
          <w:tcPr>
            <w:tcW w:w="566"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770"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指标1：人工种草生态修复</w:t>
            </w:r>
          </w:p>
        </w:tc>
        <w:tc>
          <w:tcPr>
            <w:tcW w:w="999"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2万亩</w:t>
            </w:r>
          </w:p>
        </w:tc>
        <w:tc>
          <w:tcPr>
            <w:tcW w:w="102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38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66"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770"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指标2：天然草原改良生态修复</w:t>
            </w:r>
          </w:p>
        </w:tc>
        <w:tc>
          <w:tcPr>
            <w:tcW w:w="999"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4万亩</w:t>
            </w:r>
          </w:p>
        </w:tc>
        <w:tc>
          <w:tcPr>
            <w:tcW w:w="102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38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66"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770"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指标3：乡土草种基地建设</w:t>
            </w:r>
          </w:p>
        </w:tc>
        <w:tc>
          <w:tcPr>
            <w:tcW w:w="999"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0.3万亩</w:t>
            </w:r>
          </w:p>
        </w:tc>
        <w:tc>
          <w:tcPr>
            <w:tcW w:w="102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0.3万亩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38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66"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770"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指标4：草原鼠害防治</w:t>
            </w:r>
          </w:p>
        </w:tc>
        <w:tc>
          <w:tcPr>
            <w:tcW w:w="999"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50万亩</w:t>
            </w:r>
          </w:p>
        </w:tc>
        <w:tc>
          <w:tcPr>
            <w:tcW w:w="102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50万亩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38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66"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770"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指标5：草原虫害防治</w:t>
            </w:r>
          </w:p>
        </w:tc>
        <w:tc>
          <w:tcPr>
            <w:tcW w:w="999"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10万亩</w:t>
            </w:r>
          </w:p>
        </w:tc>
        <w:tc>
          <w:tcPr>
            <w:tcW w:w="102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38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66"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770"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指标1：项目竣工验收达标率</w:t>
            </w:r>
          </w:p>
        </w:tc>
        <w:tc>
          <w:tcPr>
            <w:tcW w:w="999"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02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38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66"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770"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指标2：项目设计方案变更率</w:t>
            </w:r>
          </w:p>
        </w:tc>
        <w:tc>
          <w:tcPr>
            <w:tcW w:w="999"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2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38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66"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770"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指标1：工程按时开工</w:t>
            </w:r>
          </w:p>
        </w:tc>
        <w:tc>
          <w:tcPr>
            <w:tcW w:w="999"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2022年4月29日</w:t>
            </w:r>
          </w:p>
        </w:tc>
        <w:tc>
          <w:tcPr>
            <w:tcW w:w="102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2022年4月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38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66"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770"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指标2：工程按时竣工验收</w:t>
            </w:r>
          </w:p>
        </w:tc>
        <w:tc>
          <w:tcPr>
            <w:tcW w:w="999"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2022年9月27日</w:t>
            </w:r>
          </w:p>
        </w:tc>
        <w:tc>
          <w:tcPr>
            <w:tcW w:w="102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2022年9月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38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66"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770"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指标3：工程按时投入使用</w:t>
            </w:r>
          </w:p>
        </w:tc>
        <w:tc>
          <w:tcPr>
            <w:tcW w:w="999"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2022年9月28日</w:t>
            </w:r>
          </w:p>
        </w:tc>
        <w:tc>
          <w:tcPr>
            <w:tcW w:w="102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2022年9月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38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66"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770"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指标1：项目建设总投资成本</w:t>
            </w:r>
          </w:p>
        </w:tc>
        <w:tc>
          <w:tcPr>
            <w:tcW w:w="999"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≤2320万元</w:t>
            </w:r>
          </w:p>
        </w:tc>
        <w:tc>
          <w:tcPr>
            <w:tcW w:w="102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2732.00万元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38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66"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770"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指标2：工程费用</w:t>
            </w:r>
          </w:p>
        </w:tc>
        <w:tc>
          <w:tcPr>
            <w:tcW w:w="999"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≤2218.31万元</w:t>
            </w:r>
          </w:p>
        </w:tc>
        <w:tc>
          <w:tcPr>
            <w:tcW w:w="102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≤2218.31万元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38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66"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预算</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w:t>
            </w:r>
          </w:p>
        </w:tc>
        <w:tc>
          <w:tcPr>
            <w:tcW w:w="1770"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指标1：中央财政林业草原生态保护恢复资金支出</w:t>
            </w:r>
          </w:p>
        </w:tc>
        <w:tc>
          <w:tcPr>
            <w:tcW w:w="999" w:type="pct"/>
            <w:shd w:val="clear" w:color="auto" w:fill="auto"/>
            <w:vAlign w:val="center"/>
          </w:tcPr>
          <w:p>
            <w:pPr>
              <w:keepNext w:val="0"/>
              <w:keepLines w:val="0"/>
              <w:widowControl/>
              <w:suppressLineNumbers w:val="0"/>
              <w:ind w:firstLine="400" w:firstLineChars="20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2320万元</w:t>
            </w:r>
          </w:p>
        </w:tc>
        <w:tc>
          <w:tcPr>
            <w:tcW w:w="102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2554.58万元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387"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w:t>
            </w:r>
          </w:p>
        </w:tc>
        <w:tc>
          <w:tcPr>
            <w:tcW w:w="566"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770" w:type="pct"/>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指标1：人工种草</w:t>
            </w:r>
          </w:p>
        </w:tc>
        <w:tc>
          <w:tcPr>
            <w:tcW w:w="999"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≥2万亩</w:t>
            </w:r>
          </w:p>
        </w:tc>
        <w:tc>
          <w:tcPr>
            <w:tcW w:w="102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38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66"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770"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指标2：带动当地就业</w:t>
            </w:r>
          </w:p>
        </w:tc>
        <w:tc>
          <w:tcPr>
            <w:tcW w:w="999"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≥50个</w:t>
            </w:r>
          </w:p>
        </w:tc>
        <w:tc>
          <w:tcPr>
            <w:tcW w:w="102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38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66"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770"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指标1：服务社会公众</w:t>
            </w:r>
          </w:p>
        </w:tc>
        <w:tc>
          <w:tcPr>
            <w:tcW w:w="999"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≥0.3万人次/年</w:t>
            </w:r>
          </w:p>
        </w:tc>
        <w:tc>
          <w:tcPr>
            <w:tcW w:w="102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≥0.3万人次/年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38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66"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770"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指标2：保障农牧业生产覆盖面积</w:t>
            </w:r>
          </w:p>
        </w:tc>
        <w:tc>
          <w:tcPr>
            <w:tcW w:w="999"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≥项目地6个乡</w:t>
            </w:r>
          </w:p>
        </w:tc>
        <w:tc>
          <w:tcPr>
            <w:tcW w:w="102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≥项目地6个乡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38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66"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770"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指标1：人工种草面积</w:t>
            </w:r>
          </w:p>
        </w:tc>
        <w:tc>
          <w:tcPr>
            <w:tcW w:w="999"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≥2万亩</w:t>
            </w:r>
          </w:p>
        </w:tc>
        <w:tc>
          <w:tcPr>
            <w:tcW w:w="102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38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66" w:type="pct"/>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770"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指标2：天然草原改良</w:t>
            </w:r>
          </w:p>
        </w:tc>
        <w:tc>
          <w:tcPr>
            <w:tcW w:w="999"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≥4万亩</w:t>
            </w:r>
          </w:p>
        </w:tc>
        <w:tc>
          <w:tcPr>
            <w:tcW w:w="102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38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66"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770"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指标2：减少、防治鼠害</w:t>
            </w:r>
          </w:p>
        </w:tc>
        <w:tc>
          <w:tcPr>
            <w:tcW w:w="999"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50万亩</w:t>
            </w:r>
          </w:p>
        </w:tc>
        <w:tc>
          <w:tcPr>
            <w:tcW w:w="102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50万亩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38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66"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可持续影响指标</w:t>
            </w:r>
          </w:p>
        </w:tc>
        <w:tc>
          <w:tcPr>
            <w:tcW w:w="1770"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指标1：持续服务本地群众期限</w:t>
            </w:r>
          </w:p>
        </w:tc>
        <w:tc>
          <w:tcPr>
            <w:tcW w:w="999"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≥25年</w:t>
            </w:r>
          </w:p>
        </w:tc>
        <w:tc>
          <w:tcPr>
            <w:tcW w:w="102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38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66"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770"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指标2：项目运营期限</w:t>
            </w:r>
          </w:p>
        </w:tc>
        <w:tc>
          <w:tcPr>
            <w:tcW w:w="999"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≥10年</w:t>
            </w:r>
          </w:p>
        </w:tc>
        <w:tc>
          <w:tcPr>
            <w:tcW w:w="102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38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66" w:type="pct"/>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服务对象满意度指标</w:t>
            </w:r>
          </w:p>
        </w:tc>
        <w:tc>
          <w:tcPr>
            <w:tcW w:w="1770"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指标1：区域辐射人群满意度</w:t>
            </w:r>
          </w:p>
        </w:tc>
        <w:tc>
          <w:tcPr>
            <w:tcW w:w="999"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02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50" w:type="pct"/>
            <w:vMerge w:val="continue"/>
            <w:shd w:val="clear" w:color="auto" w:fill="auto"/>
            <w:vAlign w:val="center"/>
          </w:tcPr>
          <w:p>
            <w:pPr>
              <w:jc w:val="center"/>
              <w:rPr>
                <w:rFonts w:hint="eastAsia" w:ascii="黑体" w:hAnsi="宋体" w:eastAsia="黑体" w:cs="黑体"/>
                <w:i w:val="0"/>
                <w:iCs w:val="0"/>
                <w:color w:val="000000"/>
                <w:sz w:val="20"/>
                <w:szCs w:val="20"/>
                <w:u w:val="none"/>
              </w:rPr>
            </w:pPr>
          </w:p>
        </w:tc>
        <w:tc>
          <w:tcPr>
            <w:tcW w:w="387"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566" w:type="pct"/>
            <w:vMerge w:val="continue"/>
            <w:shd w:val="clear" w:color="auto" w:fill="auto"/>
            <w:vAlign w:val="center"/>
          </w:tcPr>
          <w:p>
            <w:pPr>
              <w:jc w:val="center"/>
              <w:rPr>
                <w:rFonts w:hint="eastAsia" w:ascii="宋体" w:hAnsi="宋体" w:eastAsia="宋体" w:cs="宋体"/>
                <w:i w:val="0"/>
                <w:iCs w:val="0"/>
                <w:color w:val="000000"/>
                <w:sz w:val="20"/>
                <w:szCs w:val="20"/>
                <w:u w:val="none"/>
              </w:rPr>
            </w:pPr>
          </w:p>
        </w:tc>
        <w:tc>
          <w:tcPr>
            <w:tcW w:w="1770" w:type="pct"/>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指标2：区域监管部门满意度</w:t>
            </w:r>
          </w:p>
        </w:tc>
        <w:tc>
          <w:tcPr>
            <w:tcW w:w="999"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024" w:type="pc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≥90%</w:t>
            </w:r>
          </w:p>
        </w:tc>
      </w:tr>
    </w:tbl>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p>
    <w:sectPr>
      <w:footerReference r:id="rId6"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DA533C"/>
    <w:rsid w:val="0C266DEB"/>
    <w:rsid w:val="0DD50C61"/>
    <w:rsid w:val="0FE6636B"/>
    <w:rsid w:val="10DD5867"/>
    <w:rsid w:val="18051F8B"/>
    <w:rsid w:val="19B72D46"/>
    <w:rsid w:val="1F8B59A1"/>
    <w:rsid w:val="20632F28"/>
    <w:rsid w:val="22343A73"/>
    <w:rsid w:val="26012FE8"/>
    <w:rsid w:val="28F42F92"/>
    <w:rsid w:val="2F9336D7"/>
    <w:rsid w:val="3042199C"/>
    <w:rsid w:val="327A2455"/>
    <w:rsid w:val="342104FD"/>
    <w:rsid w:val="3558674F"/>
    <w:rsid w:val="38A31D7D"/>
    <w:rsid w:val="390300B7"/>
    <w:rsid w:val="39D90CC7"/>
    <w:rsid w:val="39E94459"/>
    <w:rsid w:val="3A3B5BEB"/>
    <w:rsid w:val="3B8D2047"/>
    <w:rsid w:val="3C683A70"/>
    <w:rsid w:val="3DAC2446"/>
    <w:rsid w:val="3E565AE6"/>
    <w:rsid w:val="4515376D"/>
    <w:rsid w:val="467513C6"/>
    <w:rsid w:val="4D180A77"/>
    <w:rsid w:val="4FF97A1B"/>
    <w:rsid w:val="54E57286"/>
    <w:rsid w:val="55F5089E"/>
    <w:rsid w:val="65821E83"/>
    <w:rsid w:val="71B23794"/>
    <w:rsid w:val="73E2305F"/>
    <w:rsid w:val="74BC73A8"/>
    <w:rsid w:val="75213EC7"/>
    <w:rsid w:val="75C073B9"/>
    <w:rsid w:val="7DCD6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spacing w:line="324" w:lineRule="auto"/>
      <w:ind w:firstLine="504"/>
    </w:pPr>
    <w:rPr>
      <w:snapToGrid w:val="0"/>
      <w:spacing w:val="6"/>
      <w:kern w:val="28"/>
    </w:rPr>
  </w:style>
  <w:style w:type="paragraph" w:styleId="3">
    <w:name w:val="Body Text"/>
    <w:basedOn w:val="1"/>
    <w:qFormat/>
    <w:uiPriority w:val="0"/>
    <w:pPr>
      <w:spacing w:after="120" w:afterLines="0" w:afterAutospacing="0"/>
    </w:pPr>
  </w:style>
  <w:style w:type="paragraph" w:styleId="4">
    <w:name w:val="Body Text Indent 2"/>
    <w:basedOn w:val="1"/>
    <w:next w:val="1"/>
    <w:autoRedefine/>
    <w:qFormat/>
    <w:uiPriority w:val="0"/>
    <w:pPr>
      <w:spacing w:after="120" w:line="480" w:lineRule="auto"/>
      <w:ind w:left="420" w:left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able of figures"/>
    <w:basedOn w:val="1"/>
    <w:next w:val="1"/>
    <w:unhideWhenUsed/>
    <w:qFormat/>
    <w:uiPriority w:val="0"/>
    <w:pPr>
      <w:spacing w:line="360" w:lineRule="auto"/>
      <w:ind w:left="720" w:hanging="720"/>
    </w:pPr>
    <w:rPr>
      <w:rFonts w:eastAsia="黑体"/>
      <w:smallCaps/>
      <w:sz w:val="20"/>
    </w:rPr>
  </w:style>
  <w:style w:type="paragraph" w:styleId="9">
    <w:name w:val="toc 2"/>
    <w:basedOn w:val="1"/>
    <w:next w:val="1"/>
    <w:qFormat/>
    <w:uiPriority w:val="0"/>
    <w:pPr>
      <w:ind w:left="420" w:left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17395</Words>
  <Characters>18199</Characters>
  <Lines>0</Lines>
  <Paragraphs>0</Paragraphs>
  <TotalTime>2</TotalTime>
  <ScaleCrop>false</ScaleCrop>
  <LinksUpToDate>false</LinksUpToDate>
  <CharactersWithSpaces>18327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2023-04-05T07:58:00Z</dcterms:created>
  <dc:creator>城外风雨</dc:creator>
  <cp:lastModifiedBy>城外风雨</cp:lastModifiedBy>
  <dcterms:modified xsi:type="dcterms:W3CDTF">2024-01-09T07:01:39Z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02484781AB254DE0B3621FFAFEA866CE_13</vt:lpwstr>
  </property>
</Properties>
</file>