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center"/>
        <w:textAlignment w:val="auto"/>
        <w:rPr>
          <w:rFonts w:hint="eastAsia" w:ascii="黑体" w:hAnsi="黑体" w:eastAsia="黑体" w:cs="黑体"/>
          <w:sz w:val="44"/>
          <w:szCs w:val="44"/>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center"/>
        <w:textAlignment w:val="auto"/>
        <w:rPr>
          <w:rFonts w:hint="eastAsia" w:ascii="黑体" w:hAnsi="黑体" w:eastAsia="黑体" w:cs="黑体"/>
          <w:sz w:val="44"/>
          <w:szCs w:val="44"/>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center"/>
        <w:textAlignment w:val="auto"/>
        <w:rPr>
          <w:rFonts w:hint="eastAsia" w:ascii="黑体" w:hAnsi="黑体" w:eastAsia="黑体" w:cs="黑体"/>
          <w:sz w:val="44"/>
          <w:szCs w:val="44"/>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center"/>
        <w:textAlignment w:val="auto"/>
        <w:rPr>
          <w:rFonts w:hint="eastAsia" w:ascii="黑体" w:hAnsi="黑体" w:eastAsia="黑体" w:cs="黑体"/>
          <w:sz w:val="44"/>
          <w:szCs w:val="44"/>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center"/>
        <w:textAlignment w:val="auto"/>
        <w:outlineLvl w:val="9"/>
        <w:rPr>
          <w:rFonts w:hint="eastAsia" w:ascii="黑体" w:hAnsi="黑体" w:eastAsia="黑体" w:cs="黑体"/>
          <w:sz w:val="44"/>
          <w:szCs w:val="44"/>
          <w:lang w:val="en-US" w:eastAsia="zh-CN"/>
        </w:rPr>
      </w:pPr>
      <w:r>
        <w:rPr>
          <w:rFonts w:hint="eastAsia" w:ascii="黑体" w:hAnsi="黑体" w:eastAsia="黑体" w:cs="黑体"/>
          <w:sz w:val="44"/>
          <w:szCs w:val="44"/>
          <w:lang w:val="en-US" w:eastAsia="zh-CN"/>
        </w:rPr>
        <w:t>阿坝县民族宗教局健康饮茶“送茶入户”</w:t>
      </w:r>
    </w:p>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center"/>
        <w:textAlignment w:val="auto"/>
        <w:outlineLvl w:val="9"/>
        <w:rPr>
          <w:rFonts w:hint="default" w:ascii="黑体" w:hAnsi="黑体" w:eastAsia="黑体" w:cs="黑体"/>
          <w:sz w:val="44"/>
          <w:szCs w:val="44"/>
          <w:lang w:val="en-US" w:eastAsia="zh-CN"/>
        </w:rPr>
      </w:pPr>
      <w:r>
        <w:rPr>
          <w:rFonts w:hint="eastAsia" w:ascii="黑体" w:hAnsi="黑体" w:eastAsia="黑体" w:cs="黑体"/>
          <w:sz w:val="44"/>
          <w:szCs w:val="44"/>
          <w:lang w:val="en-US" w:eastAsia="zh-CN"/>
        </w:rPr>
        <w:t>采购项目</w:t>
      </w:r>
    </w:p>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center"/>
        <w:textAlignment w:val="auto"/>
        <w:rPr>
          <w:rFonts w:hint="eastAsia" w:ascii="黑体" w:hAnsi="黑体" w:eastAsia="黑体" w:cs="黑体"/>
          <w:sz w:val="48"/>
          <w:szCs w:val="48"/>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center"/>
        <w:textAlignment w:val="auto"/>
        <w:rPr>
          <w:rFonts w:hint="eastAsia" w:ascii="黑体" w:hAnsi="黑体" w:eastAsia="黑体" w:cs="黑体"/>
          <w:sz w:val="48"/>
          <w:szCs w:val="48"/>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center"/>
        <w:textAlignment w:val="auto"/>
        <w:rPr>
          <w:rFonts w:hint="default" w:ascii="黑体" w:hAnsi="黑体" w:eastAsia="黑体" w:cs="黑体"/>
          <w:sz w:val="44"/>
          <w:szCs w:val="44"/>
          <w:lang w:val="en-US" w:eastAsia="zh-CN"/>
        </w:rPr>
      </w:pPr>
      <w:r>
        <w:rPr>
          <w:rFonts w:hint="eastAsia" w:ascii="黑体" w:hAnsi="黑体" w:eastAsia="黑体" w:cs="黑体"/>
          <w:sz w:val="48"/>
          <w:szCs w:val="48"/>
          <w:lang w:val="en-US" w:eastAsia="zh-CN"/>
        </w:rPr>
        <w:t>财政项目支出绩效评价报告</w:t>
      </w:r>
    </w:p>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left"/>
        <w:textAlignment w:val="auto"/>
        <w:rPr>
          <w:rFonts w:hint="eastAsia" w:ascii="黑体" w:hAnsi="黑体" w:eastAsia="黑体" w:cs="黑体"/>
          <w:sz w:val="28"/>
          <w:szCs w:val="28"/>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left"/>
        <w:textAlignment w:val="auto"/>
        <w:rPr>
          <w:rFonts w:hint="eastAsia" w:ascii="黑体" w:hAnsi="黑体" w:eastAsia="黑体" w:cs="黑体"/>
          <w:sz w:val="28"/>
          <w:szCs w:val="28"/>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left"/>
        <w:textAlignment w:val="auto"/>
        <w:rPr>
          <w:rFonts w:hint="eastAsia" w:ascii="黑体" w:hAnsi="黑体" w:eastAsia="黑体" w:cs="黑体"/>
          <w:sz w:val="28"/>
          <w:szCs w:val="28"/>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left"/>
        <w:textAlignment w:val="auto"/>
        <w:rPr>
          <w:rFonts w:hint="eastAsia" w:ascii="黑体" w:hAnsi="黑体" w:eastAsia="黑体" w:cs="黑体"/>
          <w:sz w:val="28"/>
          <w:szCs w:val="28"/>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left"/>
        <w:textAlignment w:val="auto"/>
        <w:rPr>
          <w:rFonts w:hint="eastAsia" w:ascii="黑体" w:hAnsi="黑体" w:eastAsia="黑体" w:cs="黑体"/>
          <w:sz w:val="28"/>
          <w:szCs w:val="28"/>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left"/>
        <w:textAlignment w:val="auto"/>
        <w:rPr>
          <w:rFonts w:hint="eastAsia" w:ascii="黑体" w:hAnsi="黑体" w:eastAsia="黑体" w:cs="黑体"/>
          <w:sz w:val="28"/>
          <w:szCs w:val="28"/>
          <w:lang w:val="en-US" w:eastAsia="zh-CN"/>
        </w:rPr>
      </w:pPr>
      <w:r>
        <w:rPr>
          <w:sz w:val="28"/>
        </w:rPr>
        <mc:AlternateContent>
          <mc:Choice Requires="wps">
            <w:drawing>
              <wp:anchor distT="0" distB="0" distL="114300" distR="114300" simplePos="0" relativeHeight="251659264" behindDoc="0" locked="0" layoutInCell="1" allowOverlap="1">
                <wp:simplePos x="0" y="0"/>
                <wp:positionH relativeFrom="column">
                  <wp:posOffset>4518660</wp:posOffset>
                </wp:positionH>
                <wp:positionV relativeFrom="paragraph">
                  <wp:posOffset>354330</wp:posOffset>
                </wp:positionV>
                <wp:extent cx="914400" cy="1621790"/>
                <wp:effectExtent l="0" t="0" r="3175" b="8255"/>
                <wp:wrapNone/>
                <wp:docPr id="2" name="矩形 2"/>
                <wp:cNvGraphicFramePr/>
                <a:graphic xmlns:a="http://schemas.openxmlformats.org/drawingml/2006/main">
                  <a:graphicData uri="http://schemas.microsoft.com/office/word/2010/wordprocessingShape">
                    <wps:wsp>
                      <wps:cNvSpPr/>
                      <wps:spPr>
                        <a:xfrm>
                          <a:off x="5400040" y="5858510"/>
                          <a:ext cx="914400" cy="1621790"/>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355.8pt;margin-top:27.9pt;height:127.7pt;width:72pt;z-index:251659264;v-text-anchor:middle;mso-width-relative:page;mso-height-relative:page;" fillcolor="#FFFFFF [3212]" filled="t" stroked="f" coordsize="21600,21600" o:gfxdata="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">
                <v:fill on="t" focussize="0,0"/>
                <v:stroke on="f" weight="1pt" miterlimit="8" joinstyle="miter"/>
                <v:imagedata o:title=""/>
                <o:lock v:ext="edit" aspectratio="f"/>
              </v:rect>
            </w:pict>
          </mc:Fallback>
        </mc:AlternateContent>
      </w:r>
    </w:p>
    <w:p>
      <w:pPr>
        <w:keepNext w:val="0"/>
        <w:keepLines w:val="0"/>
        <w:pageBreakBefore w:val="0"/>
        <w:widowControl w:val="0"/>
        <w:kinsoku/>
        <w:wordWrap/>
        <w:overflowPunct/>
        <w:topLinePunct w:val="0"/>
        <w:autoSpaceDE/>
        <w:autoSpaceDN/>
        <w:bidi w:val="0"/>
        <w:adjustRightInd/>
        <w:snapToGrid/>
        <w:spacing w:line="360" w:lineRule="auto"/>
        <w:ind w:firstLine="900" w:firstLineChars="300"/>
        <w:jc w:val="left"/>
        <w:textAlignment w:val="auto"/>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项目单位：</w:t>
      </w:r>
      <w:r>
        <w:rPr>
          <w:rFonts w:hint="eastAsia" w:ascii="仿宋" w:hAnsi="仿宋" w:eastAsia="仿宋" w:cs="仿宋"/>
          <w:b w:val="0"/>
          <w:bCs w:val="0"/>
          <w:sz w:val="30"/>
          <w:szCs w:val="30"/>
          <w:u w:val="single"/>
          <w:lang w:val="en-US" w:eastAsia="zh-CN"/>
        </w:rPr>
        <w:t xml:space="preserve">阿坝县民族宗教局                </w:t>
      </w:r>
    </w:p>
    <w:p>
      <w:pPr>
        <w:keepNext w:val="0"/>
        <w:keepLines w:val="0"/>
        <w:pageBreakBefore w:val="0"/>
        <w:widowControl w:val="0"/>
        <w:kinsoku/>
        <w:wordWrap/>
        <w:overflowPunct/>
        <w:topLinePunct w:val="0"/>
        <w:autoSpaceDE/>
        <w:autoSpaceDN/>
        <w:bidi w:val="0"/>
        <w:adjustRightInd/>
        <w:snapToGrid/>
        <w:spacing w:line="360" w:lineRule="auto"/>
        <w:ind w:firstLine="900" w:firstLineChars="300"/>
        <w:jc w:val="left"/>
        <w:textAlignment w:val="auto"/>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主管单位：</w:t>
      </w:r>
      <w:r>
        <w:rPr>
          <w:rFonts w:hint="eastAsia" w:ascii="仿宋" w:hAnsi="仿宋" w:eastAsia="仿宋" w:cs="仿宋"/>
          <w:b w:val="0"/>
          <w:bCs w:val="0"/>
          <w:sz w:val="30"/>
          <w:szCs w:val="30"/>
          <w:u w:val="single"/>
          <w:lang w:val="en-US" w:eastAsia="zh-CN"/>
        </w:rPr>
        <w:t xml:space="preserve">阿坝县民族宗教局                </w:t>
      </w:r>
    </w:p>
    <w:p>
      <w:pPr>
        <w:keepNext w:val="0"/>
        <w:keepLines w:val="0"/>
        <w:pageBreakBefore w:val="0"/>
        <w:widowControl w:val="0"/>
        <w:kinsoku/>
        <w:wordWrap/>
        <w:overflowPunct/>
        <w:topLinePunct w:val="0"/>
        <w:autoSpaceDE/>
        <w:autoSpaceDN/>
        <w:bidi w:val="0"/>
        <w:adjustRightInd/>
        <w:snapToGrid/>
        <w:spacing w:line="360" w:lineRule="auto"/>
        <w:ind w:firstLine="900" w:firstLineChars="300"/>
        <w:jc w:val="left"/>
        <w:textAlignment w:val="auto"/>
        <w:rPr>
          <w:rFonts w:hint="eastAsia" w:ascii="仿宋" w:hAnsi="仿宋" w:eastAsia="仿宋" w:cs="仿宋"/>
          <w:b w:val="0"/>
          <w:bCs w:val="0"/>
          <w:sz w:val="30"/>
          <w:szCs w:val="30"/>
          <w:u w:val="single"/>
          <w:lang w:val="en-US" w:eastAsia="zh-CN"/>
        </w:rPr>
      </w:pPr>
      <w:r>
        <w:rPr>
          <w:rFonts w:hint="eastAsia" w:ascii="仿宋" w:hAnsi="仿宋" w:eastAsia="仿宋" w:cs="仿宋"/>
          <w:b w:val="0"/>
          <w:bCs w:val="0"/>
          <w:sz w:val="30"/>
          <w:szCs w:val="30"/>
          <w:lang w:val="en-US" w:eastAsia="zh-CN"/>
        </w:rPr>
        <w:t>评价机构：</w:t>
      </w:r>
      <w:r>
        <w:rPr>
          <w:rFonts w:hint="eastAsia" w:ascii="仿宋" w:hAnsi="仿宋" w:eastAsia="仿宋" w:cs="仿宋"/>
          <w:b w:val="0"/>
          <w:bCs w:val="0"/>
          <w:sz w:val="30"/>
          <w:szCs w:val="30"/>
          <w:u w:val="single"/>
          <w:lang w:val="en-US" w:eastAsia="zh-CN"/>
        </w:rPr>
        <w:t xml:space="preserve">成都青云致远工程咨询有限公司    </w:t>
      </w:r>
    </w:p>
    <w:p>
      <w:pPr>
        <w:keepNext w:val="0"/>
        <w:keepLines w:val="0"/>
        <w:pageBreakBefore w:val="0"/>
        <w:widowControl w:val="0"/>
        <w:kinsoku/>
        <w:wordWrap/>
        <w:overflowPunct/>
        <w:topLinePunct w:val="0"/>
        <w:autoSpaceDE/>
        <w:autoSpaceDN/>
        <w:bidi w:val="0"/>
        <w:adjustRightInd/>
        <w:snapToGrid/>
        <w:spacing w:line="360" w:lineRule="auto"/>
        <w:ind w:firstLine="900" w:firstLineChars="300"/>
        <w:jc w:val="left"/>
        <w:textAlignment w:val="auto"/>
        <w:rPr>
          <w:rFonts w:hint="eastAsia" w:ascii="仿宋" w:hAnsi="仿宋" w:eastAsia="仿宋" w:cs="仿宋"/>
          <w:b/>
          <w:bCs/>
          <w:sz w:val="30"/>
          <w:szCs w:val="30"/>
          <w:u w:val="single"/>
          <w:lang w:val="en-US" w:eastAsia="zh-CN"/>
        </w:rPr>
      </w:pPr>
      <w:r>
        <w:rPr>
          <w:rFonts w:hint="eastAsia" w:ascii="仿宋" w:hAnsi="仿宋" w:eastAsia="仿宋" w:cs="仿宋"/>
          <w:b w:val="0"/>
          <w:bCs w:val="0"/>
          <w:sz w:val="30"/>
          <w:szCs w:val="30"/>
          <w:lang w:val="en-US" w:eastAsia="zh-CN"/>
        </w:rPr>
        <w:t>日    期：</w:t>
      </w:r>
      <w:r>
        <w:rPr>
          <w:rFonts w:hint="eastAsia" w:ascii="仿宋" w:hAnsi="仿宋" w:eastAsia="仿宋" w:cs="仿宋"/>
          <w:b w:val="0"/>
          <w:bCs w:val="0"/>
          <w:sz w:val="30"/>
          <w:szCs w:val="30"/>
          <w:u w:val="single"/>
          <w:lang w:val="en-US" w:eastAsia="zh-CN"/>
        </w:rPr>
        <w:t>2023年11月</w:t>
      </w:r>
      <w:r>
        <w:rPr>
          <w:rFonts w:hint="eastAsia" w:ascii="仿宋" w:hAnsi="仿宋" w:eastAsia="仿宋" w:cs="仿宋"/>
          <w:b w:val="0"/>
          <w:bCs w:val="0"/>
          <w:sz w:val="30"/>
          <w:szCs w:val="30"/>
          <w:highlight w:val="none"/>
          <w:u w:val="single"/>
          <w:lang w:val="en-US" w:eastAsia="zh-CN"/>
        </w:rPr>
        <w:t>8</w:t>
      </w:r>
      <w:r>
        <w:rPr>
          <w:rFonts w:hint="eastAsia" w:ascii="仿宋" w:hAnsi="仿宋" w:eastAsia="仿宋" w:cs="仿宋"/>
          <w:b w:val="0"/>
          <w:bCs w:val="0"/>
          <w:sz w:val="30"/>
          <w:szCs w:val="30"/>
          <w:u w:val="single"/>
          <w:lang w:val="en-US" w:eastAsia="zh-CN"/>
        </w:rPr>
        <w:t xml:space="preserve">日                </w:t>
      </w:r>
      <w:r>
        <w:rPr>
          <w:rFonts w:hint="eastAsia" w:ascii="仿宋" w:hAnsi="仿宋" w:eastAsia="仿宋" w:cs="仿宋"/>
          <w:b/>
          <w:bCs/>
          <w:sz w:val="30"/>
          <w:szCs w:val="30"/>
          <w:u w:val="singl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left"/>
        <w:textAlignment w:val="auto"/>
        <w:rPr>
          <w:rFonts w:hint="eastAsia" w:ascii="黑体" w:hAnsi="黑体" w:eastAsia="黑体" w:cs="黑体"/>
          <w:sz w:val="28"/>
          <w:szCs w:val="28"/>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left"/>
        <w:textAlignment w:val="auto"/>
        <w:rPr>
          <w:rFonts w:hint="default" w:ascii="黑体" w:hAnsi="黑体" w:eastAsia="黑体" w:cs="黑体"/>
          <w:sz w:val="28"/>
          <w:szCs w:val="28"/>
          <w:lang w:val="en-US" w:eastAsia="zh-CN"/>
        </w:rPr>
        <w:sectPr>
          <w:headerReference r:id="rId3" w:type="default"/>
          <w:pgSz w:w="11906" w:h="16838"/>
          <w:pgMar w:top="1440" w:right="1800" w:bottom="1440" w:left="1800" w:header="851" w:footer="992" w:gutter="0"/>
          <w:cols w:space="425" w:num="1"/>
          <w:docGrid w:type="lines" w:linePitch="312" w:charSpace="0"/>
        </w:sectPr>
      </w:pPr>
    </w:p>
    <w:sdt>
      <w:sdtPr>
        <w:rPr>
          <w:rFonts w:ascii="宋体" w:hAnsi="宋体" w:eastAsia="宋体" w:cstheme="minorBidi"/>
          <w:kern w:val="2"/>
          <w:sz w:val="21"/>
          <w:szCs w:val="24"/>
          <w:lang w:val="en-US" w:eastAsia="zh-CN" w:bidi="ar-SA"/>
        </w:rPr>
        <w:id w:val="147476284"/>
        <w15:color w:val="DBDBDB"/>
        <w:docPartObj>
          <w:docPartGallery w:val="Table of Contents"/>
          <w:docPartUnique/>
        </w:docPartObj>
      </w:sdtPr>
      <w:sdtEndPr>
        <w:rPr>
          <w:rFonts w:hint="default" w:ascii="黑体" w:hAnsi="黑体" w:eastAsia="黑体" w:cs="黑体"/>
          <w:b/>
          <w:kern w:val="2"/>
          <w:sz w:val="21"/>
          <w:szCs w:val="28"/>
          <w:lang w:val="en-US" w:eastAsia="zh-CN" w:bidi="ar-SA"/>
        </w:rPr>
      </w:sdtEndPr>
      <w:sdtContent>
        <w:p>
          <w:pPr>
            <w:keepNext w:val="0"/>
            <w:keepLines w:val="0"/>
            <w:pageBreakBefore w:val="0"/>
            <w:kinsoku/>
            <w:wordWrap/>
            <w:overflowPunct/>
            <w:topLinePunct w:val="0"/>
            <w:autoSpaceDE/>
            <w:autoSpaceDN/>
            <w:bidi w:val="0"/>
            <w:adjustRightInd/>
            <w:snapToGrid/>
            <w:spacing w:before="0" w:after="0" w:line="400" w:lineRule="exact"/>
            <w:ind w:left="0" w:leftChars="0" w:right="0" w:rightChars="0" w:firstLine="0" w:firstLineChars="0"/>
            <w:jc w:val="center"/>
            <w:textAlignment w:val="auto"/>
            <w:rPr>
              <w:rFonts w:ascii="宋体" w:hAnsi="宋体" w:eastAsia="宋体" w:cstheme="minorBidi"/>
              <w:kern w:val="2"/>
              <w:sz w:val="21"/>
              <w:szCs w:val="24"/>
              <w:lang w:val="en-US" w:eastAsia="zh-CN" w:bidi="ar-SA"/>
            </w:rPr>
          </w:pPr>
        </w:p>
        <w:p>
          <w:pPr>
            <w:keepNext w:val="0"/>
            <w:keepLines w:val="0"/>
            <w:pageBreakBefore w:val="0"/>
            <w:kinsoku/>
            <w:wordWrap/>
            <w:overflowPunct/>
            <w:topLinePunct w:val="0"/>
            <w:autoSpaceDE/>
            <w:autoSpaceDN/>
            <w:bidi w:val="0"/>
            <w:adjustRightInd/>
            <w:snapToGrid/>
            <w:spacing w:before="0" w:after="0" w:line="400" w:lineRule="exact"/>
            <w:ind w:left="0" w:leftChars="0" w:right="0" w:rightChars="0" w:firstLine="0" w:firstLineChars="0"/>
            <w:jc w:val="center"/>
            <w:textAlignment w:val="auto"/>
            <w:rPr>
              <w:sz w:val="28"/>
              <w:szCs w:val="28"/>
            </w:rPr>
          </w:pPr>
          <w:r>
            <w:rPr>
              <w:rFonts w:hint="eastAsia" w:ascii="黑体" w:hAnsi="黑体" w:eastAsia="黑体" w:cs="黑体"/>
              <w:b/>
              <w:bCs w:val="0"/>
              <w:kern w:val="0"/>
              <w:sz w:val="28"/>
              <w:szCs w:val="28"/>
              <w:lang w:val="en-US" w:eastAsia="zh-CN"/>
            </w:rPr>
            <w:t>目  录</w:t>
          </w:r>
        </w:p>
        <w:p>
          <w:pPr>
            <w:pStyle w:val="7"/>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TOC \o "1-2" \h \u </w:instrText>
          </w:r>
          <w:r>
            <w:rPr>
              <w:rFonts w:hint="default" w:ascii="黑体" w:hAnsi="黑体" w:eastAsia="黑体" w:cs="黑体"/>
              <w:sz w:val="24"/>
              <w:szCs w:val="24"/>
              <w:lang w:val="en-US" w:eastAsia="zh-CN"/>
            </w:rPr>
            <w:fldChar w:fldCharType="separate"/>
          </w: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_Toc20996 </w:instrText>
          </w:r>
          <w:r>
            <w:rPr>
              <w:rFonts w:hint="default" w:ascii="黑体" w:hAnsi="黑体" w:eastAsia="黑体" w:cs="黑体"/>
              <w:sz w:val="24"/>
              <w:szCs w:val="24"/>
              <w:lang w:val="en-US" w:eastAsia="zh-CN"/>
            </w:rPr>
            <w:fldChar w:fldCharType="separate"/>
          </w:r>
          <w:r>
            <w:rPr>
              <w:rFonts w:hint="eastAsia" w:ascii="黑体" w:hAnsi="黑体" w:eastAsia="黑体" w:cs="黑体"/>
              <w:bCs w:val="0"/>
              <w:sz w:val="24"/>
              <w:szCs w:val="24"/>
              <w:lang w:val="en-US" w:eastAsia="zh-CN"/>
            </w:rPr>
            <w:t>摘要</w:t>
          </w:r>
          <w:r>
            <w:rPr>
              <w:sz w:val="24"/>
              <w:szCs w:val="24"/>
            </w:rPr>
            <w:tab/>
          </w:r>
          <w:r>
            <w:rPr>
              <w:sz w:val="24"/>
              <w:szCs w:val="24"/>
            </w:rPr>
            <w:fldChar w:fldCharType="begin"/>
          </w:r>
          <w:r>
            <w:rPr>
              <w:sz w:val="24"/>
              <w:szCs w:val="24"/>
            </w:rPr>
            <w:instrText xml:space="preserve"> PAGEREF _Toc20996 \h </w:instrText>
          </w:r>
          <w:r>
            <w:rPr>
              <w:sz w:val="24"/>
              <w:szCs w:val="24"/>
            </w:rPr>
            <w:fldChar w:fldCharType="separate"/>
          </w:r>
          <w:r>
            <w:rPr>
              <w:sz w:val="24"/>
              <w:szCs w:val="24"/>
            </w:rPr>
            <w:t>1</w:t>
          </w:r>
          <w:r>
            <w:rPr>
              <w:sz w:val="24"/>
              <w:szCs w:val="24"/>
            </w:rPr>
            <w:fldChar w:fldCharType="end"/>
          </w:r>
          <w:r>
            <w:rPr>
              <w:rFonts w:hint="default" w:ascii="黑体" w:hAnsi="黑体" w:eastAsia="黑体" w:cs="黑体"/>
              <w:sz w:val="24"/>
              <w:szCs w:val="24"/>
              <w:lang w:val="en-US" w:eastAsia="zh-CN"/>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_Toc18594 </w:instrText>
          </w:r>
          <w:r>
            <w:rPr>
              <w:rFonts w:hint="default" w:ascii="黑体" w:hAnsi="黑体" w:eastAsia="黑体" w:cs="黑体"/>
              <w:sz w:val="24"/>
              <w:szCs w:val="24"/>
              <w:lang w:val="en-US" w:eastAsia="zh-CN"/>
            </w:rPr>
            <w:fldChar w:fldCharType="separate"/>
          </w:r>
          <w:r>
            <w:rPr>
              <w:rFonts w:hint="eastAsia" w:ascii="黑体" w:hAnsi="黑体" w:eastAsia="黑体" w:cs="黑体"/>
              <w:bCs w:val="0"/>
              <w:sz w:val="24"/>
              <w:szCs w:val="24"/>
              <w:lang w:val="en-US" w:eastAsia="zh-CN"/>
            </w:rPr>
            <w:t>一、项目基本情况</w:t>
          </w:r>
          <w:r>
            <w:rPr>
              <w:sz w:val="24"/>
              <w:szCs w:val="24"/>
            </w:rPr>
            <w:tab/>
          </w:r>
          <w:r>
            <w:rPr>
              <w:sz w:val="24"/>
              <w:szCs w:val="24"/>
            </w:rPr>
            <w:fldChar w:fldCharType="begin"/>
          </w:r>
          <w:r>
            <w:rPr>
              <w:sz w:val="24"/>
              <w:szCs w:val="24"/>
            </w:rPr>
            <w:instrText xml:space="preserve"> PAGEREF _Toc18594 \h </w:instrText>
          </w:r>
          <w:r>
            <w:rPr>
              <w:sz w:val="24"/>
              <w:szCs w:val="24"/>
            </w:rPr>
            <w:fldChar w:fldCharType="separate"/>
          </w:r>
          <w:r>
            <w:rPr>
              <w:sz w:val="24"/>
              <w:szCs w:val="24"/>
            </w:rPr>
            <w:t>2</w:t>
          </w:r>
          <w:r>
            <w:rPr>
              <w:sz w:val="24"/>
              <w:szCs w:val="24"/>
            </w:rPr>
            <w:fldChar w:fldCharType="end"/>
          </w:r>
          <w:r>
            <w:rPr>
              <w:rFonts w:hint="default" w:ascii="黑体" w:hAnsi="黑体" w:eastAsia="黑体" w:cs="黑体"/>
              <w:sz w:val="24"/>
              <w:szCs w:val="24"/>
              <w:lang w:val="en-US" w:eastAsia="zh-CN"/>
            </w:rPr>
            <w:fldChar w:fldCharType="end"/>
          </w:r>
        </w:p>
        <w:p>
          <w:pPr>
            <w:pStyle w:val="9"/>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_Toc13225 </w:instrText>
          </w:r>
          <w:r>
            <w:rPr>
              <w:rFonts w:hint="default" w:ascii="黑体" w:hAnsi="黑体" w:eastAsia="黑体" w:cs="黑体"/>
              <w:sz w:val="24"/>
              <w:szCs w:val="24"/>
              <w:lang w:val="en-US" w:eastAsia="zh-CN"/>
            </w:rPr>
            <w:fldChar w:fldCharType="separate"/>
          </w:r>
          <w:r>
            <w:rPr>
              <w:rFonts w:hint="eastAsia" w:ascii="楷体" w:hAnsi="楷体" w:eastAsia="楷体" w:cs="楷体"/>
              <w:bCs w:val="0"/>
              <w:sz w:val="24"/>
              <w:szCs w:val="24"/>
              <w:lang w:val="en-US" w:eastAsia="zh-CN"/>
            </w:rPr>
            <w:t>（一）项目概况</w:t>
          </w:r>
          <w:r>
            <w:rPr>
              <w:sz w:val="24"/>
              <w:szCs w:val="24"/>
            </w:rPr>
            <w:tab/>
          </w:r>
          <w:r>
            <w:rPr>
              <w:sz w:val="24"/>
              <w:szCs w:val="24"/>
            </w:rPr>
            <w:fldChar w:fldCharType="begin"/>
          </w:r>
          <w:r>
            <w:rPr>
              <w:sz w:val="24"/>
              <w:szCs w:val="24"/>
            </w:rPr>
            <w:instrText xml:space="preserve"> PAGEREF _Toc13225 \h </w:instrText>
          </w:r>
          <w:r>
            <w:rPr>
              <w:sz w:val="24"/>
              <w:szCs w:val="24"/>
            </w:rPr>
            <w:fldChar w:fldCharType="separate"/>
          </w:r>
          <w:r>
            <w:rPr>
              <w:sz w:val="24"/>
              <w:szCs w:val="24"/>
            </w:rPr>
            <w:t>2</w:t>
          </w:r>
          <w:r>
            <w:rPr>
              <w:sz w:val="24"/>
              <w:szCs w:val="24"/>
            </w:rPr>
            <w:fldChar w:fldCharType="end"/>
          </w:r>
          <w:r>
            <w:rPr>
              <w:rFonts w:hint="default" w:ascii="黑体" w:hAnsi="黑体" w:eastAsia="黑体" w:cs="黑体"/>
              <w:sz w:val="24"/>
              <w:szCs w:val="24"/>
              <w:lang w:val="en-US" w:eastAsia="zh-CN"/>
            </w:rPr>
            <w:fldChar w:fldCharType="end"/>
          </w:r>
        </w:p>
        <w:p>
          <w:pPr>
            <w:pStyle w:val="9"/>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_Toc1509 </w:instrText>
          </w:r>
          <w:r>
            <w:rPr>
              <w:rFonts w:hint="default" w:ascii="黑体" w:hAnsi="黑体" w:eastAsia="黑体" w:cs="黑体"/>
              <w:sz w:val="24"/>
              <w:szCs w:val="24"/>
              <w:lang w:val="en-US" w:eastAsia="zh-CN"/>
            </w:rPr>
            <w:fldChar w:fldCharType="separate"/>
          </w:r>
          <w:r>
            <w:rPr>
              <w:rFonts w:hint="eastAsia" w:ascii="楷体" w:hAnsi="楷体" w:eastAsia="楷体" w:cs="楷体"/>
              <w:bCs w:val="0"/>
              <w:sz w:val="24"/>
              <w:szCs w:val="24"/>
              <w:lang w:val="en-US" w:eastAsia="zh-CN"/>
            </w:rPr>
            <w:t>（二）项目绩效目标</w:t>
          </w:r>
          <w:r>
            <w:rPr>
              <w:sz w:val="24"/>
              <w:szCs w:val="24"/>
            </w:rPr>
            <w:tab/>
          </w:r>
          <w:r>
            <w:rPr>
              <w:sz w:val="24"/>
              <w:szCs w:val="24"/>
            </w:rPr>
            <w:fldChar w:fldCharType="begin"/>
          </w:r>
          <w:r>
            <w:rPr>
              <w:sz w:val="24"/>
              <w:szCs w:val="24"/>
            </w:rPr>
            <w:instrText xml:space="preserve"> PAGEREF _Toc1509 \h </w:instrText>
          </w:r>
          <w:r>
            <w:rPr>
              <w:sz w:val="24"/>
              <w:szCs w:val="24"/>
            </w:rPr>
            <w:fldChar w:fldCharType="separate"/>
          </w:r>
          <w:r>
            <w:rPr>
              <w:sz w:val="24"/>
              <w:szCs w:val="24"/>
            </w:rPr>
            <w:t>5</w:t>
          </w:r>
          <w:r>
            <w:rPr>
              <w:sz w:val="24"/>
              <w:szCs w:val="24"/>
            </w:rPr>
            <w:fldChar w:fldCharType="end"/>
          </w:r>
          <w:r>
            <w:rPr>
              <w:rFonts w:hint="default" w:ascii="黑体" w:hAnsi="黑体" w:eastAsia="黑体" w:cs="黑体"/>
              <w:sz w:val="24"/>
              <w:szCs w:val="24"/>
              <w:lang w:val="en-US" w:eastAsia="zh-CN"/>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_Toc5481 </w:instrText>
          </w:r>
          <w:r>
            <w:rPr>
              <w:rFonts w:hint="default" w:ascii="黑体" w:hAnsi="黑体" w:eastAsia="黑体" w:cs="黑体"/>
              <w:sz w:val="24"/>
              <w:szCs w:val="24"/>
              <w:lang w:val="en-US" w:eastAsia="zh-CN"/>
            </w:rPr>
            <w:fldChar w:fldCharType="separate"/>
          </w:r>
          <w:r>
            <w:rPr>
              <w:rFonts w:hint="eastAsia" w:ascii="黑体" w:hAnsi="黑体" w:eastAsia="黑体" w:cs="黑体"/>
              <w:bCs w:val="0"/>
              <w:sz w:val="24"/>
              <w:szCs w:val="24"/>
              <w:lang w:val="en-US" w:eastAsia="zh-CN"/>
            </w:rPr>
            <w:t>二、绩效评价工作开展情况</w:t>
          </w:r>
          <w:r>
            <w:rPr>
              <w:sz w:val="24"/>
              <w:szCs w:val="24"/>
            </w:rPr>
            <w:tab/>
          </w:r>
          <w:r>
            <w:rPr>
              <w:sz w:val="24"/>
              <w:szCs w:val="24"/>
            </w:rPr>
            <w:fldChar w:fldCharType="begin"/>
          </w:r>
          <w:r>
            <w:rPr>
              <w:sz w:val="24"/>
              <w:szCs w:val="24"/>
            </w:rPr>
            <w:instrText xml:space="preserve"> PAGEREF _Toc5481 \h </w:instrText>
          </w:r>
          <w:r>
            <w:rPr>
              <w:sz w:val="24"/>
              <w:szCs w:val="24"/>
            </w:rPr>
            <w:fldChar w:fldCharType="separate"/>
          </w:r>
          <w:r>
            <w:rPr>
              <w:sz w:val="24"/>
              <w:szCs w:val="24"/>
            </w:rPr>
            <w:t>6</w:t>
          </w:r>
          <w:r>
            <w:rPr>
              <w:sz w:val="24"/>
              <w:szCs w:val="24"/>
            </w:rPr>
            <w:fldChar w:fldCharType="end"/>
          </w:r>
          <w:r>
            <w:rPr>
              <w:rFonts w:hint="default" w:ascii="黑体" w:hAnsi="黑体" w:eastAsia="黑体" w:cs="黑体"/>
              <w:sz w:val="24"/>
              <w:szCs w:val="24"/>
              <w:lang w:val="en-US" w:eastAsia="zh-CN"/>
            </w:rPr>
            <w:fldChar w:fldCharType="end"/>
          </w:r>
        </w:p>
        <w:p>
          <w:pPr>
            <w:pStyle w:val="9"/>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_Toc21412 </w:instrText>
          </w:r>
          <w:r>
            <w:rPr>
              <w:rFonts w:hint="default" w:ascii="黑体" w:hAnsi="黑体" w:eastAsia="黑体" w:cs="黑体"/>
              <w:sz w:val="24"/>
              <w:szCs w:val="24"/>
              <w:lang w:val="en-US" w:eastAsia="zh-CN"/>
            </w:rPr>
            <w:fldChar w:fldCharType="separate"/>
          </w:r>
          <w:r>
            <w:rPr>
              <w:rFonts w:hint="eastAsia" w:ascii="楷体" w:hAnsi="楷体" w:eastAsia="楷体" w:cs="楷体"/>
              <w:bCs w:val="0"/>
              <w:sz w:val="24"/>
              <w:szCs w:val="24"/>
              <w:lang w:val="en-US" w:eastAsia="zh-CN"/>
            </w:rPr>
            <w:t>（一）评价目的、依据、对象、范围</w:t>
          </w:r>
          <w:r>
            <w:rPr>
              <w:sz w:val="24"/>
              <w:szCs w:val="24"/>
            </w:rPr>
            <w:tab/>
          </w:r>
          <w:r>
            <w:rPr>
              <w:sz w:val="24"/>
              <w:szCs w:val="24"/>
            </w:rPr>
            <w:fldChar w:fldCharType="begin"/>
          </w:r>
          <w:r>
            <w:rPr>
              <w:sz w:val="24"/>
              <w:szCs w:val="24"/>
            </w:rPr>
            <w:instrText xml:space="preserve"> PAGEREF _Toc21412 \h </w:instrText>
          </w:r>
          <w:r>
            <w:rPr>
              <w:sz w:val="24"/>
              <w:szCs w:val="24"/>
            </w:rPr>
            <w:fldChar w:fldCharType="separate"/>
          </w:r>
          <w:r>
            <w:rPr>
              <w:sz w:val="24"/>
              <w:szCs w:val="24"/>
            </w:rPr>
            <w:t>6</w:t>
          </w:r>
          <w:r>
            <w:rPr>
              <w:sz w:val="24"/>
              <w:szCs w:val="24"/>
            </w:rPr>
            <w:fldChar w:fldCharType="end"/>
          </w:r>
          <w:r>
            <w:rPr>
              <w:rFonts w:hint="default" w:ascii="黑体" w:hAnsi="黑体" w:eastAsia="黑体" w:cs="黑体"/>
              <w:sz w:val="24"/>
              <w:szCs w:val="24"/>
              <w:lang w:val="en-US" w:eastAsia="zh-CN"/>
            </w:rPr>
            <w:fldChar w:fldCharType="end"/>
          </w:r>
        </w:p>
        <w:p>
          <w:pPr>
            <w:pStyle w:val="9"/>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_Toc5204 </w:instrText>
          </w:r>
          <w:r>
            <w:rPr>
              <w:rFonts w:hint="default" w:ascii="黑体" w:hAnsi="黑体" w:eastAsia="黑体" w:cs="黑体"/>
              <w:sz w:val="24"/>
              <w:szCs w:val="24"/>
              <w:lang w:val="en-US" w:eastAsia="zh-CN"/>
            </w:rPr>
            <w:fldChar w:fldCharType="separate"/>
          </w:r>
          <w:r>
            <w:rPr>
              <w:rFonts w:hint="eastAsia" w:ascii="楷体" w:hAnsi="楷体" w:eastAsia="楷体" w:cs="楷体"/>
              <w:bCs w:val="0"/>
              <w:sz w:val="24"/>
              <w:szCs w:val="24"/>
              <w:lang w:val="en-US" w:eastAsia="zh-CN"/>
            </w:rPr>
            <w:t>（二）绩效评价原则、评价指标体系、评价方法、评价标准</w:t>
          </w:r>
          <w:r>
            <w:rPr>
              <w:sz w:val="24"/>
              <w:szCs w:val="24"/>
            </w:rPr>
            <w:tab/>
          </w:r>
          <w:r>
            <w:rPr>
              <w:sz w:val="24"/>
              <w:szCs w:val="24"/>
            </w:rPr>
            <w:fldChar w:fldCharType="begin"/>
          </w:r>
          <w:r>
            <w:rPr>
              <w:sz w:val="24"/>
              <w:szCs w:val="24"/>
            </w:rPr>
            <w:instrText xml:space="preserve"> PAGEREF _Toc5204 \h </w:instrText>
          </w:r>
          <w:r>
            <w:rPr>
              <w:sz w:val="24"/>
              <w:szCs w:val="24"/>
            </w:rPr>
            <w:fldChar w:fldCharType="separate"/>
          </w:r>
          <w:r>
            <w:rPr>
              <w:sz w:val="24"/>
              <w:szCs w:val="24"/>
            </w:rPr>
            <w:t>7</w:t>
          </w:r>
          <w:r>
            <w:rPr>
              <w:sz w:val="24"/>
              <w:szCs w:val="24"/>
            </w:rPr>
            <w:fldChar w:fldCharType="end"/>
          </w:r>
          <w:r>
            <w:rPr>
              <w:rFonts w:hint="default" w:ascii="黑体" w:hAnsi="黑体" w:eastAsia="黑体" w:cs="黑体"/>
              <w:sz w:val="24"/>
              <w:szCs w:val="24"/>
              <w:lang w:val="en-US" w:eastAsia="zh-CN"/>
            </w:rPr>
            <w:fldChar w:fldCharType="end"/>
          </w:r>
        </w:p>
        <w:p>
          <w:pPr>
            <w:pStyle w:val="9"/>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_Toc23308 </w:instrText>
          </w:r>
          <w:r>
            <w:rPr>
              <w:rFonts w:hint="default" w:ascii="黑体" w:hAnsi="黑体" w:eastAsia="黑体" w:cs="黑体"/>
              <w:sz w:val="24"/>
              <w:szCs w:val="24"/>
              <w:lang w:val="en-US" w:eastAsia="zh-CN"/>
            </w:rPr>
            <w:fldChar w:fldCharType="separate"/>
          </w:r>
          <w:r>
            <w:rPr>
              <w:rFonts w:hint="eastAsia" w:ascii="楷体" w:hAnsi="楷体" w:eastAsia="楷体" w:cs="楷体"/>
              <w:bCs w:val="0"/>
              <w:sz w:val="24"/>
              <w:szCs w:val="24"/>
              <w:lang w:val="en-US" w:eastAsia="zh-CN"/>
            </w:rPr>
            <w:t>（三）绩效评价工作过程保障</w:t>
          </w:r>
          <w:r>
            <w:rPr>
              <w:sz w:val="24"/>
              <w:szCs w:val="24"/>
            </w:rPr>
            <w:tab/>
          </w:r>
          <w:r>
            <w:rPr>
              <w:sz w:val="24"/>
              <w:szCs w:val="24"/>
            </w:rPr>
            <w:fldChar w:fldCharType="begin"/>
          </w:r>
          <w:r>
            <w:rPr>
              <w:sz w:val="24"/>
              <w:szCs w:val="24"/>
            </w:rPr>
            <w:instrText xml:space="preserve"> PAGEREF _Toc23308 \h </w:instrText>
          </w:r>
          <w:r>
            <w:rPr>
              <w:sz w:val="24"/>
              <w:szCs w:val="24"/>
            </w:rPr>
            <w:fldChar w:fldCharType="separate"/>
          </w:r>
          <w:r>
            <w:rPr>
              <w:sz w:val="24"/>
              <w:szCs w:val="24"/>
            </w:rPr>
            <w:t>10</w:t>
          </w:r>
          <w:r>
            <w:rPr>
              <w:sz w:val="24"/>
              <w:szCs w:val="24"/>
            </w:rPr>
            <w:fldChar w:fldCharType="end"/>
          </w:r>
          <w:r>
            <w:rPr>
              <w:rFonts w:hint="default" w:ascii="黑体" w:hAnsi="黑体" w:eastAsia="黑体" w:cs="黑体"/>
              <w:sz w:val="24"/>
              <w:szCs w:val="24"/>
              <w:lang w:val="en-US" w:eastAsia="zh-CN"/>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_Toc15286 </w:instrText>
          </w:r>
          <w:r>
            <w:rPr>
              <w:rFonts w:hint="default" w:ascii="黑体" w:hAnsi="黑体" w:eastAsia="黑体" w:cs="黑体"/>
              <w:sz w:val="24"/>
              <w:szCs w:val="24"/>
              <w:lang w:val="en-US" w:eastAsia="zh-CN"/>
            </w:rPr>
            <w:fldChar w:fldCharType="separate"/>
          </w:r>
          <w:r>
            <w:rPr>
              <w:rFonts w:hint="eastAsia" w:ascii="黑体" w:hAnsi="黑体" w:eastAsia="黑体" w:cs="黑体"/>
              <w:bCs w:val="0"/>
              <w:sz w:val="24"/>
              <w:szCs w:val="24"/>
              <w:lang w:val="en-US" w:eastAsia="zh-CN"/>
            </w:rPr>
            <w:t>三、绩效评价指标分析</w:t>
          </w:r>
          <w:r>
            <w:rPr>
              <w:sz w:val="24"/>
              <w:szCs w:val="24"/>
            </w:rPr>
            <w:tab/>
          </w:r>
          <w:r>
            <w:rPr>
              <w:sz w:val="24"/>
              <w:szCs w:val="24"/>
            </w:rPr>
            <w:fldChar w:fldCharType="begin"/>
          </w:r>
          <w:r>
            <w:rPr>
              <w:sz w:val="24"/>
              <w:szCs w:val="24"/>
            </w:rPr>
            <w:instrText xml:space="preserve"> PAGEREF _Toc15286 \h </w:instrText>
          </w:r>
          <w:r>
            <w:rPr>
              <w:sz w:val="24"/>
              <w:szCs w:val="24"/>
            </w:rPr>
            <w:fldChar w:fldCharType="separate"/>
          </w:r>
          <w:r>
            <w:rPr>
              <w:sz w:val="24"/>
              <w:szCs w:val="24"/>
            </w:rPr>
            <w:t>11</w:t>
          </w:r>
          <w:r>
            <w:rPr>
              <w:sz w:val="24"/>
              <w:szCs w:val="24"/>
            </w:rPr>
            <w:fldChar w:fldCharType="end"/>
          </w:r>
          <w:r>
            <w:rPr>
              <w:rFonts w:hint="default" w:ascii="黑体" w:hAnsi="黑体" w:eastAsia="黑体" w:cs="黑体"/>
              <w:sz w:val="24"/>
              <w:szCs w:val="24"/>
              <w:lang w:val="en-US" w:eastAsia="zh-CN"/>
            </w:rPr>
            <w:fldChar w:fldCharType="end"/>
          </w:r>
        </w:p>
        <w:p>
          <w:pPr>
            <w:pStyle w:val="9"/>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_Toc19891 </w:instrText>
          </w:r>
          <w:r>
            <w:rPr>
              <w:rFonts w:hint="default" w:ascii="黑体" w:hAnsi="黑体" w:eastAsia="黑体" w:cs="黑体"/>
              <w:sz w:val="24"/>
              <w:szCs w:val="24"/>
              <w:lang w:val="en-US" w:eastAsia="zh-CN"/>
            </w:rPr>
            <w:fldChar w:fldCharType="separate"/>
          </w:r>
          <w:r>
            <w:rPr>
              <w:rFonts w:hint="eastAsia" w:ascii="楷体" w:hAnsi="楷体" w:eastAsia="楷体" w:cs="楷体"/>
              <w:bCs w:val="0"/>
              <w:sz w:val="24"/>
              <w:szCs w:val="24"/>
              <w:lang w:val="en-US" w:eastAsia="zh-CN"/>
            </w:rPr>
            <w:t>（一）项目决策</w:t>
          </w:r>
          <w:r>
            <w:rPr>
              <w:sz w:val="24"/>
              <w:szCs w:val="24"/>
            </w:rPr>
            <w:tab/>
          </w:r>
          <w:r>
            <w:rPr>
              <w:sz w:val="24"/>
              <w:szCs w:val="24"/>
            </w:rPr>
            <w:fldChar w:fldCharType="begin"/>
          </w:r>
          <w:r>
            <w:rPr>
              <w:sz w:val="24"/>
              <w:szCs w:val="24"/>
            </w:rPr>
            <w:instrText xml:space="preserve"> PAGEREF _Toc19891 \h </w:instrText>
          </w:r>
          <w:r>
            <w:rPr>
              <w:sz w:val="24"/>
              <w:szCs w:val="24"/>
            </w:rPr>
            <w:fldChar w:fldCharType="separate"/>
          </w:r>
          <w:r>
            <w:rPr>
              <w:sz w:val="24"/>
              <w:szCs w:val="24"/>
            </w:rPr>
            <w:t>11</w:t>
          </w:r>
          <w:r>
            <w:rPr>
              <w:sz w:val="24"/>
              <w:szCs w:val="24"/>
            </w:rPr>
            <w:fldChar w:fldCharType="end"/>
          </w:r>
          <w:r>
            <w:rPr>
              <w:rFonts w:hint="default" w:ascii="黑体" w:hAnsi="黑体" w:eastAsia="黑体" w:cs="黑体"/>
              <w:sz w:val="24"/>
              <w:szCs w:val="24"/>
              <w:lang w:val="en-US" w:eastAsia="zh-CN"/>
            </w:rPr>
            <w:fldChar w:fldCharType="end"/>
          </w:r>
        </w:p>
        <w:p>
          <w:pPr>
            <w:pStyle w:val="9"/>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_Toc17534 </w:instrText>
          </w:r>
          <w:r>
            <w:rPr>
              <w:rFonts w:hint="default" w:ascii="黑体" w:hAnsi="黑体" w:eastAsia="黑体" w:cs="黑体"/>
              <w:sz w:val="24"/>
              <w:szCs w:val="24"/>
              <w:lang w:val="en-US" w:eastAsia="zh-CN"/>
            </w:rPr>
            <w:fldChar w:fldCharType="separate"/>
          </w:r>
          <w:r>
            <w:rPr>
              <w:rFonts w:hint="eastAsia" w:ascii="楷体" w:hAnsi="楷体" w:eastAsia="楷体" w:cs="楷体"/>
              <w:bCs w:val="0"/>
              <w:sz w:val="24"/>
              <w:szCs w:val="24"/>
              <w:lang w:val="en-US" w:eastAsia="zh-CN"/>
            </w:rPr>
            <w:t>（二）项目过程</w:t>
          </w:r>
          <w:r>
            <w:rPr>
              <w:sz w:val="24"/>
              <w:szCs w:val="24"/>
            </w:rPr>
            <w:tab/>
          </w:r>
          <w:r>
            <w:rPr>
              <w:sz w:val="24"/>
              <w:szCs w:val="24"/>
            </w:rPr>
            <w:fldChar w:fldCharType="begin"/>
          </w:r>
          <w:r>
            <w:rPr>
              <w:sz w:val="24"/>
              <w:szCs w:val="24"/>
            </w:rPr>
            <w:instrText xml:space="preserve"> PAGEREF _Toc17534 \h </w:instrText>
          </w:r>
          <w:r>
            <w:rPr>
              <w:sz w:val="24"/>
              <w:szCs w:val="24"/>
            </w:rPr>
            <w:fldChar w:fldCharType="separate"/>
          </w:r>
          <w:r>
            <w:rPr>
              <w:sz w:val="24"/>
              <w:szCs w:val="24"/>
            </w:rPr>
            <w:t>14</w:t>
          </w:r>
          <w:r>
            <w:rPr>
              <w:sz w:val="24"/>
              <w:szCs w:val="24"/>
            </w:rPr>
            <w:fldChar w:fldCharType="end"/>
          </w:r>
          <w:r>
            <w:rPr>
              <w:rFonts w:hint="default" w:ascii="黑体" w:hAnsi="黑体" w:eastAsia="黑体" w:cs="黑体"/>
              <w:sz w:val="24"/>
              <w:szCs w:val="24"/>
              <w:lang w:val="en-US" w:eastAsia="zh-CN"/>
            </w:rPr>
            <w:fldChar w:fldCharType="end"/>
          </w:r>
        </w:p>
        <w:p>
          <w:pPr>
            <w:pStyle w:val="9"/>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_Toc16329 </w:instrText>
          </w:r>
          <w:r>
            <w:rPr>
              <w:rFonts w:hint="default" w:ascii="黑体" w:hAnsi="黑体" w:eastAsia="黑体" w:cs="黑体"/>
              <w:sz w:val="24"/>
              <w:szCs w:val="24"/>
              <w:lang w:val="en-US" w:eastAsia="zh-CN"/>
            </w:rPr>
            <w:fldChar w:fldCharType="separate"/>
          </w:r>
          <w:r>
            <w:rPr>
              <w:rFonts w:hint="eastAsia" w:ascii="楷体" w:hAnsi="楷体" w:eastAsia="楷体" w:cs="楷体"/>
              <w:bCs w:val="0"/>
              <w:sz w:val="24"/>
              <w:szCs w:val="24"/>
              <w:lang w:val="en-US" w:eastAsia="zh-CN"/>
            </w:rPr>
            <w:t>（三）项目产出</w:t>
          </w:r>
          <w:r>
            <w:rPr>
              <w:sz w:val="24"/>
              <w:szCs w:val="24"/>
            </w:rPr>
            <w:tab/>
          </w:r>
          <w:r>
            <w:rPr>
              <w:sz w:val="24"/>
              <w:szCs w:val="24"/>
            </w:rPr>
            <w:fldChar w:fldCharType="begin"/>
          </w:r>
          <w:r>
            <w:rPr>
              <w:sz w:val="24"/>
              <w:szCs w:val="24"/>
            </w:rPr>
            <w:instrText xml:space="preserve"> PAGEREF _Toc16329 \h </w:instrText>
          </w:r>
          <w:r>
            <w:rPr>
              <w:sz w:val="24"/>
              <w:szCs w:val="24"/>
            </w:rPr>
            <w:fldChar w:fldCharType="separate"/>
          </w:r>
          <w:r>
            <w:rPr>
              <w:sz w:val="24"/>
              <w:szCs w:val="24"/>
            </w:rPr>
            <w:t>18</w:t>
          </w:r>
          <w:r>
            <w:rPr>
              <w:sz w:val="24"/>
              <w:szCs w:val="24"/>
            </w:rPr>
            <w:fldChar w:fldCharType="end"/>
          </w:r>
          <w:r>
            <w:rPr>
              <w:rFonts w:hint="default" w:ascii="黑体" w:hAnsi="黑体" w:eastAsia="黑体" w:cs="黑体"/>
              <w:sz w:val="24"/>
              <w:szCs w:val="24"/>
              <w:lang w:val="en-US" w:eastAsia="zh-CN"/>
            </w:rPr>
            <w:fldChar w:fldCharType="end"/>
          </w:r>
        </w:p>
        <w:p>
          <w:pPr>
            <w:pStyle w:val="9"/>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_Toc15631 </w:instrText>
          </w:r>
          <w:r>
            <w:rPr>
              <w:rFonts w:hint="default" w:ascii="黑体" w:hAnsi="黑体" w:eastAsia="黑体" w:cs="黑体"/>
              <w:sz w:val="24"/>
              <w:szCs w:val="24"/>
              <w:lang w:val="en-US" w:eastAsia="zh-CN"/>
            </w:rPr>
            <w:fldChar w:fldCharType="separate"/>
          </w:r>
          <w:r>
            <w:rPr>
              <w:rFonts w:hint="eastAsia" w:ascii="楷体" w:hAnsi="楷体" w:eastAsia="楷体" w:cs="楷体"/>
              <w:bCs w:val="0"/>
              <w:sz w:val="24"/>
              <w:szCs w:val="24"/>
              <w:lang w:val="en-US" w:eastAsia="zh-CN"/>
            </w:rPr>
            <w:t>（四）项目效益情况</w:t>
          </w:r>
          <w:r>
            <w:rPr>
              <w:sz w:val="24"/>
              <w:szCs w:val="24"/>
            </w:rPr>
            <w:tab/>
          </w:r>
          <w:r>
            <w:rPr>
              <w:sz w:val="24"/>
              <w:szCs w:val="24"/>
            </w:rPr>
            <w:fldChar w:fldCharType="begin"/>
          </w:r>
          <w:r>
            <w:rPr>
              <w:sz w:val="24"/>
              <w:szCs w:val="24"/>
            </w:rPr>
            <w:instrText xml:space="preserve"> PAGEREF _Toc15631 \h </w:instrText>
          </w:r>
          <w:r>
            <w:rPr>
              <w:sz w:val="24"/>
              <w:szCs w:val="24"/>
            </w:rPr>
            <w:fldChar w:fldCharType="separate"/>
          </w:r>
          <w:r>
            <w:rPr>
              <w:sz w:val="24"/>
              <w:szCs w:val="24"/>
            </w:rPr>
            <w:t>19</w:t>
          </w:r>
          <w:r>
            <w:rPr>
              <w:sz w:val="24"/>
              <w:szCs w:val="24"/>
            </w:rPr>
            <w:fldChar w:fldCharType="end"/>
          </w:r>
          <w:r>
            <w:rPr>
              <w:rFonts w:hint="default" w:ascii="黑体" w:hAnsi="黑体" w:eastAsia="黑体" w:cs="黑体"/>
              <w:sz w:val="24"/>
              <w:szCs w:val="24"/>
              <w:lang w:val="en-US" w:eastAsia="zh-CN"/>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_Toc3386 </w:instrText>
          </w:r>
          <w:r>
            <w:rPr>
              <w:rFonts w:hint="default" w:ascii="黑体" w:hAnsi="黑体" w:eastAsia="黑体" w:cs="黑体"/>
              <w:sz w:val="24"/>
              <w:szCs w:val="24"/>
              <w:lang w:val="en-US" w:eastAsia="zh-CN"/>
            </w:rPr>
            <w:fldChar w:fldCharType="separate"/>
          </w:r>
          <w:r>
            <w:rPr>
              <w:rFonts w:hint="eastAsia" w:ascii="黑体" w:hAnsi="黑体" w:eastAsia="黑体" w:cs="黑体"/>
              <w:bCs w:val="0"/>
              <w:sz w:val="24"/>
              <w:szCs w:val="24"/>
              <w:highlight w:val="none"/>
              <w:lang w:val="en-US" w:eastAsia="zh-CN"/>
            </w:rPr>
            <w:t>四、综合评价情况及评价结论</w:t>
          </w:r>
          <w:r>
            <w:rPr>
              <w:sz w:val="24"/>
              <w:szCs w:val="24"/>
            </w:rPr>
            <w:tab/>
          </w:r>
          <w:r>
            <w:rPr>
              <w:sz w:val="24"/>
              <w:szCs w:val="24"/>
            </w:rPr>
            <w:fldChar w:fldCharType="begin"/>
          </w:r>
          <w:r>
            <w:rPr>
              <w:sz w:val="24"/>
              <w:szCs w:val="24"/>
            </w:rPr>
            <w:instrText xml:space="preserve"> PAGEREF _Toc3386 \h </w:instrText>
          </w:r>
          <w:r>
            <w:rPr>
              <w:sz w:val="24"/>
              <w:szCs w:val="24"/>
            </w:rPr>
            <w:fldChar w:fldCharType="separate"/>
          </w:r>
          <w:r>
            <w:rPr>
              <w:sz w:val="24"/>
              <w:szCs w:val="24"/>
            </w:rPr>
            <w:t>21</w:t>
          </w:r>
          <w:r>
            <w:rPr>
              <w:sz w:val="24"/>
              <w:szCs w:val="24"/>
            </w:rPr>
            <w:fldChar w:fldCharType="end"/>
          </w:r>
          <w:r>
            <w:rPr>
              <w:rFonts w:hint="default" w:ascii="黑体" w:hAnsi="黑体" w:eastAsia="黑体" w:cs="黑体"/>
              <w:sz w:val="24"/>
              <w:szCs w:val="24"/>
              <w:lang w:val="en-US" w:eastAsia="zh-CN"/>
            </w:rPr>
            <w:fldChar w:fldCharType="end"/>
          </w:r>
        </w:p>
        <w:p>
          <w:pPr>
            <w:pStyle w:val="9"/>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_Toc17524 </w:instrText>
          </w:r>
          <w:r>
            <w:rPr>
              <w:rFonts w:hint="default" w:ascii="黑体" w:hAnsi="黑体" w:eastAsia="黑体" w:cs="黑体"/>
              <w:sz w:val="24"/>
              <w:szCs w:val="24"/>
              <w:lang w:val="en-US" w:eastAsia="zh-CN"/>
            </w:rPr>
            <w:fldChar w:fldCharType="separate"/>
          </w:r>
          <w:r>
            <w:rPr>
              <w:rFonts w:hint="eastAsia" w:ascii="楷体" w:hAnsi="楷体" w:eastAsia="楷体" w:cs="楷体"/>
              <w:sz w:val="24"/>
              <w:szCs w:val="24"/>
              <w:highlight w:val="none"/>
              <w:lang w:val="en-US" w:eastAsia="zh-CN"/>
            </w:rPr>
            <w:t>（一）综合评价情况</w:t>
          </w:r>
          <w:r>
            <w:rPr>
              <w:sz w:val="24"/>
              <w:szCs w:val="24"/>
            </w:rPr>
            <w:tab/>
          </w:r>
          <w:r>
            <w:rPr>
              <w:sz w:val="24"/>
              <w:szCs w:val="24"/>
            </w:rPr>
            <w:fldChar w:fldCharType="begin"/>
          </w:r>
          <w:r>
            <w:rPr>
              <w:sz w:val="24"/>
              <w:szCs w:val="24"/>
            </w:rPr>
            <w:instrText xml:space="preserve"> PAGEREF _Toc17524 \h </w:instrText>
          </w:r>
          <w:r>
            <w:rPr>
              <w:sz w:val="24"/>
              <w:szCs w:val="24"/>
            </w:rPr>
            <w:fldChar w:fldCharType="separate"/>
          </w:r>
          <w:r>
            <w:rPr>
              <w:sz w:val="24"/>
              <w:szCs w:val="24"/>
            </w:rPr>
            <w:t>21</w:t>
          </w:r>
          <w:r>
            <w:rPr>
              <w:sz w:val="24"/>
              <w:szCs w:val="24"/>
            </w:rPr>
            <w:fldChar w:fldCharType="end"/>
          </w:r>
          <w:r>
            <w:rPr>
              <w:rFonts w:hint="default" w:ascii="黑体" w:hAnsi="黑体" w:eastAsia="黑体" w:cs="黑体"/>
              <w:sz w:val="24"/>
              <w:szCs w:val="24"/>
              <w:lang w:val="en-US" w:eastAsia="zh-CN"/>
            </w:rPr>
            <w:fldChar w:fldCharType="end"/>
          </w:r>
        </w:p>
        <w:p>
          <w:pPr>
            <w:pStyle w:val="9"/>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_Toc26757 </w:instrText>
          </w:r>
          <w:r>
            <w:rPr>
              <w:rFonts w:hint="default" w:ascii="黑体" w:hAnsi="黑体" w:eastAsia="黑体" w:cs="黑体"/>
              <w:sz w:val="24"/>
              <w:szCs w:val="24"/>
              <w:lang w:val="en-US" w:eastAsia="zh-CN"/>
            </w:rPr>
            <w:fldChar w:fldCharType="separate"/>
          </w:r>
          <w:r>
            <w:rPr>
              <w:rFonts w:hint="eastAsia" w:ascii="楷体" w:hAnsi="楷体" w:eastAsia="楷体" w:cs="楷体"/>
              <w:sz w:val="24"/>
              <w:szCs w:val="24"/>
              <w:lang w:val="en-US" w:eastAsia="zh-CN"/>
            </w:rPr>
            <w:t>（二）评价结论</w:t>
          </w:r>
          <w:r>
            <w:rPr>
              <w:sz w:val="24"/>
              <w:szCs w:val="24"/>
            </w:rPr>
            <w:tab/>
          </w:r>
          <w:r>
            <w:rPr>
              <w:sz w:val="24"/>
              <w:szCs w:val="24"/>
            </w:rPr>
            <w:fldChar w:fldCharType="begin"/>
          </w:r>
          <w:r>
            <w:rPr>
              <w:sz w:val="24"/>
              <w:szCs w:val="24"/>
            </w:rPr>
            <w:instrText xml:space="preserve"> PAGEREF _Toc26757 \h </w:instrText>
          </w:r>
          <w:r>
            <w:rPr>
              <w:sz w:val="24"/>
              <w:szCs w:val="24"/>
            </w:rPr>
            <w:fldChar w:fldCharType="separate"/>
          </w:r>
          <w:r>
            <w:rPr>
              <w:sz w:val="24"/>
              <w:szCs w:val="24"/>
            </w:rPr>
            <w:t>21</w:t>
          </w:r>
          <w:r>
            <w:rPr>
              <w:sz w:val="24"/>
              <w:szCs w:val="24"/>
            </w:rPr>
            <w:fldChar w:fldCharType="end"/>
          </w:r>
          <w:r>
            <w:rPr>
              <w:rFonts w:hint="default" w:ascii="黑体" w:hAnsi="黑体" w:eastAsia="黑体" w:cs="黑体"/>
              <w:sz w:val="24"/>
              <w:szCs w:val="24"/>
              <w:lang w:val="en-US" w:eastAsia="zh-CN"/>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_Toc7240 </w:instrText>
          </w:r>
          <w:r>
            <w:rPr>
              <w:rFonts w:hint="default" w:ascii="黑体" w:hAnsi="黑体" w:eastAsia="黑体" w:cs="黑体"/>
              <w:sz w:val="24"/>
              <w:szCs w:val="24"/>
              <w:lang w:val="en-US" w:eastAsia="zh-CN"/>
            </w:rPr>
            <w:fldChar w:fldCharType="separate"/>
          </w:r>
          <w:r>
            <w:rPr>
              <w:rFonts w:hint="eastAsia" w:ascii="黑体" w:hAnsi="黑体" w:eastAsia="黑体" w:cs="黑体"/>
              <w:bCs w:val="0"/>
              <w:sz w:val="24"/>
              <w:szCs w:val="24"/>
              <w:highlight w:val="none"/>
              <w:lang w:val="en-US" w:eastAsia="zh-CN"/>
            </w:rPr>
            <w:t>五、主要经验及做法、存在的问题及</w:t>
          </w:r>
          <w:r>
            <w:rPr>
              <w:rFonts w:hint="eastAsia" w:ascii="黑体" w:hAnsi="黑体" w:eastAsia="黑体" w:cs="黑体"/>
              <w:bCs w:val="0"/>
              <w:sz w:val="24"/>
              <w:szCs w:val="24"/>
              <w:lang w:val="en-US" w:eastAsia="zh-CN"/>
            </w:rPr>
            <w:t>原因</w:t>
          </w:r>
          <w:r>
            <w:rPr>
              <w:sz w:val="24"/>
              <w:szCs w:val="24"/>
            </w:rPr>
            <w:tab/>
          </w:r>
          <w:r>
            <w:rPr>
              <w:sz w:val="24"/>
              <w:szCs w:val="24"/>
            </w:rPr>
            <w:fldChar w:fldCharType="begin"/>
          </w:r>
          <w:r>
            <w:rPr>
              <w:sz w:val="24"/>
              <w:szCs w:val="24"/>
            </w:rPr>
            <w:instrText xml:space="preserve"> PAGEREF _Toc7240 \h </w:instrText>
          </w:r>
          <w:r>
            <w:rPr>
              <w:sz w:val="24"/>
              <w:szCs w:val="24"/>
            </w:rPr>
            <w:fldChar w:fldCharType="separate"/>
          </w:r>
          <w:r>
            <w:rPr>
              <w:sz w:val="24"/>
              <w:szCs w:val="24"/>
            </w:rPr>
            <w:t>22</w:t>
          </w:r>
          <w:r>
            <w:rPr>
              <w:sz w:val="24"/>
              <w:szCs w:val="24"/>
            </w:rPr>
            <w:fldChar w:fldCharType="end"/>
          </w:r>
          <w:r>
            <w:rPr>
              <w:rFonts w:hint="default" w:ascii="黑体" w:hAnsi="黑体" w:eastAsia="黑体" w:cs="黑体"/>
              <w:sz w:val="24"/>
              <w:szCs w:val="24"/>
              <w:lang w:val="en-US" w:eastAsia="zh-CN"/>
            </w:rPr>
            <w:fldChar w:fldCharType="end"/>
          </w:r>
        </w:p>
        <w:p>
          <w:pPr>
            <w:pStyle w:val="9"/>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_Toc27017 </w:instrText>
          </w:r>
          <w:r>
            <w:rPr>
              <w:rFonts w:hint="default" w:ascii="黑体" w:hAnsi="黑体" w:eastAsia="黑体" w:cs="黑体"/>
              <w:sz w:val="24"/>
              <w:szCs w:val="24"/>
              <w:lang w:val="en-US" w:eastAsia="zh-CN"/>
            </w:rPr>
            <w:fldChar w:fldCharType="separate"/>
          </w:r>
          <w:r>
            <w:rPr>
              <w:rFonts w:hint="eastAsia" w:ascii="楷体" w:hAnsi="楷体" w:eastAsia="楷体" w:cs="楷体"/>
              <w:bCs w:val="0"/>
              <w:sz w:val="24"/>
              <w:szCs w:val="24"/>
              <w:lang w:val="en-US" w:eastAsia="zh-CN"/>
            </w:rPr>
            <w:t>（一）主要经验及做法</w:t>
          </w:r>
          <w:r>
            <w:rPr>
              <w:sz w:val="24"/>
              <w:szCs w:val="24"/>
            </w:rPr>
            <w:tab/>
          </w:r>
          <w:r>
            <w:rPr>
              <w:sz w:val="24"/>
              <w:szCs w:val="24"/>
            </w:rPr>
            <w:fldChar w:fldCharType="begin"/>
          </w:r>
          <w:r>
            <w:rPr>
              <w:sz w:val="24"/>
              <w:szCs w:val="24"/>
            </w:rPr>
            <w:instrText xml:space="preserve"> PAGEREF _Toc27017 \h </w:instrText>
          </w:r>
          <w:r>
            <w:rPr>
              <w:sz w:val="24"/>
              <w:szCs w:val="24"/>
            </w:rPr>
            <w:fldChar w:fldCharType="separate"/>
          </w:r>
          <w:r>
            <w:rPr>
              <w:sz w:val="24"/>
              <w:szCs w:val="24"/>
            </w:rPr>
            <w:t>22</w:t>
          </w:r>
          <w:r>
            <w:rPr>
              <w:sz w:val="24"/>
              <w:szCs w:val="24"/>
            </w:rPr>
            <w:fldChar w:fldCharType="end"/>
          </w:r>
          <w:r>
            <w:rPr>
              <w:rFonts w:hint="default" w:ascii="黑体" w:hAnsi="黑体" w:eastAsia="黑体" w:cs="黑体"/>
              <w:sz w:val="24"/>
              <w:szCs w:val="24"/>
              <w:lang w:val="en-US" w:eastAsia="zh-CN"/>
            </w:rPr>
            <w:fldChar w:fldCharType="end"/>
          </w:r>
        </w:p>
        <w:p>
          <w:pPr>
            <w:pStyle w:val="9"/>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_Toc11992 </w:instrText>
          </w:r>
          <w:r>
            <w:rPr>
              <w:rFonts w:hint="default" w:ascii="黑体" w:hAnsi="黑体" w:eastAsia="黑体" w:cs="黑体"/>
              <w:sz w:val="24"/>
              <w:szCs w:val="24"/>
              <w:lang w:val="en-US" w:eastAsia="zh-CN"/>
            </w:rPr>
            <w:fldChar w:fldCharType="separate"/>
          </w:r>
          <w:r>
            <w:rPr>
              <w:rFonts w:hint="eastAsia" w:ascii="楷体" w:hAnsi="楷体" w:eastAsia="楷体" w:cs="楷体"/>
              <w:bCs w:val="0"/>
              <w:sz w:val="24"/>
              <w:szCs w:val="24"/>
              <w:lang w:val="en-US" w:eastAsia="zh-CN"/>
            </w:rPr>
            <w:t>（二）存在的问题</w:t>
          </w:r>
          <w:r>
            <w:rPr>
              <w:sz w:val="24"/>
              <w:szCs w:val="24"/>
            </w:rPr>
            <w:tab/>
          </w:r>
          <w:r>
            <w:rPr>
              <w:sz w:val="24"/>
              <w:szCs w:val="24"/>
            </w:rPr>
            <w:fldChar w:fldCharType="begin"/>
          </w:r>
          <w:r>
            <w:rPr>
              <w:sz w:val="24"/>
              <w:szCs w:val="24"/>
            </w:rPr>
            <w:instrText xml:space="preserve"> PAGEREF _Toc11992 \h </w:instrText>
          </w:r>
          <w:r>
            <w:rPr>
              <w:sz w:val="24"/>
              <w:szCs w:val="24"/>
            </w:rPr>
            <w:fldChar w:fldCharType="separate"/>
          </w:r>
          <w:r>
            <w:rPr>
              <w:sz w:val="24"/>
              <w:szCs w:val="24"/>
            </w:rPr>
            <w:t>22</w:t>
          </w:r>
          <w:r>
            <w:rPr>
              <w:sz w:val="24"/>
              <w:szCs w:val="24"/>
            </w:rPr>
            <w:fldChar w:fldCharType="end"/>
          </w:r>
          <w:r>
            <w:rPr>
              <w:rFonts w:hint="default" w:ascii="黑体" w:hAnsi="黑体" w:eastAsia="黑体" w:cs="黑体"/>
              <w:sz w:val="24"/>
              <w:szCs w:val="24"/>
              <w:lang w:val="en-US" w:eastAsia="zh-CN"/>
            </w:rPr>
            <w:fldChar w:fldCharType="end"/>
          </w:r>
        </w:p>
        <w:p>
          <w:pPr>
            <w:pStyle w:val="9"/>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_Toc25510 </w:instrText>
          </w:r>
          <w:r>
            <w:rPr>
              <w:rFonts w:hint="default" w:ascii="黑体" w:hAnsi="黑体" w:eastAsia="黑体" w:cs="黑体"/>
              <w:sz w:val="24"/>
              <w:szCs w:val="24"/>
              <w:lang w:val="en-US" w:eastAsia="zh-CN"/>
            </w:rPr>
            <w:fldChar w:fldCharType="separate"/>
          </w:r>
          <w:r>
            <w:rPr>
              <w:rFonts w:hint="eastAsia" w:ascii="楷体" w:hAnsi="楷体" w:eastAsia="楷体" w:cs="楷体"/>
              <w:bCs w:val="0"/>
              <w:sz w:val="24"/>
              <w:szCs w:val="24"/>
              <w:lang w:val="en-US" w:eastAsia="zh-CN"/>
            </w:rPr>
            <w:t>（三）有关建议</w:t>
          </w:r>
          <w:r>
            <w:rPr>
              <w:sz w:val="24"/>
              <w:szCs w:val="24"/>
            </w:rPr>
            <w:tab/>
          </w:r>
          <w:r>
            <w:rPr>
              <w:sz w:val="24"/>
              <w:szCs w:val="24"/>
            </w:rPr>
            <w:fldChar w:fldCharType="begin"/>
          </w:r>
          <w:r>
            <w:rPr>
              <w:sz w:val="24"/>
              <w:szCs w:val="24"/>
            </w:rPr>
            <w:instrText xml:space="preserve"> PAGEREF _Toc25510 \h </w:instrText>
          </w:r>
          <w:r>
            <w:rPr>
              <w:sz w:val="24"/>
              <w:szCs w:val="24"/>
            </w:rPr>
            <w:fldChar w:fldCharType="separate"/>
          </w:r>
          <w:r>
            <w:rPr>
              <w:sz w:val="24"/>
              <w:szCs w:val="24"/>
            </w:rPr>
            <w:t>23</w:t>
          </w:r>
          <w:r>
            <w:rPr>
              <w:sz w:val="24"/>
              <w:szCs w:val="24"/>
            </w:rPr>
            <w:fldChar w:fldCharType="end"/>
          </w:r>
          <w:r>
            <w:rPr>
              <w:rFonts w:hint="default" w:ascii="黑体" w:hAnsi="黑体" w:eastAsia="黑体" w:cs="黑体"/>
              <w:sz w:val="24"/>
              <w:szCs w:val="24"/>
              <w:lang w:val="en-US" w:eastAsia="zh-CN"/>
            </w:rPr>
            <w:fldChar w:fldCharType="end"/>
          </w:r>
        </w:p>
        <w:p>
          <w:pPr>
            <w:pStyle w:val="9"/>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_Toc21312 </w:instrText>
          </w:r>
          <w:r>
            <w:rPr>
              <w:rFonts w:hint="default" w:ascii="黑体" w:hAnsi="黑体" w:eastAsia="黑体" w:cs="黑体"/>
              <w:sz w:val="24"/>
              <w:szCs w:val="24"/>
              <w:lang w:val="en-US" w:eastAsia="zh-CN"/>
            </w:rPr>
            <w:fldChar w:fldCharType="separate"/>
          </w:r>
          <w:r>
            <w:rPr>
              <w:rFonts w:hint="eastAsia" w:ascii="楷体" w:hAnsi="楷体" w:eastAsia="楷体" w:cs="楷体"/>
              <w:bCs w:val="0"/>
              <w:sz w:val="24"/>
              <w:szCs w:val="24"/>
              <w:lang w:val="en-US" w:eastAsia="zh-CN"/>
            </w:rPr>
            <w:t>（一）本次绩效评价的局限性</w:t>
          </w:r>
          <w:r>
            <w:rPr>
              <w:sz w:val="24"/>
              <w:szCs w:val="24"/>
            </w:rPr>
            <w:tab/>
          </w:r>
          <w:r>
            <w:rPr>
              <w:sz w:val="24"/>
              <w:szCs w:val="24"/>
            </w:rPr>
            <w:fldChar w:fldCharType="begin"/>
          </w:r>
          <w:r>
            <w:rPr>
              <w:sz w:val="24"/>
              <w:szCs w:val="24"/>
            </w:rPr>
            <w:instrText xml:space="preserve"> PAGEREF _Toc21312 \h </w:instrText>
          </w:r>
          <w:r>
            <w:rPr>
              <w:sz w:val="24"/>
              <w:szCs w:val="24"/>
            </w:rPr>
            <w:fldChar w:fldCharType="separate"/>
          </w:r>
          <w:r>
            <w:rPr>
              <w:sz w:val="24"/>
              <w:szCs w:val="24"/>
            </w:rPr>
            <w:t>23</w:t>
          </w:r>
          <w:r>
            <w:rPr>
              <w:sz w:val="24"/>
              <w:szCs w:val="24"/>
            </w:rPr>
            <w:fldChar w:fldCharType="end"/>
          </w:r>
          <w:r>
            <w:rPr>
              <w:rFonts w:hint="default" w:ascii="黑体" w:hAnsi="黑体" w:eastAsia="黑体" w:cs="黑体"/>
              <w:sz w:val="24"/>
              <w:szCs w:val="24"/>
              <w:lang w:val="en-US" w:eastAsia="zh-CN"/>
            </w:rPr>
            <w:fldChar w:fldCharType="end"/>
          </w:r>
        </w:p>
        <w:p>
          <w:pPr>
            <w:pStyle w:val="9"/>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_Toc17878 </w:instrText>
          </w:r>
          <w:r>
            <w:rPr>
              <w:rFonts w:hint="default" w:ascii="黑体" w:hAnsi="黑体" w:eastAsia="黑体" w:cs="黑体"/>
              <w:sz w:val="24"/>
              <w:szCs w:val="24"/>
              <w:lang w:val="en-US" w:eastAsia="zh-CN"/>
            </w:rPr>
            <w:fldChar w:fldCharType="separate"/>
          </w:r>
          <w:r>
            <w:rPr>
              <w:rFonts w:hint="eastAsia" w:ascii="楷体" w:hAnsi="楷体" w:eastAsia="楷体" w:cs="楷体"/>
              <w:bCs w:val="0"/>
              <w:sz w:val="24"/>
              <w:szCs w:val="24"/>
              <w:lang w:val="en-US" w:eastAsia="zh-CN"/>
            </w:rPr>
            <w:t>（二）本报告的使用范围</w:t>
          </w:r>
          <w:r>
            <w:rPr>
              <w:sz w:val="24"/>
              <w:szCs w:val="24"/>
            </w:rPr>
            <w:tab/>
          </w:r>
          <w:r>
            <w:rPr>
              <w:sz w:val="24"/>
              <w:szCs w:val="24"/>
            </w:rPr>
            <w:fldChar w:fldCharType="begin"/>
          </w:r>
          <w:r>
            <w:rPr>
              <w:sz w:val="24"/>
              <w:szCs w:val="24"/>
            </w:rPr>
            <w:instrText xml:space="preserve"> PAGEREF _Toc17878 \h </w:instrText>
          </w:r>
          <w:r>
            <w:rPr>
              <w:sz w:val="24"/>
              <w:szCs w:val="24"/>
            </w:rPr>
            <w:fldChar w:fldCharType="separate"/>
          </w:r>
          <w:r>
            <w:rPr>
              <w:sz w:val="24"/>
              <w:szCs w:val="24"/>
            </w:rPr>
            <w:t>24</w:t>
          </w:r>
          <w:r>
            <w:rPr>
              <w:sz w:val="24"/>
              <w:szCs w:val="24"/>
            </w:rPr>
            <w:fldChar w:fldCharType="end"/>
          </w:r>
          <w:r>
            <w:rPr>
              <w:rFonts w:hint="default" w:ascii="黑体" w:hAnsi="黑体" w:eastAsia="黑体" w:cs="黑体"/>
              <w:sz w:val="24"/>
              <w:szCs w:val="24"/>
              <w:lang w:val="en-US" w:eastAsia="zh-CN"/>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_Toc10136 </w:instrText>
          </w:r>
          <w:r>
            <w:rPr>
              <w:rFonts w:hint="default" w:ascii="黑体" w:hAnsi="黑体" w:eastAsia="黑体" w:cs="黑体"/>
              <w:sz w:val="24"/>
              <w:szCs w:val="24"/>
              <w:lang w:val="en-US" w:eastAsia="zh-CN"/>
            </w:rPr>
            <w:fldChar w:fldCharType="separate"/>
          </w:r>
          <w:r>
            <w:rPr>
              <w:rFonts w:hint="eastAsia" w:ascii="黑体" w:hAnsi="黑体" w:eastAsia="黑体" w:cs="黑体"/>
              <w:bCs w:val="0"/>
              <w:sz w:val="24"/>
              <w:szCs w:val="24"/>
              <w:lang w:val="en-US" w:eastAsia="zh-CN"/>
            </w:rPr>
            <w:t>七、附件</w:t>
          </w:r>
          <w:r>
            <w:rPr>
              <w:sz w:val="24"/>
              <w:szCs w:val="24"/>
            </w:rPr>
            <w:tab/>
          </w:r>
          <w:r>
            <w:rPr>
              <w:sz w:val="24"/>
              <w:szCs w:val="24"/>
            </w:rPr>
            <w:fldChar w:fldCharType="begin"/>
          </w:r>
          <w:r>
            <w:rPr>
              <w:sz w:val="24"/>
              <w:szCs w:val="24"/>
            </w:rPr>
            <w:instrText xml:space="preserve"> PAGEREF _Toc10136 \h </w:instrText>
          </w:r>
          <w:r>
            <w:rPr>
              <w:sz w:val="24"/>
              <w:szCs w:val="24"/>
            </w:rPr>
            <w:fldChar w:fldCharType="separate"/>
          </w:r>
          <w:r>
            <w:rPr>
              <w:sz w:val="24"/>
              <w:szCs w:val="24"/>
            </w:rPr>
            <w:t>24</w:t>
          </w:r>
          <w:r>
            <w:rPr>
              <w:sz w:val="24"/>
              <w:szCs w:val="24"/>
            </w:rPr>
            <w:fldChar w:fldCharType="end"/>
          </w:r>
          <w:r>
            <w:rPr>
              <w:rFonts w:hint="default" w:ascii="黑体" w:hAnsi="黑体" w:eastAsia="黑体" w:cs="黑体"/>
              <w:sz w:val="24"/>
              <w:szCs w:val="24"/>
              <w:lang w:val="en-US" w:eastAsia="zh-CN"/>
            </w:rPr>
            <w:fldChar w:fldCharType="end"/>
          </w:r>
        </w:p>
        <w:p>
          <w:pPr>
            <w:pStyle w:val="9"/>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_Toc7347 </w:instrText>
          </w:r>
          <w:r>
            <w:rPr>
              <w:rFonts w:hint="default" w:ascii="黑体" w:hAnsi="黑体" w:eastAsia="黑体" w:cs="黑体"/>
              <w:sz w:val="24"/>
              <w:szCs w:val="24"/>
              <w:lang w:val="en-US" w:eastAsia="zh-CN"/>
            </w:rPr>
            <w:fldChar w:fldCharType="separate"/>
          </w:r>
          <w:r>
            <w:rPr>
              <w:rFonts w:hint="eastAsia" w:ascii="楷体" w:hAnsi="楷体" w:eastAsia="楷体" w:cs="楷体"/>
              <w:bCs w:val="0"/>
              <w:sz w:val="24"/>
              <w:szCs w:val="24"/>
              <w:lang w:val="en-US" w:eastAsia="zh-CN"/>
            </w:rPr>
            <w:t>（一）财政项目支出绩效评价体系</w:t>
          </w:r>
          <w:r>
            <w:rPr>
              <w:sz w:val="24"/>
              <w:szCs w:val="24"/>
            </w:rPr>
            <w:tab/>
          </w:r>
          <w:r>
            <w:rPr>
              <w:sz w:val="24"/>
              <w:szCs w:val="24"/>
            </w:rPr>
            <w:fldChar w:fldCharType="begin"/>
          </w:r>
          <w:r>
            <w:rPr>
              <w:sz w:val="24"/>
              <w:szCs w:val="24"/>
            </w:rPr>
            <w:instrText xml:space="preserve"> PAGEREF _Toc7347 \h </w:instrText>
          </w:r>
          <w:r>
            <w:rPr>
              <w:sz w:val="24"/>
              <w:szCs w:val="24"/>
            </w:rPr>
            <w:fldChar w:fldCharType="separate"/>
          </w:r>
          <w:r>
            <w:rPr>
              <w:sz w:val="24"/>
              <w:szCs w:val="24"/>
            </w:rPr>
            <w:t>24</w:t>
          </w:r>
          <w:r>
            <w:rPr>
              <w:sz w:val="24"/>
              <w:szCs w:val="24"/>
            </w:rPr>
            <w:fldChar w:fldCharType="end"/>
          </w:r>
          <w:r>
            <w:rPr>
              <w:rFonts w:hint="default" w:ascii="黑体" w:hAnsi="黑体" w:eastAsia="黑体" w:cs="黑体"/>
              <w:sz w:val="24"/>
              <w:szCs w:val="24"/>
              <w:lang w:val="en-US" w:eastAsia="zh-CN"/>
            </w:rPr>
            <w:fldChar w:fldCharType="end"/>
          </w:r>
        </w:p>
        <w:p>
          <w:pPr>
            <w:pStyle w:val="9"/>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_Toc22896 </w:instrText>
          </w:r>
          <w:r>
            <w:rPr>
              <w:rFonts w:hint="default" w:ascii="黑体" w:hAnsi="黑体" w:eastAsia="黑体" w:cs="黑体"/>
              <w:sz w:val="24"/>
              <w:szCs w:val="24"/>
              <w:lang w:val="en-US" w:eastAsia="zh-CN"/>
            </w:rPr>
            <w:fldChar w:fldCharType="separate"/>
          </w:r>
          <w:r>
            <w:rPr>
              <w:rFonts w:hint="eastAsia" w:ascii="楷体" w:hAnsi="楷体" w:eastAsia="楷体" w:cs="楷体"/>
              <w:bCs w:val="0"/>
              <w:sz w:val="24"/>
              <w:szCs w:val="24"/>
              <w:lang w:val="en-US" w:eastAsia="zh-CN"/>
            </w:rPr>
            <w:t>（二）绩效目标完成情况对比表</w:t>
          </w:r>
          <w:r>
            <w:rPr>
              <w:sz w:val="24"/>
              <w:szCs w:val="24"/>
            </w:rPr>
            <w:tab/>
          </w:r>
          <w:r>
            <w:rPr>
              <w:sz w:val="24"/>
              <w:szCs w:val="24"/>
            </w:rPr>
            <w:fldChar w:fldCharType="begin"/>
          </w:r>
          <w:r>
            <w:rPr>
              <w:sz w:val="24"/>
              <w:szCs w:val="24"/>
            </w:rPr>
            <w:instrText xml:space="preserve"> PAGEREF _Toc22896 \h </w:instrText>
          </w:r>
          <w:r>
            <w:rPr>
              <w:sz w:val="24"/>
              <w:szCs w:val="24"/>
            </w:rPr>
            <w:fldChar w:fldCharType="separate"/>
          </w:r>
          <w:r>
            <w:rPr>
              <w:sz w:val="24"/>
              <w:szCs w:val="24"/>
            </w:rPr>
            <w:t>24</w:t>
          </w:r>
          <w:r>
            <w:rPr>
              <w:sz w:val="24"/>
              <w:szCs w:val="24"/>
            </w:rPr>
            <w:fldChar w:fldCharType="end"/>
          </w:r>
          <w:r>
            <w:rPr>
              <w:rFonts w:hint="default" w:ascii="黑体" w:hAnsi="黑体" w:eastAsia="黑体" w:cs="黑体"/>
              <w:sz w:val="24"/>
              <w:szCs w:val="24"/>
              <w:lang w:val="en-US" w:eastAsia="zh-CN"/>
            </w:rPr>
            <w:fldChar w:fldCharType="end"/>
          </w:r>
        </w:p>
        <w:p>
          <w:pPr>
            <w:pStyle w:val="9"/>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_Toc19841 </w:instrText>
          </w:r>
          <w:r>
            <w:rPr>
              <w:rFonts w:hint="default" w:ascii="黑体" w:hAnsi="黑体" w:eastAsia="黑体" w:cs="黑体"/>
              <w:sz w:val="24"/>
              <w:szCs w:val="24"/>
              <w:lang w:val="en-US" w:eastAsia="zh-CN"/>
            </w:rPr>
            <w:fldChar w:fldCharType="separate"/>
          </w:r>
          <w:r>
            <w:rPr>
              <w:rFonts w:hint="eastAsia" w:ascii="楷体" w:hAnsi="楷体" w:eastAsia="楷体" w:cs="楷体"/>
              <w:bCs w:val="0"/>
              <w:sz w:val="24"/>
              <w:szCs w:val="24"/>
              <w:lang w:val="en-US" w:eastAsia="zh-CN"/>
            </w:rPr>
            <w:t>（三）评价依据目录</w:t>
          </w:r>
          <w:r>
            <w:rPr>
              <w:sz w:val="24"/>
              <w:szCs w:val="24"/>
            </w:rPr>
            <w:tab/>
          </w:r>
          <w:r>
            <w:rPr>
              <w:sz w:val="24"/>
              <w:szCs w:val="24"/>
            </w:rPr>
            <w:fldChar w:fldCharType="begin"/>
          </w:r>
          <w:r>
            <w:rPr>
              <w:sz w:val="24"/>
              <w:szCs w:val="24"/>
            </w:rPr>
            <w:instrText xml:space="preserve"> PAGEREF _Toc19841 \h </w:instrText>
          </w:r>
          <w:r>
            <w:rPr>
              <w:sz w:val="24"/>
              <w:szCs w:val="24"/>
            </w:rPr>
            <w:fldChar w:fldCharType="separate"/>
          </w:r>
          <w:r>
            <w:rPr>
              <w:sz w:val="24"/>
              <w:szCs w:val="24"/>
            </w:rPr>
            <w:t>24</w:t>
          </w:r>
          <w:r>
            <w:rPr>
              <w:sz w:val="24"/>
              <w:szCs w:val="24"/>
            </w:rPr>
            <w:fldChar w:fldCharType="end"/>
          </w:r>
          <w:r>
            <w:rPr>
              <w:rFonts w:hint="default" w:ascii="黑体" w:hAnsi="黑体" w:eastAsia="黑体" w:cs="黑体"/>
              <w:sz w:val="24"/>
              <w:szCs w:val="24"/>
              <w:lang w:val="en-US" w:eastAsia="zh-CN"/>
            </w:rPr>
            <w:fldChar w:fldCharType="end"/>
          </w:r>
        </w:p>
        <w:p>
          <w:pPr>
            <w:keepNext w:val="0"/>
            <w:keepLines w:val="0"/>
            <w:pageBreakBefore w:val="0"/>
            <w:widowControl w:val="0"/>
            <w:kinsoku/>
            <w:wordWrap/>
            <w:overflowPunct/>
            <w:topLinePunct w:val="0"/>
            <w:autoSpaceDE/>
            <w:autoSpaceDN/>
            <w:bidi w:val="0"/>
            <w:adjustRightInd/>
            <w:snapToGrid/>
            <w:spacing w:line="400" w:lineRule="exact"/>
            <w:ind w:leftChars="0" w:firstLine="0" w:firstLineChars="0"/>
            <w:jc w:val="left"/>
            <w:textAlignment w:val="auto"/>
            <w:rPr>
              <w:rFonts w:hint="default" w:ascii="黑体" w:hAnsi="黑体" w:eastAsia="黑体" w:cs="黑体"/>
              <w:b/>
              <w:kern w:val="2"/>
              <w:sz w:val="21"/>
              <w:szCs w:val="28"/>
              <w:lang w:val="en-US" w:eastAsia="zh-CN" w:bidi="ar-SA"/>
            </w:rPr>
          </w:pPr>
          <w:r>
            <w:rPr>
              <w:rFonts w:hint="default" w:ascii="黑体" w:hAnsi="黑体" w:eastAsia="黑体" w:cs="黑体"/>
              <w:sz w:val="24"/>
              <w:szCs w:val="24"/>
              <w:lang w:val="en-US" w:eastAsia="zh-CN"/>
            </w:rPr>
            <w:fldChar w:fldCharType="end"/>
          </w:r>
        </w:p>
      </w:sdtContent>
    </w:sdt>
    <w:p>
      <w:pPr>
        <w:bidi w:val="0"/>
        <w:rPr>
          <w:rFonts w:hint="eastAsia" w:asciiTheme="minorHAnsi" w:hAnsiTheme="minorHAnsi" w:eastAsiaTheme="minorEastAsia" w:cstheme="minorBidi"/>
          <w:kern w:val="2"/>
          <w:sz w:val="21"/>
          <w:szCs w:val="24"/>
          <w:lang w:val="en-US" w:eastAsia="zh-CN" w:bidi="ar-SA"/>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center"/>
        <w:textAlignment w:val="auto"/>
        <w:outlineLvl w:val="0"/>
        <w:rPr>
          <w:rFonts w:hint="eastAsia" w:ascii="黑体" w:hAnsi="黑体" w:eastAsia="黑体" w:cs="黑体"/>
          <w:b w:val="0"/>
          <w:bCs w:val="0"/>
          <w:sz w:val="30"/>
          <w:szCs w:val="30"/>
          <w:lang w:val="en-US" w:eastAsia="zh-CN"/>
        </w:rPr>
        <w:sectPr>
          <w:footerReference r:id="rId4" w:type="default"/>
          <w:pgSz w:w="11906" w:h="16838"/>
          <w:pgMar w:top="1440" w:right="1800" w:bottom="1440" w:left="1800" w:header="851" w:footer="992" w:gutter="0"/>
          <w:pgNumType w:fmt="decimal" w:start="1"/>
          <w:cols w:space="425" w:num="1"/>
          <w:docGrid w:type="lines" w:linePitch="312" w:charSpace="0"/>
        </w:sectPr>
      </w:pPr>
      <w:bookmarkStart w:id="0" w:name="_Toc20996"/>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center"/>
        <w:textAlignment w:val="auto"/>
        <w:outlineLvl w:val="0"/>
        <w:rPr>
          <w:rFonts w:hint="eastAsia" w:ascii="仿宋" w:hAnsi="仿宋" w:eastAsia="仿宋" w:cs="仿宋"/>
          <w:b w:val="0"/>
          <w:bCs w:val="0"/>
          <w:sz w:val="30"/>
          <w:szCs w:val="30"/>
          <w:lang w:val="en-US" w:eastAsia="zh-CN"/>
        </w:rPr>
      </w:pPr>
      <w:r>
        <w:rPr>
          <w:rFonts w:hint="eastAsia" w:ascii="黑体" w:hAnsi="黑体" w:eastAsia="黑体" w:cs="黑体"/>
          <w:b w:val="0"/>
          <w:bCs w:val="0"/>
          <w:sz w:val="30"/>
          <w:szCs w:val="30"/>
          <w:lang w:val="en-US" w:eastAsia="zh-CN"/>
        </w:rPr>
        <w:t>摘要</w:t>
      </w:r>
      <w:bookmarkEnd w:id="0"/>
    </w:p>
    <w:p>
      <w:pPr>
        <w:pStyle w:val="4"/>
        <w:keepNext w:val="0"/>
        <w:keepLines w:val="0"/>
        <w:pageBreakBefore w:val="0"/>
        <w:widowControl w:val="0"/>
        <w:kinsoku/>
        <w:wordWrap/>
        <w:overflowPunct/>
        <w:topLinePunct w:val="0"/>
        <w:autoSpaceDE/>
        <w:autoSpaceDN/>
        <w:bidi w:val="0"/>
        <w:adjustRightInd/>
        <w:snapToGrid/>
        <w:spacing w:after="0" w:afterLines="0" w:line="560" w:lineRule="exact"/>
        <w:ind w:firstLine="600" w:firstLineChars="200"/>
        <w:jc w:val="both"/>
        <w:textAlignment w:val="auto"/>
        <w:rPr>
          <w:rFonts w:hint="eastAsia" w:ascii="仿宋" w:hAnsi="仿宋" w:eastAsia="仿宋" w:cs="仿宋"/>
          <w:b w:val="0"/>
          <w:bCs w:val="0"/>
          <w:sz w:val="30"/>
          <w:szCs w:val="30"/>
          <w:highlight w:val="none"/>
          <w:lang w:val="en-US" w:eastAsia="zh-CN"/>
        </w:rPr>
      </w:pPr>
      <w:r>
        <w:rPr>
          <w:rFonts w:hint="eastAsia" w:ascii="仿宋" w:hAnsi="仿宋" w:eastAsia="仿宋" w:cs="仿宋"/>
          <w:smallCaps w:val="0"/>
          <w:kern w:val="2"/>
          <w:sz w:val="30"/>
          <w:szCs w:val="30"/>
          <w:highlight w:val="none"/>
          <w:lang w:val="en-US" w:eastAsia="zh-CN" w:bidi="ar-SA"/>
        </w:rPr>
        <w:t>阿坝县民族宗教局健康饮茶“送茶入户”采购项目</w:t>
      </w:r>
      <w:r>
        <w:rPr>
          <w:rFonts w:hint="eastAsia" w:ascii="仿宋" w:hAnsi="仿宋" w:eastAsia="仿宋" w:cs="仿宋"/>
          <w:b w:val="0"/>
          <w:bCs w:val="0"/>
          <w:sz w:val="30"/>
          <w:szCs w:val="30"/>
          <w:highlight w:val="none"/>
          <w:lang w:val="en-US" w:eastAsia="zh-CN"/>
        </w:rPr>
        <w:t>由阿坝县民族宗教局进行申报，成都青云致远工程咨询有限公司受阿坝县财政局委托进行本次绩效评价工作。</w:t>
      </w:r>
    </w:p>
    <w:p>
      <w:pPr>
        <w:pStyle w:val="4"/>
        <w:keepNext w:val="0"/>
        <w:keepLines w:val="0"/>
        <w:pageBreakBefore w:val="0"/>
        <w:widowControl w:val="0"/>
        <w:kinsoku/>
        <w:wordWrap/>
        <w:overflowPunct/>
        <w:topLinePunct w:val="0"/>
        <w:autoSpaceDE/>
        <w:autoSpaceDN/>
        <w:bidi w:val="0"/>
        <w:adjustRightInd/>
        <w:snapToGrid/>
        <w:spacing w:after="0" w:afterLines="0" w:line="560" w:lineRule="exact"/>
        <w:ind w:firstLine="600" w:firstLineChars="200"/>
        <w:jc w:val="both"/>
        <w:textAlignment w:val="auto"/>
        <w:rPr>
          <w:rFonts w:hint="default"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项目位于阿坝县，为让贫困群众切实感受党中央国务院和省委省政府的关心关怀发放对象为阿坝县2018年底尚未脱贫的建档立卡贫困户，共计1117人。每人免费赠送低氟砖茶2公斤。</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本项目立项预估资金总额为14.00万元，资金文件依据为阿坝县发展和改革局批复列示，项目资金来源为中央和省级财政衔接推进乡村振兴补助资金。根据阿坝州财政局、阿坝州乡村振兴局、阿坝州发改委《阿州财农(2023)14号》文件、阿坝县财政局《阿县财农(2023)8号》文件。经</w:t>
      </w:r>
      <w:r>
        <w:rPr>
          <w:rFonts w:hint="eastAsia" w:ascii="仿宋" w:hAnsi="仿宋" w:eastAsia="仿宋" w:cs="仿宋"/>
          <w:sz w:val="30"/>
          <w:szCs w:val="30"/>
          <w:lang w:val="en-US" w:eastAsia="zh-CN"/>
        </w:rPr>
        <w:t>确认后项目预算金额为</w:t>
      </w:r>
      <w:r>
        <w:rPr>
          <w:rFonts w:hint="eastAsia" w:ascii="仿宋" w:hAnsi="仿宋" w:eastAsia="仿宋" w:cs="仿宋"/>
          <w:b w:val="0"/>
          <w:bCs w:val="0"/>
          <w:sz w:val="30"/>
          <w:szCs w:val="30"/>
          <w:lang w:val="en-US" w:eastAsia="zh-CN"/>
        </w:rPr>
        <w:t>14.00万元</w:t>
      </w:r>
      <w:r>
        <w:rPr>
          <w:rFonts w:hint="eastAsia" w:ascii="仿宋" w:hAnsi="仿宋" w:eastAsia="仿宋" w:cs="仿宋"/>
          <w:sz w:val="30"/>
          <w:szCs w:val="30"/>
          <w:lang w:val="en-US" w:eastAsia="zh-CN"/>
        </w:rPr>
        <w:t>，已下达资金</w:t>
      </w:r>
      <w:r>
        <w:rPr>
          <w:rFonts w:hint="eastAsia" w:ascii="仿宋" w:hAnsi="仿宋" w:eastAsia="仿宋" w:cs="仿宋"/>
          <w:b w:val="0"/>
          <w:bCs w:val="0"/>
          <w:sz w:val="30"/>
          <w:szCs w:val="30"/>
          <w:lang w:val="en-US" w:eastAsia="zh-CN"/>
        </w:rPr>
        <w:t>14.00万元</w:t>
      </w:r>
      <w:r>
        <w:rPr>
          <w:rFonts w:hint="eastAsia" w:ascii="仿宋" w:hAnsi="仿宋" w:eastAsia="仿宋" w:cs="仿宋"/>
          <w:sz w:val="30"/>
          <w:szCs w:val="30"/>
          <w:lang w:val="en-US" w:eastAsia="zh-CN"/>
        </w:rPr>
        <w:t>，已支付资金</w:t>
      </w:r>
      <w:r>
        <w:rPr>
          <w:rFonts w:hint="eastAsia" w:ascii="仿宋" w:hAnsi="仿宋" w:eastAsia="仿宋" w:cs="仿宋"/>
          <w:b w:val="0"/>
          <w:bCs w:val="0"/>
          <w:sz w:val="30"/>
          <w:szCs w:val="30"/>
          <w:lang w:val="en-US" w:eastAsia="zh-CN"/>
        </w:rPr>
        <w:t>137,011.22元。</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color w:val="auto"/>
          <w:kern w:val="2"/>
          <w:sz w:val="30"/>
          <w:szCs w:val="30"/>
          <w:highlight w:val="none"/>
          <w:lang w:val="en-US" w:eastAsia="zh-CN" w:bidi="ar-SA"/>
        </w:rPr>
      </w:pPr>
      <w:r>
        <w:rPr>
          <w:rFonts w:hint="eastAsia" w:ascii="仿宋" w:hAnsi="仿宋" w:eastAsia="仿宋" w:cs="仿宋"/>
          <w:color w:val="auto"/>
          <w:kern w:val="2"/>
          <w:sz w:val="30"/>
          <w:szCs w:val="30"/>
          <w:highlight w:val="none"/>
          <w:lang w:val="en-US" w:eastAsia="zh-CN" w:bidi="ar-SA"/>
        </w:rPr>
        <w:t>项目已于2023年7月24日验收，验收鉴定为合格。</w:t>
      </w:r>
    </w:p>
    <w:p>
      <w:pPr>
        <w:pStyle w:val="4"/>
        <w:keepNext w:val="0"/>
        <w:keepLines w:val="0"/>
        <w:pageBreakBefore w:val="0"/>
        <w:widowControl w:val="0"/>
        <w:kinsoku/>
        <w:wordWrap/>
        <w:overflowPunct/>
        <w:topLinePunct w:val="0"/>
        <w:autoSpaceDE/>
        <w:autoSpaceDN/>
        <w:bidi w:val="0"/>
        <w:adjustRightInd/>
        <w:snapToGrid/>
        <w:spacing w:after="0" w:afterLines="0" w:line="560" w:lineRule="exact"/>
        <w:ind w:firstLine="600" w:firstLineChars="200"/>
        <w:jc w:val="both"/>
        <w:textAlignment w:val="auto"/>
        <w:rPr>
          <w:rFonts w:hint="eastAsia" w:ascii="仿宋" w:hAnsi="仿宋" w:eastAsia="仿宋" w:cs="仿宋"/>
          <w:b w:val="0"/>
          <w:bCs w:val="0"/>
          <w:sz w:val="30"/>
          <w:szCs w:val="30"/>
          <w:highlight w:val="yellow"/>
          <w:lang w:val="en-US" w:eastAsia="zh-CN"/>
        </w:rPr>
      </w:pPr>
      <w:r>
        <w:rPr>
          <w:rFonts w:hint="eastAsia" w:ascii="仿宋" w:hAnsi="仿宋" w:eastAsia="仿宋" w:cs="仿宋"/>
          <w:color w:val="auto"/>
          <w:kern w:val="2"/>
          <w:sz w:val="30"/>
          <w:szCs w:val="30"/>
          <w:highlight w:val="none"/>
          <w:lang w:val="en-US" w:eastAsia="zh-CN" w:bidi="ar-SA"/>
        </w:rPr>
        <w:t>评价组运用针对本项目设计的评价指标体系及评分标准，通过基础数据采集</w:t>
      </w:r>
      <w:r>
        <w:rPr>
          <w:rFonts w:hint="eastAsia" w:ascii="仿宋" w:hAnsi="仿宋" w:eastAsia="仿宋" w:cs="仿宋"/>
          <w:color w:val="auto"/>
          <w:sz w:val="30"/>
          <w:szCs w:val="30"/>
          <w:highlight w:val="none"/>
          <w:lang w:val="en-US" w:eastAsia="zh-CN"/>
        </w:rPr>
        <w:t>并核实、问卷调查及访谈获取数据，得出</w:t>
      </w:r>
      <w:r>
        <w:rPr>
          <w:rFonts w:hint="default" w:ascii="仿宋" w:hAnsi="仿宋" w:eastAsia="仿宋" w:cs="仿宋"/>
          <w:sz w:val="30"/>
          <w:szCs w:val="30"/>
          <w:highlight w:val="none"/>
          <w:lang w:val="en-US" w:eastAsia="zh-CN"/>
        </w:rPr>
        <w:t>该项目完成情况较好。</w:t>
      </w:r>
      <w:r>
        <w:rPr>
          <w:rFonts w:hint="eastAsia" w:ascii="仿宋" w:hAnsi="仿宋" w:eastAsia="仿宋" w:cs="仿宋"/>
          <w:sz w:val="30"/>
          <w:szCs w:val="30"/>
          <w:highlight w:val="none"/>
          <w:lang w:val="en-US" w:eastAsia="zh-CN"/>
        </w:rPr>
        <w:t>本项目具有</w:t>
      </w:r>
      <w:r>
        <w:rPr>
          <w:rFonts w:hint="default" w:ascii="仿宋" w:hAnsi="仿宋" w:eastAsia="仿宋" w:cs="仿宋"/>
          <w:sz w:val="30"/>
          <w:szCs w:val="30"/>
          <w:highlight w:val="none"/>
          <w:lang w:val="en-US" w:eastAsia="zh-CN"/>
        </w:rPr>
        <w:t>较规范的项目决策、</w:t>
      </w:r>
      <w:r>
        <w:rPr>
          <w:rFonts w:hint="eastAsia" w:ascii="仿宋" w:hAnsi="仿宋" w:eastAsia="仿宋" w:cs="仿宋"/>
          <w:sz w:val="30"/>
          <w:szCs w:val="30"/>
          <w:highlight w:val="none"/>
          <w:lang w:val="en-US" w:eastAsia="zh-CN"/>
        </w:rPr>
        <w:t>较好的项目产出</w:t>
      </w:r>
      <w:r>
        <w:rPr>
          <w:rFonts w:hint="default" w:ascii="仿宋" w:hAnsi="仿宋" w:eastAsia="仿宋" w:cs="仿宋"/>
          <w:sz w:val="30"/>
          <w:szCs w:val="30"/>
          <w:highlight w:val="none"/>
          <w:lang w:val="en-US" w:eastAsia="zh-CN"/>
        </w:rPr>
        <w:t>，</w:t>
      </w:r>
      <w:r>
        <w:rPr>
          <w:rFonts w:hint="eastAsia" w:ascii="仿宋" w:hAnsi="仿宋" w:eastAsia="仿宋" w:cs="仿宋"/>
          <w:sz w:val="30"/>
          <w:szCs w:val="30"/>
          <w:highlight w:val="none"/>
          <w:lang w:val="en-US" w:eastAsia="zh-CN"/>
        </w:rPr>
        <w:t>除项目</w:t>
      </w:r>
      <w:r>
        <w:rPr>
          <w:rFonts w:hint="default" w:ascii="仿宋" w:hAnsi="仿宋" w:eastAsia="仿宋" w:cs="仿宋"/>
          <w:sz w:val="30"/>
          <w:szCs w:val="30"/>
          <w:highlight w:val="none"/>
          <w:lang w:val="en-US" w:eastAsia="zh-CN"/>
        </w:rPr>
        <w:t>单位提供的验收报告未见发放记录结果确认单</w:t>
      </w:r>
      <w:r>
        <w:rPr>
          <w:rFonts w:hint="eastAsia" w:ascii="仿宋" w:hAnsi="仿宋" w:eastAsia="仿宋" w:cs="仿宋"/>
          <w:sz w:val="30"/>
          <w:szCs w:val="30"/>
          <w:highlight w:val="none"/>
          <w:lang w:val="en-US" w:eastAsia="zh-CN"/>
        </w:rPr>
        <w:t>、</w:t>
      </w:r>
      <w:r>
        <w:rPr>
          <w:rFonts w:hint="default" w:ascii="仿宋" w:hAnsi="仿宋" w:eastAsia="仿宋" w:cs="仿宋"/>
          <w:sz w:val="30"/>
          <w:szCs w:val="30"/>
          <w:highlight w:val="none"/>
          <w:lang w:val="en-US" w:eastAsia="zh-CN"/>
        </w:rPr>
        <w:t>项目未设置产出数量指标、时效指标、未设置经济效益指标，未制定相应财务管理制度、业务管理制度外，较好地完成了阿坝县民族宗教局健康饮茶“送茶入户”采购项目。从验收和调研结果以及满意度调查结果分析，项目实施后能够实现预期效益，帮扶贫困户，维护民族团结，项目基本实现了立项时的绩效目标。</w:t>
      </w:r>
      <w:r>
        <w:rPr>
          <w:rFonts w:hint="eastAsia" w:ascii="仿宋" w:hAnsi="仿宋" w:eastAsia="仿宋" w:cs="仿宋"/>
          <w:color w:val="auto"/>
          <w:sz w:val="30"/>
          <w:szCs w:val="30"/>
          <w:highlight w:val="none"/>
          <w:lang w:val="en-US" w:eastAsia="zh-CN"/>
        </w:rPr>
        <w:t>最终评分得分为89.41分</w:t>
      </w:r>
      <w:r>
        <w:rPr>
          <w:rFonts w:hint="eastAsia" w:ascii="仿宋" w:hAnsi="仿宋" w:eastAsia="仿宋" w:cs="仿宋"/>
          <w:sz w:val="30"/>
          <w:szCs w:val="30"/>
          <w:highlight w:val="none"/>
          <w:lang w:val="en-US" w:eastAsia="zh-CN"/>
        </w:rPr>
        <w:t>，属于“良”。</w:t>
      </w:r>
    </w:p>
    <w:p>
      <w:pPr>
        <w:pStyle w:val="4"/>
        <w:rPr>
          <w:rFonts w:hint="eastAsia" w:ascii="仿宋" w:hAnsi="仿宋" w:eastAsia="仿宋" w:cs="仿宋"/>
          <w:b w:val="0"/>
          <w:bCs w:val="0"/>
          <w:sz w:val="30"/>
          <w:szCs w:val="30"/>
          <w:lang w:val="en-US" w:eastAsia="zh-CN"/>
        </w:rPr>
      </w:pPr>
    </w:p>
    <w:p>
      <w:pPr>
        <w:pStyle w:val="4"/>
        <w:rPr>
          <w:rFonts w:hint="default" w:ascii="仿宋" w:hAnsi="仿宋" w:eastAsia="仿宋" w:cs="仿宋"/>
          <w:b w:val="0"/>
          <w:bCs w:val="0"/>
          <w:sz w:val="30"/>
          <w:szCs w:val="30"/>
          <w:lang w:val="en-US" w:eastAsia="zh-CN"/>
        </w:rPr>
        <w:sectPr>
          <w:footerReference r:id="rId5" w:type="default"/>
          <w:pgSz w:w="11906" w:h="16838"/>
          <w:pgMar w:top="1440" w:right="1800" w:bottom="1440" w:left="1800" w:header="851" w:footer="992" w:gutter="0"/>
          <w:pgNumType w:fmt="decimal" w:start="1"/>
          <w:cols w:space="425" w:num="1"/>
          <w:docGrid w:type="lines" w:linePitch="312" w:charSpace="0"/>
        </w:sect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center"/>
        <w:textAlignment w:val="auto"/>
        <w:outlineLvl w:val="9"/>
        <w:rPr>
          <w:rFonts w:hint="eastAsia" w:ascii="仿宋" w:hAnsi="仿宋" w:eastAsia="仿宋" w:cs="仿宋"/>
          <w:smallCaps w:val="0"/>
          <w:kern w:val="2"/>
          <w:sz w:val="32"/>
          <w:szCs w:val="32"/>
          <w:lang w:val="en-US" w:eastAsia="zh-CN" w:bidi="ar-SA"/>
        </w:rPr>
      </w:pPr>
      <w:r>
        <w:rPr>
          <w:rFonts w:hint="eastAsia" w:ascii="黑体" w:hAnsi="黑体" w:eastAsia="黑体" w:cs="黑体"/>
          <w:b w:val="0"/>
          <w:bCs w:val="0"/>
          <w:sz w:val="32"/>
          <w:szCs w:val="32"/>
          <w:lang w:val="en-US" w:eastAsia="zh-CN"/>
        </w:rPr>
        <w:t>阿坝县民族宗教局健康饮茶“送茶入户”采购项目</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center"/>
        <w:textAlignment w:val="auto"/>
        <w:outlineLvl w:val="9"/>
        <w:rPr>
          <w:rFonts w:hint="default" w:ascii="黑体" w:hAnsi="黑体" w:eastAsia="黑体" w:cs="黑体"/>
          <w:b w:val="0"/>
          <w:bCs w:val="0"/>
          <w:sz w:val="30"/>
          <w:szCs w:val="30"/>
          <w:lang w:val="en-US" w:eastAsia="zh-CN"/>
        </w:rPr>
      </w:pPr>
      <w:r>
        <w:rPr>
          <w:rFonts w:hint="eastAsia" w:ascii="黑体" w:hAnsi="黑体" w:eastAsia="黑体" w:cs="黑体"/>
          <w:b w:val="0"/>
          <w:bCs w:val="0"/>
          <w:sz w:val="32"/>
          <w:szCs w:val="32"/>
          <w:lang w:val="en-US" w:eastAsia="zh-CN"/>
        </w:rPr>
        <w:t>财政项目支出绩效评价报告</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黑体" w:hAnsi="黑体" w:eastAsia="黑体" w:cs="黑体"/>
          <w:b w:val="0"/>
          <w:bCs w:val="0"/>
          <w:sz w:val="30"/>
          <w:szCs w:val="30"/>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0"/>
        <w:rPr>
          <w:rFonts w:hint="eastAsia" w:ascii="黑体" w:hAnsi="黑体" w:eastAsia="黑体" w:cs="黑体"/>
          <w:b w:val="0"/>
          <w:bCs w:val="0"/>
          <w:kern w:val="2"/>
          <w:sz w:val="30"/>
          <w:szCs w:val="30"/>
          <w:lang w:val="en-US" w:eastAsia="zh-CN" w:bidi="ar-SA"/>
        </w:rPr>
      </w:pPr>
      <w:bookmarkStart w:id="1" w:name="_Toc18594"/>
      <w:r>
        <w:rPr>
          <w:rFonts w:hint="eastAsia" w:ascii="黑体" w:hAnsi="黑体" w:eastAsia="黑体" w:cs="黑体"/>
          <w:b w:val="0"/>
          <w:bCs w:val="0"/>
          <w:sz w:val="30"/>
          <w:szCs w:val="30"/>
          <w:lang w:val="en-US" w:eastAsia="zh-CN"/>
        </w:rPr>
        <w:t>一、项目基本情况</w:t>
      </w:r>
      <w:bookmarkEnd w:id="1"/>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1"/>
        <w:rPr>
          <w:rFonts w:hint="default" w:ascii="楷体" w:hAnsi="楷体" w:eastAsia="楷体" w:cs="楷体"/>
          <w:b w:val="0"/>
          <w:bCs w:val="0"/>
          <w:sz w:val="30"/>
          <w:szCs w:val="30"/>
          <w:lang w:val="en-US" w:eastAsia="zh-CN"/>
        </w:rPr>
      </w:pPr>
      <w:bookmarkStart w:id="2" w:name="_Toc13225"/>
      <w:r>
        <w:rPr>
          <w:rFonts w:hint="eastAsia" w:ascii="楷体" w:hAnsi="楷体" w:eastAsia="楷体" w:cs="楷体"/>
          <w:b w:val="0"/>
          <w:bCs w:val="0"/>
          <w:sz w:val="30"/>
          <w:szCs w:val="30"/>
          <w:lang w:val="en-US" w:eastAsia="zh-CN"/>
        </w:rPr>
        <w:t>（一）项目概况</w:t>
      </w:r>
      <w:bookmarkEnd w:id="2"/>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2"/>
        <w:rPr>
          <w:rFonts w:hint="eastAsia" w:ascii="仿宋" w:hAnsi="仿宋" w:eastAsia="仿宋" w:cs="仿宋"/>
          <w:b w:val="0"/>
          <w:bCs w:val="0"/>
          <w:sz w:val="30"/>
          <w:szCs w:val="30"/>
          <w:lang w:val="en-US" w:eastAsia="zh-CN"/>
        </w:rPr>
      </w:pPr>
      <w:bookmarkStart w:id="3" w:name="_Toc24758"/>
      <w:r>
        <w:rPr>
          <w:rFonts w:hint="eastAsia" w:ascii="仿宋" w:hAnsi="仿宋" w:eastAsia="仿宋" w:cs="仿宋"/>
          <w:b w:val="0"/>
          <w:bCs w:val="0"/>
          <w:sz w:val="30"/>
          <w:szCs w:val="30"/>
          <w:lang w:val="en-US" w:eastAsia="zh-CN"/>
        </w:rPr>
        <w:t>1、背景及目的</w:t>
      </w:r>
      <w:bookmarkEnd w:id="3"/>
      <w:r>
        <w:rPr>
          <w:rFonts w:hint="eastAsia" w:ascii="仿宋" w:hAnsi="仿宋" w:eastAsia="仿宋" w:cs="仿宋"/>
          <w:b w:val="0"/>
          <w:bCs w:val="0"/>
          <w:sz w:val="30"/>
          <w:szCs w:val="30"/>
          <w:lang w:val="en-US" w:eastAsia="zh-CN"/>
        </w:rPr>
        <w:t>、立项依据</w:t>
      </w:r>
    </w:p>
    <w:p>
      <w:pPr>
        <w:keepNext w:val="0"/>
        <w:keepLines w:val="0"/>
        <w:pageBreakBefore w:val="0"/>
        <w:widowControl/>
        <w:suppressLineNumbers w:val="0"/>
        <w:kinsoku/>
        <w:wordWrap/>
        <w:overflowPunct/>
        <w:topLinePunct w:val="0"/>
        <w:autoSpaceDE/>
        <w:autoSpaceDN/>
        <w:bidi w:val="0"/>
        <w:adjustRightInd/>
        <w:spacing w:line="560" w:lineRule="exact"/>
        <w:ind w:firstLine="600" w:firstLineChars="200"/>
        <w:jc w:val="both"/>
        <w:textAlignment w:val="auto"/>
        <w:outlineLvl w:val="3"/>
        <w:rPr>
          <w:rFonts w:hint="default" w:ascii="仿宋" w:hAnsi="仿宋" w:eastAsia="仿宋" w:cs="仿宋"/>
          <w:b w:val="0"/>
          <w:bCs w:val="0"/>
          <w:sz w:val="30"/>
          <w:szCs w:val="30"/>
          <w:lang w:val="en-US" w:eastAsia="zh-CN"/>
        </w:rPr>
      </w:pPr>
      <w:bookmarkStart w:id="4" w:name="_Toc16559"/>
      <w:r>
        <w:rPr>
          <w:rFonts w:hint="eastAsia" w:ascii="仿宋" w:hAnsi="仿宋" w:eastAsia="仿宋" w:cs="仿宋"/>
          <w:b w:val="0"/>
          <w:bCs w:val="0"/>
          <w:sz w:val="30"/>
          <w:szCs w:val="30"/>
          <w:lang w:val="en-US" w:eastAsia="zh-CN"/>
        </w:rPr>
        <w:t>（1）背景及目的</w:t>
      </w:r>
    </w:p>
    <w:bookmarkEnd w:id="4"/>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bookmarkStart w:id="5" w:name="_Toc7858"/>
      <w:r>
        <w:rPr>
          <w:rFonts w:hint="eastAsia" w:ascii="仿宋" w:hAnsi="仿宋" w:eastAsia="仿宋" w:cs="仿宋"/>
          <w:sz w:val="30"/>
          <w:szCs w:val="30"/>
          <w:lang w:val="en-US" w:eastAsia="zh-CN"/>
        </w:rPr>
        <w:t>为进一步增强少数民族群众健康观念，巩固“健康饮茶”试点成果，逐步引导树立消费符合国家标准砖茶的习惯，按照国家民委等7部委在我省开展“健康饮茶”试点工作开展要求，根据省委省政府、州委州政府《关于继续开展“健康饮茶”送茶入户试点工作的通知》，为让贫困群众切实感受党中央国务院和省委省政府的关心关怀</w:t>
      </w:r>
      <w:r>
        <w:rPr>
          <w:rFonts w:hint="eastAsia" w:ascii="仿宋" w:hAnsi="仿宋" w:eastAsia="仿宋" w:cs="仿宋"/>
          <w:b w:val="0"/>
          <w:bCs w:val="0"/>
          <w:sz w:val="30"/>
          <w:szCs w:val="30"/>
          <w:lang w:val="en-US"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3"/>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（2）项目立项依据</w:t>
      </w:r>
      <w:bookmarkEnd w:id="5"/>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color w:val="000000"/>
          <w:kern w:val="0"/>
          <w:sz w:val="30"/>
          <w:szCs w:val="30"/>
          <w:lang w:val="en-US" w:eastAsia="zh-CN" w:bidi="ar"/>
        </w:rPr>
      </w:pPr>
      <w:bookmarkStart w:id="6" w:name="_Toc29008"/>
      <w:r>
        <w:rPr>
          <w:rFonts w:hint="default" w:ascii="仿宋" w:hAnsi="仿宋" w:eastAsia="仿宋" w:cs="仿宋"/>
          <w:color w:val="000000"/>
          <w:kern w:val="0"/>
          <w:sz w:val="30"/>
          <w:szCs w:val="30"/>
          <w:lang w:val="en-US" w:eastAsia="zh-CN" w:bidi="ar"/>
        </w:rPr>
        <w:t>《</w:t>
      </w:r>
      <w:r>
        <w:rPr>
          <w:rFonts w:hint="eastAsia" w:ascii="仿宋" w:hAnsi="仿宋" w:eastAsia="仿宋" w:cs="仿宋"/>
          <w:sz w:val="30"/>
          <w:szCs w:val="30"/>
          <w:lang w:val="en-US" w:eastAsia="zh-CN"/>
        </w:rPr>
        <w:t>关于继续开展“健康饮茶”送茶入户试点工作的通知</w:t>
      </w:r>
      <w:r>
        <w:rPr>
          <w:rFonts w:hint="default" w:ascii="仿宋" w:hAnsi="仿宋" w:eastAsia="仿宋" w:cs="仿宋"/>
          <w:color w:val="000000"/>
          <w:kern w:val="0"/>
          <w:sz w:val="30"/>
          <w:szCs w:val="30"/>
          <w:lang w:val="en-US" w:eastAsia="zh-CN" w:bidi="ar"/>
        </w:rPr>
        <w:t>》指出“坚持以习近平新时代中国特色社会主义思想为指导，深入贯彻落实中央民族工作会议精神，以铸牢中华民族共同体意识为主线，坚持以人民为中心的发展理念，认真落实区市县党委决策部署，立足我县实际，紧紧围绕“茶叶市场流通监管”和“健康饮茶习惯培养”两个关键，大力推广健康茶，引导各族群众形成健康科学的饮茶习惯，为满足人民群众日益增长的健康需求奠定坚实基础”。开展“健康饮茶”送茶入户工作，是贯彻党关于加强和改进民族工作重要思想的重大举措，是铸牢中华民族共同体意识的具体体现，也是新时代党和国家关心人民健康作出的重要部署。</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2"/>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2、项目资金投入和使用情况</w:t>
      </w:r>
      <w:bookmarkEnd w:id="6"/>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3"/>
        <w:rPr>
          <w:rFonts w:hint="eastAsia" w:ascii="仿宋" w:hAnsi="仿宋" w:eastAsia="仿宋" w:cs="仿宋"/>
          <w:b w:val="0"/>
          <w:bCs w:val="0"/>
          <w:sz w:val="30"/>
          <w:szCs w:val="30"/>
          <w:lang w:val="en-US" w:eastAsia="zh-CN"/>
        </w:rPr>
      </w:pPr>
      <w:bookmarkStart w:id="7" w:name="_Toc23348"/>
      <w:r>
        <w:rPr>
          <w:rFonts w:hint="eastAsia" w:ascii="仿宋" w:hAnsi="仿宋" w:eastAsia="仿宋" w:cs="仿宋"/>
          <w:b w:val="0"/>
          <w:bCs w:val="0"/>
          <w:sz w:val="30"/>
          <w:szCs w:val="30"/>
          <w:lang w:val="en-US" w:eastAsia="zh-CN"/>
        </w:rPr>
        <w:t>（1）项目资金预算及投入</w:t>
      </w:r>
      <w:bookmarkEnd w:id="7"/>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bookmarkStart w:id="8" w:name="_Toc16705"/>
      <w:r>
        <w:rPr>
          <w:rFonts w:hint="eastAsia" w:ascii="仿宋" w:hAnsi="仿宋" w:eastAsia="仿宋" w:cs="仿宋"/>
          <w:b w:val="0"/>
          <w:bCs w:val="0"/>
          <w:sz w:val="30"/>
          <w:szCs w:val="30"/>
          <w:lang w:val="en-US" w:eastAsia="zh-CN"/>
        </w:rPr>
        <w:t>本项目立项预估资金总额为14.00万元，资金来源为少数民族发展资金。资金文件依据为阿坝州财政局、阿坝州乡村振兴局、阿坝州发改委《阿州财农(2023)14号》文件、阿坝县财政局《阿县财农(2023)8号》文件。实际</w:t>
      </w:r>
      <w:r>
        <w:rPr>
          <w:rFonts w:hint="eastAsia" w:ascii="仿宋" w:hAnsi="仿宋" w:eastAsia="仿宋" w:cs="仿宋"/>
          <w:sz w:val="30"/>
          <w:szCs w:val="30"/>
          <w:lang w:val="en-US" w:eastAsia="zh-CN"/>
        </w:rPr>
        <w:t>项目预算金额为</w:t>
      </w:r>
      <w:r>
        <w:rPr>
          <w:rFonts w:hint="eastAsia" w:ascii="仿宋" w:hAnsi="仿宋" w:eastAsia="仿宋" w:cs="仿宋"/>
          <w:b w:val="0"/>
          <w:bCs w:val="0"/>
          <w:sz w:val="30"/>
          <w:szCs w:val="30"/>
          <w:lang w:val="en-US" w:eastAsia="zh-CN"/>
        </w:rPr>
        <w:t>14.00万元</w:t>
      </w:r>
      <w:r>
        <w:rPr>
          <w:rFonts w:hint="eastAsia" w:ascii="仿宋" w:hAnsi="仿宋" w:eastAsia="仿宋" w:cs="仿宋"/>
          <w:sz w:val="30"/>
          <w:szCs w:val="30"/>
          <w:lang w:val="en-US" w:eastAsia="zh-CN"/>
        </w:rPr>
        <w:t>，已下达资金</w:t>
      </w:r>
      <w:r>
        <w:rPr>
          <w:rFonts w:hint="eastAsia" w:ascii="仿宋" w:hAnsi="仿宋" w:eastAsia="仿宋" w:cs="仿宋"/>
          <w:b w:val="0"/>
          <w:bCs w:val="0"/>
          <w:sz w:val="30"/>
          <w:szCs w:val="30"/>
          <w:lang w:val="en-US" w:eastAsia="zh-CN"/>
        </w:rPr>
        <w:t>14.00万元</w:t>
      </w:r>
      <w:r>
        <w:rPr>
          <w:rFonts w:hint="eastAsia" w:ascii="仿宋" w:hAnsi="仿宋" w:eastAsia="仿宋" w:cs="仿宋"/>
          <w:sz w:val="30"/>
          <w:szCs w:val="30"/>
          <w:lang w:val="en-US"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3"/>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（2）项目资金使用情况</w:t>
      </w:r>
      <w:bookmarkEnd w:id="8"/>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bookmarkStart w:id="9" w:name="_Toc2339"/>
      <w:r>
        <w:rPr>
          <w:rFonts w:hint="eastAsia" w:ascii="仿宋" w:hAnsi="仿宋" w:eastAsia="仿宋" w:cs="仿宋"/>
          <w:b w:val="0"/>
          <w:bCs w:val="0"/>
          <w:sz w:val="30"/>
          <w:szCs w:val="30"/>
          <w:lang w:val="en-US" w:eastAsia="zh-CN"/>
        </w:rPr>
        <w:t>截至绩效评价日2023年10月30日，本项目</w:t>
      </w:r>
      <w:r>
        <w:rPr>
          <w:rFonts w:hint="eastAsia" w:ascii="仿宋" w:hAnsi="仿宋" w:eastAsia="仿宋" w:cs="仿宋"/>
          <w:sz w:val="30"/>
          <w:szCs w:val="30"/>
          <w:lang w:val="en-US" w:eastAsia="zh-CN"/>
        </w:rPr>
        <w:t>已下达资金</w:t>
      </w:r>
      <w:r>
        <w:rPr>
          <w:rFonts w:hint="eastAsia" w:ascii="仿宋" w:hAnsi="仿宋" w:eastAsia="仿宋" w:cs="仿宋"/>
          <w:b w:val="0"/>
          <w:bCs w:val="0"/>
          <w:sz w:val="30"/>
          <w:szCs w:val="30"/>
          <w:lang w:val="en-US" w:eastAsia="zh-CN"/>
        </w:rPr>
        <w:t>14.00万元</w:t>
      </w:r>
      <w:r>
        <w:rPr>
          <w:rFonts w:hint="eastAsia" w:ascii="仿宋" w:hAnsi="仿宋" w:eastAsia="仿宋" w:cs="仿宋"/>
          <w:sz w:val="30"/>
          <w:szCs w:val="30"/>
          <w:lang w:val="en-US" w:eastAsia="zh-CN"/>
        </w:rPr>
        <w:t>，本项目已</w:t>
      </w:r>
      <w:r>
        <w:rPr>
          <w:rFonts w:hint="eastAsia" w:ascii="仿宋" w:hAnsi="仿宋" w:eastAsia="仿宋" w:cs="仿宋"/>
          <w:b w:val="0"/>
          <w:bCs w:val="0"/>
          <w:sz w:val="30"/>
          <w:szCs w:val="30"/>
          <w:lang w:val="en-US" w:eastAsia="zh-CN"/>
        </w:rPr>
        <w:t>支付137,011.22元。</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2"/>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3、项目主要内容及实施情况</w:t>
      </w:r>
      <w:bookmarkEnd w:id="9"/>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bookmarkStart w:id="10" w:name="_Toc21455"/>
      <w:r>
        <w:rPr>
          <w:rFonts w:hint="eastAsia" w:ascii="仿宋" w:hAnsi="仿宋" w:eastAsia="仿宋" w:cs="仿宋"/>
          <w:b w:val="0"/>
          <w:bCs w:val="0"/>
          <w:sz w:val="30"/>
          <w:szCs w:val="30"/>
          <w:lang w:val="en-US" w:eastAsia="zh-CN"/>
        </w:rPr>
        <w:t>根据本项目实施方案，项目地位于阿坝县，对象为阿坝县贫困户。规模为“健康饮茶”发放对象为阿坝县2018年底尚未脱贫的建档立卡贫困户，共计1117人。每人免费赠送低氟砖茶2公斤。采购1117份边销茶，采购的边销茶必须符合《砖茶含氟量》（GB19965-2005）及相关食品安全国家标准。纳入采购的边销茶包装上必须印有“不忘初心跟党走”“国家健康饮茶民生保障工程”“符合GB19965-2005标准”“产品可追溯”标识等一标准两标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lang w:val="en-US" w:eastAsia="zh-CN"/>
        </w:rPr>
        <w:t>本项目经符合规定的采购程序后确定供货单位，最终确定雅安市友谊茶叶有限公司</w:t>
      </w:r>
      <w:r>
        <w:rPr>
          <w:rFonts w:hint="eastAsia" w:ascii="仿宋" w:hAnsi="仿宋" w:eastAsia="仿宋" w:cs="仿宋"/>
          <w:sz w:val="30"/>
          <w:szCs w:val="30"/>
          <w:highlight w:val="none"/>
          <w:lang w:val="en-US" w:eastAsia="zh-CN"/>
        </w:rPr>
        <w:t>任</w:t>
      </w:r>
      <w:r>
        <w:rPr>
          <w:rFonts w:hint="eastAsia" w:ascii="仿宋" w:hAnsi="仿宋" w:eastAsia="仿宋" w:cs="仿宋"/>
          <w:b w:val="0"/>
          <w:bCs w:val="0"/>
          <w:sz w:val="30"/>
          <w:szCs w:val="30"/>
          <w:lang w:val="en-US" w:eastAsia="zh-CN"/>
        </w:rPr>
        <w:t>供货</w:t>
      </w:r>
      <w:r>
        <w:rPr>
          <w:rFonts w:hint="eastAsia" w:ascii="仿宋" w:hAnsi="仿宋" w:eastAsia="仿宋" w:cs="仿宋"/>
          <w:sz w:val="30"/>
          <w:szCs w:val="30"/>
          <w:highlight w:val="none"/>
          <w:lang w:val="en-US" w:eastAsia="zh-CN"/>
        </w:rPr>
        <w:t>单位，</w:t>
      </w:r>
      <w:r>
        <w:rPr>
          <w:rFonts w:hint="eastAsia" w:ascii="仿宋" w:hAnsi="仿宋" w:eastAsia="仿宋" w:cs="仿宋"/>
          <w:b w:val="0"/>
          <w:bCs w:val="0"/>
          <w:sz w:val="30"/>
          <w:szCs w:val="30"/>
          <w:highlight w:val="none"/>
          <w:lang w:val="en-US" w:eastAsia="zh-CN"/>
        </w:rPr>
        <w:t>项目于2023年7月24日完工验收，出具验收报告。</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2"/>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4、组织及管理情况</w:t>
      </w:r>
      <w:bookmarkEnd w:id="10"/>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3"/>
        <w:rPr>
          <w:rFonts w:hint="default" w:ascii="仿宋" w:hAnsi="仿宋" w:eastAsia="仿宋" w:cs="仿宋"/>
          <w:b w:val="0"/>
          <w:bCs w:val="0"/>
          <w:sz w:val="30"/>
          <w:szCs w:val="30"/>
          <w:lang w:val="en-US" w:eastAsia="zh-CN"/>
        </w:rPr>
      </w:pPr>
      <w:bookmarkStart w:id="11" w:name="_Toc24895"/>
      <w:r>
        <w:rPr>
          <w:rFonts w:hint="eastAsia" w:ascii="仿宋" w:hAnsi="仿宋" w:eastAsia="仿宋" w:cs="仿宋"/>
          <w:b w:val="0"/>
          <w:bCs w:val="0"/>
          <w:sz w:val="30"/>
          <w:szCs w:val="30"/>
          <w:lang w:val="en-US" w:eastAsia="zh-CN"/>
        </w:rPr>
        <w:t>（1）项目组织情况</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default" w:ascii="仿宋" w:hAnsi="仿宋" w:eastAsia="仿宋" w:cs="仿宋"/>
          <w:b w:val="0"/>
          <w:bCs w:val="0"/>
          <w:sz w:val="30"/>
          <w:szCs w:val="30"/>
          <w:lang w:val="en-US" w:eastAsia="zh-CN"/>
        </w:rPr>
        <w:t>本项目业主单位为</w:t>
      </w:r>
      <w:r>
        <w:rPr>
          <w:rFonts w:hint="eastAsia" w:ascii="仿宋" w:hAnsi="仿宋" w:eastAsia="仿宋" w:cs="仿宋"/>
          <w:b w:val="0"/>
          <w:bCs w:val="0"/>
          <w:sz w:val="30"/>
          <w:szCs w:val="30"/>
          <w:lang w:val="en-US" w:eastAsia="zh-CN"/>
        </w:rPr>
        <w:t>阿坝县民族宗教局</w:t>
      </w:r>
      <w:r>
        <w:rPr>
          <w:rFonts w:hint="default" w:ascii="仿宋" w:hAnsi="仿宋" w:eastAsia="仿宋" w:cs="仿宋"/>
          <w:b w:val="0"/>
          <w:bCs w:val="0"/>
          <w:sz w:val="30"/>
          <w:szCs w:val="30"/>
          <w:lang w:val="en-US" w:eastAsia="zh-CN"/>
        </w:rPr>
        <w:t>，系阿坝县人民政府的职能部门，其主要职能之一为：协调民族关系，办好有关少数民族各项权利的事宜，加强民族团结进步教育，反对敌对势力的分裂活动，维护祖国统一和全县稳定、团结、繁荣。分析经济运行情况，协助拟定全县改革开放、经济发展规划；参与制定全县国民经济中长期发展规划，会同有关部门制定全县改革开放、发展经济的特殊政策和措施，参与和监督国家和省、州用于扶持民族地区发展的各项专项贷款、专项资金的分配和使用管理工作。对全县各种宗教和宗教活动情况进行调查研究，掌握动态和发展趋势，及时向县政府提出报告，并提出处理问题的可靠依据。协调组织、人事部门做好少数民族干部的培养、教育、使用工作，加强各类人才的培养，加强民族干部的联系。密切配合有关部门，坚决抵制、揭露、打击境外敌对势力利用宗教开展渗透破坏活动。参与研究制定我县发展民族教育、文化、科技、体育、卫生事业的政策和规划。</w:t>
      </w:r>
      <w:bookmarkEnd w:id="11"/>
      <w:bookmarkStart w:id="12" w:name="_Toc21143"/>
      <w:r>
        <w:rPr>
          <w:rFonts w:hint="eastAsia" w:ascii="仿宋" w:hAnsi="仿宋" w:eastAsia="仿宋" w:cs="仿宋"/>
          <w:b w:val="0"/>
          <w:bCs w:val="0"/>
          <w:sz w:val="30"/>
          <w:szCs w:val="30"/>
          <w:lang w:val="en-US" w:eastAsia="zh-CN"/>
        </w:rPr>
        <w:t>为阿坝县人民政府职能部门，</w:t>
      </w:r>
      <w:r>
        <w:rPr>
          <w:rFonts w:hint="eastAsia" w:ascii="仿宋" w:hAnsi="仿宋" w:eastAsia="仿宋" w:cs="仿宋"/>
          <w:sz w:val="30"/>
          <w:szCs w:val="30"/>
          <w:lang w:val="en-US" w:eastAsia="zh-CN"/>
        </w:rPr>
        <w:t>在国家、省、州的相关规划和政策指引下，主管实施本项目，为其履行职能并完成国家、省、州的相关任务和规划的具体举措。</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项目供货单位为雅安市友谊茶叶有限公司。本项目施工单位为合法存立的具有参与本项目实施的单位，具有相关资质条件，且参与本项目均通过符合采购相关流程。</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3"/>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（2）项目管理实施</w:t>
      </w:r>
      <w:bookmarkEnd w:id="12"/>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bookmarkStart w:id="13" w:name="_Toc15047"/>
      <w:r>
        <w:rPr>
          <w:rFonts w:hint="eastAsia" w:ascii="仿宋" w:hAnsi="仿宋" w:eastAsia="仿宋" w:cs="仿宋"/>
          <w:b w:val="0"/>
          <w:bCs w:val="0"/>
          <w:sz w:val="30"/>
          <w:szCs w:val="30"/>
          <w:lang w:val="en-US" w:eastAsia="zh-CN"/>
        </w:rPr>
        <w:t>本工程项目责任主体为阿坝县民族宗教局，由阿坝县民族宗教局牵头开展项目的建设实施。由阿坝县民族宗教局统一管理。本项目业主单位为阿坝县民族宗教局，根据项目的实施内容和特点、本单位人员情况，成立本项目实施小组，全面负责实施进度、项目投资和资金管理等。</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3"/>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（3）项目管理制度</w:t>
      </w:r>
      <w:bookmarkEnd w:id="13"/>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bookmarkStart w:id="14" w:name="_Toc23760"/>
      <w:r>
        <w:rPr>
          <w:rFonts w:hint="eastAsia" w:ascii="仿宋" w:hAnsi="仿宋" w:eastAsia="仿宋" w:cs="仿宋"/>
          <w:b w:val="0"/>
          <w:bCs w:val="0"/>
          <w:sz w:val="30"/>
          <w:szCs w:val="30"/>
          <w:lang w:val="en-US" w:eastAsia="zh-CN"/>
        </w:rPr>
        <w:t>根据与阿坝县财政局、阿坝县民族宗教局咨询，当前项目单位未针对本项目制定相关的项目管理制度。本项目沿用阿坝县类似项目管理制度执行。</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3"/>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（4）财务管理制度</w:t>
      </w:r>
      <w:bookmarkEnd w:id="14"/>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color w:val="auto"/>
          <w:sz w:val="30"/>
          <w:szCs w:val="30"/>
          <w:highlight w:val="none"/>
          <w:lang w:val="en-US" w:eastAsia="zh-CN"/>
        </w:rPr>
        <w:t>阿坝县民族宗教局暂未针对阿坝县民族宗教局健康饮茶“送茶入户”采购项目制定财务管理制度，本项目财务制度沿用</w:t>
      </w:r>
      <w:r>
        <w:rPr>
          <w:rFonts w:hint="eastAsia" w:ascii="仿宋" w:hAnsi="仿宋" w:eastAsia="仿宋" w:cs="仿宋"/>
          <w:b w:val="0"/>
          <w:bCs w:val="0"/>
          <w:sz w:val="30"/>
          <w:szCs w:val="30"/>
          <w:lang w:val="en-US" w:eastAsia="zh-CN"/>
        </w:rPr>
        <w:t>类似项目</w:t>
      </w:r>
      <w:r>
        <w:rPr>
          <w:rFonts w:hint="eastAsia" w:ascii="仿宋" w:hAnsi="仿宋" w:eastAsia="仿宋" w:cs="仿宋"/>
          <w:color w:val="auto"/>
          <w:sz w:val="30"/>
          <w:szCs w:val="30"/>
          <w:highlight w:val="none"/>
          <w:lang w:val="en-US" w:eastAsia="zh-CN"/>
        </w:rPr>
        <w:t>的财务管理制度及政府部门相关财务管理制度。</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1"/>
        <w:rPr>
          <w:rFonts w:hint="eastAsia" w:ascii="楷体" w:hAnsi="楷体" w:eastAsia="楷体" w:cs="楷体"/>
          <w:b w:val="0"/>
          <w:bCs w:val="0"/>
          <w:sz w:val="30"/>
          <w:szCs w:val="30"/>
          <w:lang w:val="en-US" w:eastAsia="zh-CN"/>
        </w:rPr>
      </w:pPr>
      <w:bookmarkStart w:id="15" w:name="_Toc1509"/>
      <w:r>
        <w:rPr>
          <w:rFonts w:hint="eastAsia" w:ascii="楷体" w:hAnsi="楷体" w:eastAsia="楷体" w:cs="楷体"/>
          <w:b w:val="0"/>
          <w:bCs w:val="0"/>
          <w:sz w:val="30"/>
          <w:szCs w:val="30"/>
          <w:lang w:val="en-US" w:eastAsia="zh-CN"/>
        </w:rPr>
        <w:t>（二）项目绩效目标</w:t>
      </w:r>
      <w:bookmarkEnd w:id="15"/>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bookmarkStart w:id="16" w:name="_Toc26826"/>
      <w:r>
        <w:rPr>
          <w:rFonts w:hint="eastAsia" w:ascii="仿宋" w:hAnsi="仿宋" w:eastAsia="仿宋" w:cs="仿宋"/>
          <w:b w:val="0"/>
          <w:bCs w:val="0"/>
          <w:sz w:val="30"/>
          <w:szCs w:val="30"/>
          <w:lang w:val="en-US" w:eastAsia="zh-CN"/>
        </w:rPr>
        <w:t>阿坝县民族宗教局结合项目情况根据项目建设内容、项目预期产出、项目实施计划、资金筹措、项目服务对象、项目效益等方面的具体情况，设置了三级绩效目标申报表，一级目标分为产出目标和效益目标：</w:t>
      </w:r>
    </w:p>
    <w:bookmarkEnd w:id="16"/>
    <w:tbl>
      <w:tblPr>
        <w:tblStyle w:val="1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0" w:type="dxa"/>
          <w:left w:w="108" w:type="dxa"/>
          <w:bottom w:w="0" w:type="dxa"/>
          <w:right w:w="108" w:type="dxa"/>
        </w:tblCellMar>
      </w:tblPr>
      <w:tblGrid>
        <w:gridCol w:w="436"/>
        <w:gridCol w:w="1070"/>
        <w:gridCol w:w="1756"/>
        <w:gridCol w:w="2770"/>
        <w:gridCol w:w="24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8522" w:type="dxa"/>
            <w:gridSpan w:val="5"/>
            <w:shd w:val="clear" w:color="auto" w:fill="auto"/>
            <w:vAlign w:val="center"/>
          </w:tcPr>
          <w:p>
            <w:pPr>
              <w:keepNext w:val="0"/>
              <w:keepLines w:val="0"/>
              <w:widowControl/>
              <w:suppressLineNumbers w:val="0"/>
              <w:spacing w:line="360" w:lineRule="exact"/>
              <w:jc w:val="center"/>
              <w:textAlignment w:val="center"/>
              <w:rPr>
                <w:rFonts w:ascii="黑体" w:hAnsi="宋体" w:eastAsia="黑体" w:cs="黑体"/>
                <w:i w:val="0"/>
                <w:iCs w:val="0"/>
                <w:color w:val="000000"/>
                <w:sz w:val="32"/>
                <w:szCs w:val="32"/>
                <w:u w:val="none"/>
              </w:rPr>
            </w:pPr>
            <w:r>
              <w:rPr>
                <w:rFonts w:hint="eastAsia" w:ascii="黑体" w:hAnsi="宋体" w:eastAsia="黑体" w:cs="黑体"/>
                <w:i w:val="0"/>
                <w:iCs w:val="0"/>
                <w:color w:val="000000"/>
                <w:kern w:val="0"/>
                <w:sz w:val="32"/>
                <w:szCs w:val="32"/>
                <w:u w:val="none"/>
                <w:lang w:val="en-US" w:eastAsia="zh-CN" w:bidi="ar"/>
              </w:rPr>
              <w:t>项目绩效目标申报表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0" w:type="auto"/>
            <w:gridSpan w:val="3"/>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填报单位</w:t>
            </w:r>
          </w:p>
        </w:tc>
        <w:tc>
          <w:tcPr>
            <w:tcW w:w="5260" w:type="dxa"/>
            <w:gridSpan w:val="2"/>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阿坝县民族宗教局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jc w:val="center"/>
        </w:trPr>
        <w:tc>
          <w:tcPr>
            <w:tcW w:w="0" w:type="auto"/>
            <w:gridSpan w:val="3"/>
            <w:shd w:val="clear" w:color="auto" w:fill="auto"/>
            <w:vAlign w:val="center"/>
          </w:tcPr>
          <w:p>
            <w:pPr>
              <w:keepNext w:val="0"/>
              <w:keepLines w:val="0"/>
              <w:widowControl/>
              <w:suppressLineNumbers w:val="0"/>
              <w:jc w:val="center"/>
              <w:textAlignment w:val="center"/>
              <w:rPr>
                <w:rFonts w:hint="eastAsia" w:ascii="黑体" w:hAnsi="宋体" w:eastAsia="黑体" w:cs="黑体"/>
                <w:i w:val="0"/>
                <w:iCs w:val="0"/>
                <w:color w:val="000000"/>
                <w:sz w:val="22"/>
                <w:szCs w:val="22"/>
                <w:u w:val="none"/>
              </w:rPr>
            </w:pPr>
            <w:r>
              <w:rPr>
                <w:rFonts w:hint="eastAsia" w:ascii="黑体" w:hAnsi="宋体" w:eastAsia="黑体" w:cs="黑体"/>
                <w:i w:val="0"/>
                <w:iCs w:val="0"/>
                <w:color w:val="000000"/>
                <w:kern w:val="0"/>
                <w:sz w:val="22"/>
                <w:szCs w:val="22"/>
                <w:u w:val="none"/>
                <w:lang w:val="en-US" w:eastAsia="zh-CN" w:bidi="ar"/>
              </w:rPr>
              <w:t>项目名称</w:t>
            </w:r>
          </w:p>
        </w:tc>
        <w:tc>
          <w:tcPr>
            <w:tcW w:w="5260" w:type="dxa"/>
            <w:gridSpan w:val="2"/>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阿坝县民族宗教局健康饮茶“送茶入户”采购项目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jc w:val="center"/>
        </w:trPr>
        <w:tc>
          <w:tcPr>
            <w:tcW w:w="0" w:type="auto"/>
            <w:vMerge w:val="restart"/>
            <w:shd w:val="clear" w:color="auto" w:fill="auto"/>
            <w:vAlign w:val="center"/>
          </w:tcPr>
          <w:p>
            <w:pPr>
              <w:keepNext w:val="0"/>
              <w:keepLines w:val="0"/>
              <w:widowControl/>
              <w:suppressLineNumbers w:val="0"/>
              <w:jc w:val="center"/>
              <w:textAlignment w:val="center"/>
              <w:rPr>
                <w:rFonts w:hint="eastAsia" w:ascii="黑体" w:hAnsi="宋体" w:eastAsia="黑体" w:cs="黑体"/>
                <w:i w:val="0"/>
                <w:iCs w:val="0"/>
                <w:color w:val="000000"/>
                <w:kern w:val="0"/>
                <w:sz w:val="22"/>
                <w:szCs w:val="22"/>
                <w:u w:val="none"/>
                <w:lang w:val="en-US" w:eastAsia="zh-CN" w:bidi="ar"/>
              </w:rPr>
            </w:pPr>
            <w:r>
              <w:rPr>
                <w:rFonts w:hint="eastAsia" w:ascii="黑体" w:hAnsi="宋体" w:eastAsia="黑体" w:cs="黑体"/>
                <w:i w:val="0"/>
                <w:iCs w:val="0"/>
                <w:color w:val="000000"/>
                <w:kern w:val="0"/>
                <w:sz w:val="22"/>
                <w:szCs w:val="22"/>
                <w:u w:val="none"/>
                <w:lang w:val="en-US" w:eastAsia="zh-CN" w:bidi="ar"/>
              </w:rPr>
              <w:t>绩</w:t>
            </w:r>
          </w:p>
          <w:p>
            <w:pPr>
              <w:keepNext w:val="0"/>
              <w:keepLines w:val="0"/>
              <w:widowControl/>
              <w:suppressLineNumbers w:val="0"/>
              <w:jc w:val="center"/>
              <w:textAlignment w:val="center"/>
              <w:rPr>
                <w:rFonts w:hint="eastAsia" w:ascii="黑体" w:hAnsi="宋体" w:eastAsia="黑体" w:cs="黑体"/>
                <w:i w:val="0"/>
                <w:iCs w:val="0"/>
                <w:color w:val="000000"/>
                <w:kern w:val="0"/>
                <w:sz w:val="22"/>
                <w:szCs w:val="22"/>
                <w:u w:val="none"/>
                <w:lang w:val="en-US" w:eastAsia="zh-CN" w:bidi="ar"/>
              </w:rPr>
            </w:pPr>
            <w:r>
              <w:rPr>
                <w:rFonts w:hint="eastAsia" w:ascii="黑体" w:hAnsi="宋体" w:eastAsia="黑体" w:cs="黑体"/>
                <w:i w:val="0"/>
                <w:iCs w:val="0"/>
                <w:color w:val="000000"/>
                <w:kern w:val="0"/>
                <w:sz w:val="22"/>
                <w:szCs w:val="22"/>
                <w:u w:val="none"/>
                <w:lang w:val="en-US" w:eastAsia="zh-CN" w:bidi="ar"/>
              </w:rPr>
              <w:t>效</w:t>
            </w:r>
          </w:p>
          <w:p>
            <w:pPr>
              <w:keepNext w:val="0"/>
              <w:keepLines w:val="0"/>
              <w:widowControl/>
              <w:suppressLineNumbers w:val="0"/>
              <w:jc w:val="center"/>
              <w:textAlignment w:val="center"/>
              <w:rPr>
                <w:rFonts w:hint="eastAsia" w:ascii="黑体" w:hAnsi="宋体" w:eastAsia="黑体" w:cs="黑体"/>
                <w:i w:val="0"/>
                <w:iCs w:val="0"/>
                <w:color w:val="000000"/>
                <w:kern w:val="0"/>
                <w:sz w:val="22"/>
                <w:szCs w:val="22"/>
                <w:u w:val="none"/>
                <w:lang w:val="en-US" w:eastAsia="zh-CN" w:bidi="ar"/>
              </w:rPr>
            </w:pPr>
            <w:r>
              <w:rPr>
                <w:rFonts w:hint="eastAsia" w:ascii="黑体" w:hAnsi="宋体" w:eastAsia="黑体" w:cs="黑体"/>
                <w:i w:val="0"/>
                <w:iCs w:val="0"/>
                <w:color w:val="000000"/>
                <w:kern w:val="0"/>
                <w:sz w:val="22"/>
                <w:szCs w:val="22"/>
                <w:u w:val="none"/>
                <w:lang w:val="en-US" w:eastAsia="zh-CN" w:bidi="ar"/>
              </w:rPr>
              <w:t>指</w:t>
            </w:r>
          </w:p>
          <w:p>
            <w:pPr>
              <w:keepNext w:val="0"/>
              <w:keepLines w:val="0"/>
              <w:widowControl/>
              <w:suppressLineNumbers w:val="0"/>
              <w:jc w:val="center"/>
              <w:textAlignment w:val="center"/>
              <w:rPr>
                <w:rFonts w:hint="eastAsia" w:ascii="黑体" w:hAnsi="宋体" w:eastAsia="黑体" w:cs="黑体"/>
                <w:i w:val="0"/>
                <w:iCs w:val="0"/>
                <w:color w:val="000000"/>
                <w:sz w:val="22"/>
                <w:szCs w:val="22"/>
                <w:u w:val="none"/>
              </w:rPr>
            </w:pPr>
            <w:r>
              <w:rPr>
                <w:rFonts w:hint="eastAsia" w:ascii="黑体" w:hAnsi="宋体" w:eastAsia="黑体" w:cs="黑体"/>
                <w:i w:val="0"/>
                <w:iCs w:val="0"/>
                <w:color w:val="000000"/>
                <w:kern w:val="0"/>
                <w:sz w:val="22"/>
                <w:szCs w:val="22"/>
                <w:u w:val="none"/>
                <w:lang w:val="en-US" w:eastAsia="zh-CN" w:bidi="ar"/>
              </w:rPr>
              <w:t>标</w:t>
            </w:r>
          </w:p>
        </w:tc>
        <w:tc>
          <w:tcPr>
            <w:tcW w:w="0" w:type="auto"/>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kern w:val="0"/>
                <w:sz w:val="22"/>
                <w:szCs w:val="22"/>
                <w:u w:val="none"/>
                <w:lang w:val="en-US" w:eastAsia="zh-CN" w:bidi="ar"/>
              </w:rPr>
            </w:pPr>
            <w:r>
              <w:rPr>
                <w:rFonts w:hint="eastAsia" w:ascii="黑体" w:hAnsi="宋体" w:eastAsia="黑体" w:cs="黑体"/>
                <w:b/>
                <w:bCs/>
                <w:i w:val="0"/>
                <w:iCs w:val="0"/>
                <w:color w:val="000000"/>
                <w:kern w:val="0"/>
                <w:sz w:val="22"/>
                <w:szCs w:val="22"/>
                <w:u w:val="none"/>
                <w:lang w:val="en-US" w:eastAsia="zh-CN" w:bidi="ar"/>
              </w:rPr>
              <w:t>一级</w:t>
            </w:r>
          </w:p>
          <w:p>
            <w:pPr>
              <w:keepNext w:val="0"/>
              <w:keepLines w:val="0"/>
              <w:widowControl/>
              <w:suppressLineNumbers w:val="0"/>
              <w:jc w:val="center"/>
              <w:textAlignment w:val="center"/>
              <w:rPr>
                <w:rFonts w:hint="eastAsia" w:ascii="黑体" w:hAnsi="宋体" w:eastAsia="黑体" w:cs="黑体"/>
                <w:b/>
                <w:bCs/>
                <w:i w:val="0"/>
                <w:iCs w:val="0"/>
                <w:color w:val="000000"/>
                <w:sz w:val="22"/>
                <w:szCs w:val="22"/>
                <w:u w:val="none"/>
              </w:rPr>
            </w:pPr>
            <w:r>
              <w:rPr>
                <w:rFonts w:hint="eastAsia" w:ascii="黑体" w:hAnsi="宋体" w:eastAsia="黑体" w:cs="黑体"/>
                <w:b/>
                <w:bCs/>
                <w:i w:val="0"/>
                <w:iCs w:val="0"/>
                <w:color w:val="000000"/>
                <w:kern w:val="0"/>
                <w:sz w:val="22"/>
                <w:szCs w:val="22"/>
                <w:u w:val="none"/>
                <w:lang w:val="en-US" w:eastAsia="zh-CN" w:bidi="ar"/>
              </w:rPr>
              <w:t>指标</w:t>
            </w:r>
          </w:p>
        </w:tc>
        <w:tc>
          <w:tcPr>
            <w:tcW w:w="0" w:type="auto"/>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22"/>
                <w:szCs w:val="22"/>
                <w:u w:val="none"/>
              </w:rPr>
            </w:pPr>
            <w:r>
              <w:rPr>
                <w:rFonts w:hint="eastAsia" w:ascii="黑体" w:hAnsi="宋体" w:eastAsia="黑体" w:cs="黑体"/>
                <w:b/>
                <w:bCs/>
                <w:i w:val="0"/>
                <w:iCs w:val="0"/>
                <w:color w:val="000000"/>
                <w:kern w:val="0"/>
                <w:sz w:val="22"/>
                <w:szCs w:val="22"/>
                <w:u w:val="none"/>
                <w:lang w:val="en-US" w:eastAsia="zh-CN" w:bidi="ar"/>
              </w:rPr>
              <w:t>二级指标</w:t>
            </w:r>
          </w:p>
        </w:tc>
        <w:tc>
          <w:tcPr>
            <w:tcW w:w="0" w:type="auto"/>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22"/>
                <w:szCs w:val="22"/>
                <w:u w:val="none"/>
              </w:rPr>
            </w:pPr>
            <w:r>
              <w:rPr>
                <w:rFonts w:hint="eastAsia" w:ascii="黑体" w:hAnsi="宋体" w:eastAsia="黑体" w:cs="黑体"/>
                <w:b/>
                <w:bCs/>
                <w:i w:val="0"/>
                <w:iCs w:val="0"/>
                <w:color w:val="000000"/>
                <w:kern w:val="0"/>
                <w:sz w:val="22"/>
                <w:szCs w:val="22"/>
                <w:u w:val="none"/>
                <w:lang w:val="en-US" w:eastAsia="zh-CN" w:bidi="ar"/>
              </w:rPr>
              <w:t>三级指标</w:t>
            </w:r>
          </w:p>
        </w:tc>
        <w:tc>
          <w:tcPr>
            <w:tcW w:w="2490" w:type="dxa"/>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22"/>
                <w:szCs w:val="22"/>
                <w:u w:val="none"/>
              </w:rPr>
            </w:pPr>
            <w:r>
              <w:rPr>
                <w:rFonts w:hint="eastAsia" w:ascii="黑体" w:hAnsi="宋体" w:eastAsia="黑体" w:cs="黑体"/>
                <w:b/>
                <w:bCs/>
                <w:i w:val="0"/>
                <w:iCs w:val="0"/>
                <w:color w:val="000000"/>
                <w:kern w:val="0"/>
                <w:sz w:val="22"/>
                <w:szCs w:val="22"/>
                <w:u w:val="none"/>
                <w:lang w:val="en-US" w:eastAsia="zh-CN" w:bidi="ar"/>
              </w:rPr>
              <w:t>指标值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jc w:val="center"/>
        </w:trPr>
        <w:tc>
          <w:tcPr>
            <w:tcW w:w="0" w:type="auto"/>
            <w:vMerge w:val="continue"/>
            <w:shd w:val="clear" w:color="auto" w:fill="auto"/>
            <w:vAlign w:val="center"/>
          </w:tcPr>
          <w:p>
            <w:pPr>
              <w:jc w:val="center"/>
              <w:rPr>
                <w:rFonts w:hint="eastAsia" w:ascii="黑体" w:hAnsi="宋体" w:eastAsia="黑体" w:cs="黑体"/>
                <w:i w:val="0"/>
                <w:iCs w:val="0"/>
                <w:color w:val="000000"/>
                <w:sz w:val="22"/>
                <w:szCs w:val="22"/>
                <w:u w:val="none"/>
              </w:rPr>
            </w:pPr>
          </w:p>
        </w:tc>
        <w:tc>
          <w:tcPr>
            <w:tcW w:w="1070" w:type="dxa"/>
            <w:vMerge w:val="restart"/>
            <w:shd w:val="clear" w:color="auto" w:fill="auto"/>
            <w:vAlign w:val="center"/>
          </w:tcPr>
          <w:p>
            <w:pPr>
              <w:jc w:val="center"/>
              <w:rPr>
                <w:rFonts w:hint="default" w:ascii="宋体" w:hAnsi="宋体" w:eastAsia="宋体" w:cs="宋体"/>
                <w:i w:val="0"/>
                <w:iCs w:val="0"/>
                <w:color w:val="000000"/>
                <w:sz w:val="22"/>
                <w:szCs w:val="22"/>
                <w:u w:val="none"/>
                <w:lang w:val="en-US" w:eastAsia="zh-CN"/>
              </w:rPr>
            </w:pPr>
            <w:r>
              <w:rPr>
                <w:rFonts w:hint="eastAsia" w:ascii="宋体" w:hAnsi="宋体" w:eastAsia="宋体" w:cs="宋体"/>
                <w:i w:val="0"/>
                <w:iCs w:val="0"/>
                <w:color w:val="000000"/>
                <w:sz w:val="22"/>
                <w:szCs w:val="22"/>
                <w:u w:val="none"/>
                <w:lang w:val="en-US" w:eastAsia="zh-CN"/>
              </w:rPr>
              <w:t>产出指标</w:t>
            </w:r>
          </w:p>
        </w:tc>
        <w:tc>
          <w:tcPr>
            <w:tcW w:w="1756"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质量指标</w:t>
            </w:r>
          </w:p>
        </w:tc>
        <w:tc>
          <w:tcPr>
            <w:tcW w:w="0" w:type="auto"/>
            <w:shd w:val="clear" w:color="auto" w:fill="auto"/>
            <w:vAlign w:val="center"/>
          </w:tcPr>
          <w:p>
            <w:pPr>
              <w:keepNext w:val="0"/>
              <w:keepLines w:val="0"/>
              <w:widowControl/>
              <w:suppressLineNumbers w:val="0"/>
              <w:jc w:val="left"/>
              <w:textAlignment w:val="center"/>
              <w:rPr>
                <w:rFonts w:hint="default" w:ascii="宋体" w:hAnsi="宋体" w:eastAsia="宋体" w:cs="宋体"/>
                <w:i w:val="0"/>
                <w:iCs w:val="0"/>
                <w:color w:val="000000"/>
                <w:sz w:val="22"/>
                <w:szCs w:val="22"/>
                <w:u w:val="none"/>
                <w:lang w:val="en-US"/>
              </w:rPr>
            </w:pPr>
            <w:r>
              <w:rPr>
                <w:rFonts w:hint="eastAsia" w:ascii="宋体" w:hAnsi="宋体" w:eastAsia="宋体" w:cs="宋体"/>
                <w:i w:val="0"/>
                <w:iCs w:val="0"/>
                <w:color w:val="000000"/>
                <w:kern w:val="0"/>
                <w:sz w:val="22"/>
                <w:szCs w:val="22"/>
                <w:u w:val="none"/>
                <w:lang w:val="en-US" w:eastAsia="zh-CN" w:bidi="ar"/>
              </w:rPr>
              <w:t>指标1：完成指标率达100%</w:t>
            </w:r>
          </w:p>
        </w:tc>
        <w:tc>
          <w:tcPr>
            <w:tcW w:w="2490" w:type="dxa"/>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sz w:val="22"/>
                <w:szCs w:val="22"/>
                <w:u w:val="none"/>
                <w:lang w:val="en-US"/>
              </w:rPr>
            </w:pPr>
            <w:r>
              <w:rPr>
                <w:rFonts w:hint="eastAsia" w:ascii="宋体" w:hAnsi="宋体" w:eastAsia="宋体" w:cs="宋体"/>
                <w:i w:val="0"/>
                <w:iCs w:val="0"/>
                <w:color w:val="000000"/>
                <w:kern w:val="0"/>
                <w:sz w:val="22"/>
                <w:szCs w:val="22"/>
                <w:u w:val="none"/>
                <w:lang w:val="en-US" w:eastAsia="zh-CN" w:bidi="ar"/>
              </w:rPr>
              <w:t>40元/户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9" w:hRule="atLeast"/>
          <w:jc w:val="center"/>
        </w:trPr>
        <w:tc>
          <w:tcPr>
            <w:tcW w:w="0" w:type="auto"/>
            <w:vMerge w:val="continue"/>
            <w:shd w:val="clear" w:color="auto" w:fill="auto"/>
            <w:vAlign w:val="center"/>
          </w:tcPr>
          <w:p>
            <w:pPr>
              <w:jc w:val="center"/>
              <w:rPr>
                <w:rFonts w:hint="eastAsia" w:ascii="黑体" w:hAnsi="宋体" w:eastAsia="黑体" w:cs="黑体"/>
                <w:i w:val="0"/>
                <w:iCs w:val="0"/>
                <w:color w:val="000000"/>
                <w:sz w:val="22"/>
                <w:szCs w:val="22"/>
                <w:u w:val="none"/>
              </w:rPr>
            </w:pPr>
          </w:p>
        </w:tc>
        <w:tc>
          <w:tcPr>
            <w:tcW w:w="1070" w:type="dxa"/>
            <w:vMerge w:val="continue"/>
            <w:shd w:val="clear" w:color="auto" w:fill="auto"/>
            <w:vAlign w:val="center"/>
          </w:tcPr>
          <w:p>
            <w:pPr>
              <w:jc w:val="center"/>
              <w:rPr>
                <w:rFonts w:hint="eastAsia" w:ascii="宋体" w:hAnsi="宋体" w:eastAsia="宋体" w:cs="宋体"/>
                <w:i w:val="0"/>
                <w:iCs w:val="0"/>
                <w:color w:val="000000"/>
                <w:sz w:val="22"/>
                <w:szCs w:val="22"/>
                <w:u w:val="none"/>
              </w:rPr>
            </w:pPr>
          </w:p>
        </w:tc>
        <w:tc>
          <w:tcPr>
            <w:tcW w:w="1756" w:type="dxa"/>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sz w:val="22"/>
                <w:szCs w:val="22"/>
                <w:u w:val="none"/>
                <w:lang w:val="en-US" w:eastAsia="zh-CN"/>
              </w:rPr>
            </w:pPr>
            <w:r>
              <w:rPr>
                <w:rFonts w:hint="eastAsia" w:ascii="宋体" w:hAnsi="宋体" w:eastAsia="宋体" w:cs="宋体"/>
                <w:i w:val="0"/>
                <w:iCs w:val="0"/>
                <w:color w:val="000000"/>
                <w:sz w:val="22"/>
                <w:szCs w:val="22"/>
                <w:u w:val="none"/>
                <w:lang w:val="en-US" w:eastAsia="zh-CN"/>
              </w:rPr>
              <w:t>成本指标</w:t>
            </w:r>
          </w:p>
        </w:tc>
        <w:tc>
          <w:tcPr>
            <w:tcW w:w="0" w:type="auto"/>
            <w:shd w:val="clear" w:color="auto" w:fill="auto"/>
            <w:vAlign w:val="center"/>
          </w:tcPr>
          <w:p>
            <w:pPr>
              <w:keepNext w:val="0"/>
              <w:keepLines w:val="0"/>
              <w:widowControl/>
              <w:suppressLineNumbers w:val="0"/>
              <w:jc w:val="left"/>
              <w:textAlignment w:val="center"/>
              <w:rPr>
                <w:rFonts w:hint="default" w:ascii="宋体" w:hAnsi="宋体" w:eastAsia="宋体" w:cs="宋体"/>
                <w:i w:val="0"/>
                <w:iCs w:val="0"/>
                <w:color w:val="000000"/>
                <w:sz w:val="22"/>
                <w:szCs w:val="22"/>
                <w:u w:val="none"/>
                <w:lang w:val="en-US"/>
              </w:rPr>
            </w:pPr>
            <w:r>
              <w:rPr>
                <w:rFonts w:hint="eastAsia" w:ascii="宋体" w:hAnsi="宋体" w:eastAsia="宋体" w:cs="宋体"/>
                <w:i w:val="0"/>
                <w:iCs w:val="0"/>
                <w:color w:val="000000"/>
                <w:kern w:val="0"/>
                <w:sz w:val="22"/>
                <w:szCs w:val="22"/>
                <w:u w:val="none"/>
                <w:lang w:val="en-US" w:eastAsia="zh-CN" w:bidi="ar"/>
              </w:rPr>
              <w:t>指标1：项目总投资</w:t>
            </w:r>
          </w:p>
        </w:tc>
        <w:tc>
          <w:tcPr>
            <w:tcW w:w="2490" w:type="dxa"/>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sz w:val="22"/>
                <w:szCs w:val="22"/>
                <w:u w:val="none"/>
                <w:lang w:val="en-US" w:eastAsia="zh-CN"/>
              </w:rPr>
            </w:pPr>
            <w:r>
              <w:rPr>
                <w:rFonts w:hint="eastAsia" w:ascii="宋体" w:hAnsi="宋体" w:eastAsia="宋体" w:cs="宋体"/>
                <w:i w:val="0"/>
                <w:iCs w:val="0"/>
                <w:color w:val="000000"/>
                <w:sz w:val="22"/>
                <w:szCs w:val="22"/>
                <w:u w:val="none"/>
                <w:lang w:val="en-US" w:eastAsia="zh-CN"/>
              </w:rPr>
              <w:t>14万元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700" w:hRule="atLeast"/>
          <w:jc w:val="center"/>
        </w:trPr>
        <w:tc>
          <w:tcPr>
            <w:tcW w:w="0" w:type="auto"/>
            <w:vMerge w:val="continue"/>
            <w:shd w:val="clear" w:color="auto" w:fill="auto"/>
            <w:vAlign w:val="center"/>
          </w:tcPr>
          <w:p>
            <w:pPr>
              <w:jc w:val="center"/>
              <w:rPr>
                <w:rFonts w:hint="eastAsia" w:ascii="黑体" w:hAnsi="宋体" w:eastAsia="黑体" w:cs="黑体"/>
                <w:i w:val="0"/>
                <w:iCs w:val="0"/>
                <w:color w:val="000000"/>
                <w:sz w:val="22"/>
                <w:szCs w:val="22"/>
                <w:u w:val="none"/>
              </w:rPr>
            </w:pPr>
          </w:p>
        </w:tc>
        <w:tc>
          <w:tcPr>
            <w:tcW w:w="1070" w:type="dxa"/>
            <w:vMerge w:val="continue"/>
            <w:shd w:val="clear" w:color="auto" w:fill="auto"/>
            <w:vAlign w:val="center"/>
          </w:tcPr>
          <w:p>
            <w:pPr>
              <w:jc w:val="center"/>
              <w:rPr>
                <w:rFonts w:hint="eastAsia" w:ascii="宋体" w:hAnsi="宋体" w:eastAsia="宋体" w:cs="宋体"/>
                <w:i w:val="0"/>
                <w:iCs w:val="0"/>
                <w:color w:val="000000"/>
                <w:sz w:val="22"/>
                <w:szCs w:val="22"/>
                <w:u w:val="none"/>
              </w:rPr>
            </w:pPr>
          </w:p>
        </w:tc>
        <w:tc>
          <w:tcPr>
            <w:tcW w:w="0" w:type="auto"/>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sz w:val="22"/>
                <w:szCs w:val="22"/>
                <w:u w:val="none"/>
                <w:lang w:val="en-US" w:eastAsia="zh-CN"/>
              </w:rPr>
            </w:pPr>
            <w:r>
              <w:rPr>
                <w:rFonts w:hint="eastAsia" w:ascii="宋体" w:hAnsi="宋体" w:eastAsia="宋体" w:cs="宋体"/>
                <w:i w:val="0"/>
                <w:iCs w:val="0"/>
                <w:color w:val="000000"/>
                <w:sz w:val="22"/>
                <w:szCs w:val="22"/>
                <w:u w:val="none"/>
                <w:lang w:val="en-US" w:eastAsia="zh-CN"/>
              </w:rPr>
              <w:t>预算执行指标</w:t>
            </w:r>
          </w:p>
        </w:tc>
        <w:tc>
          <w:tcPr>
            <w:tcW w:w="0" w:type="auto"/>
            <w:shd w:val="clear" w:color="auto" w:fill="auto"/>
            <w:vAlign w:val="center"/>
          </w:tcPr>
          <w:p>
            <w:pPr>
              <w:keepNext w:val="0"/>
              <w:keepLines w:val="0"/>
              <w:widowControl/>
              <w:suppressLineNumbers w:val="0"/>
              <w:jc w:val="left"/>
              <w:textAlignment w:val="center"/>
              <w:rPr>
                <w:rFonts w:hint="default" w:ascii="宋体" w:hAnsi="宋体" w:eastAsia="宋体" w:cs="宋体"/>
                <w:i w:val="0"/>
                <w:iCs w:val="0"/>
                <w:color w:val="000000"/>
                <w:sz w:val="22"/>
                <w:szCs w:val="22"/>
                <w:u w:val="none"/>
                <w:lang w:val="en-US"/>
              </w:rPr>
            </w:pPr>
            <w:r>
              <w:rPr>
                <w:rFonts w:hint="eastAsia" w:ascii="宋体" w:hAnsi="宋体" w:eastAsia="宋体" w:cs="宋体"/>
                <w:i w:val="0"/>
                <w:iCs w:val="0"/>
                <w:color w:val="000000"/>
                <w:kern w:val="0"/>
                <w:sz w:val="22"/>
                <w:szCs w:val="22"/>
                <w:u w:val="none"/>
                <w:lang w:val="en-US" w:eastAsia="zh-CN" w:bidi="ar"/>
              </w:rPr>
              <w:t>指标1：财政资金</w:t>
            </w:r>
          </w:p>
        </w:tc>
        <w:tc>
          <w:tcPr>
            <w:tcW w:w="2490"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sz w:val="22"/>
                <w:szCs w:val="22"/>
                <w:u w:val="none"/>
                <w:lang w:val="en-US" w:eastAsia="zh-CN"/>
              </w:rPr>
              <w:t>14万元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jc w:val="center"/>
        </w:trPr>
        <w:tc>
          <w:tcPr>
            <w:tcW w:w="0" w:type="auto"/>
            <w:vMerge w:val="continue"/>
            <w:shd w:val="clear" w:color="auto" w:fill="auto"/>
            <w:vAlign w:val="center"/>
          </w:tcPr>
          <w:p>
            <w:pPr>
              <w:jc w:val="center"/>
              <w:rPr>
                <w:rFonts w:hint="eastAsia" w:ascii="黑体" w:hAnsi="宋体" w:eastAsia="黑体" w:cs="黑体"/>
                <w:i w:val="0"/>
                <w:iCs w:val="0"/>
                <w:color w:val="000000"/>
                <w:sz w:val="22"/>
                <w:szCs w:val="22"/>
                <w:u w:val="none"/>
              </w:rPr>
            </w:pPr>
          </w:p>
        </w:tc>
        <w:tc>
          <w:tcPr>
            <w:tcW w:w="1070" w:type="dxa"/>
            <w:vMerge w:val="restart"/>
            <w:shd w:val="clear" w:color="auto" w:fill="auto"/>
            <w:vAlign w:val="center"/>
          </w:tcPr>
          <w:p>
            <w:pPr>
              <w:jc w:val="center"/>
              <w:rPr>
                <w:rFonts w:hint="eastAsia" w:ascii="宋体" w:hAnsi="宋体" w:eastAsia="宋体" w:cs="宋体"/>
                <w:i w:val="0"/>
                <w:iCs w:val="0"/>
                <w:color w:val="000000"/>
                <w:sz w:val="22"/>
                <w:szCs w:val="22"/>
                <w:u w:val="none"/>
                <w:lang w:val="en-US" w:eastAsia="zh-CN"/>
              </w:rPr>
            </w:pPr>
            <w:r>
              <w:rPr>
                <w:rFonts w:hint="eastAsia" w:ascii="宋体" w:hAnsi="宋体" w:eastAsia="宋体" w:cs="宋体"/>
                <w:i w:val="0"/>
                <w:iCs w:val="0"/>
                <w:color w:val="000000"/>
                <w:sz w:val="22"/>
                <w:szCs w:val="22"/>
                <w:u w:val="none"/>
                <w:lang w:val="en-US" w:eastAsia="zh-CN"/>
              </w:rPr>
              <w:t>效益指标</w:t>
            </w:r>
          </w:p>
        </w:tc>
        <w:tc>
          <w:tcPr>
            <w:tcW w:w="0" w:type="auto"/>
            <w:vMerge w:val="restar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社会效益</w:t>
            </w:r>
          </w:p>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指标</w:t>
            </w:r>
          </w:p>
        </w:tc>
        <w:tc>
          <w:tcPr>
            <w:tcW w:w="0" w:type="auto"/>
            <w:shd w:val="clear" w:color="auto" w:fill="auto"/>
            <w:vAlign w:val="center"/>
          </w:tcPr>
          <w:p>
            <w:pPr>
              <w:keepNext w:val="0"/>
              <w:keepLines w:val="0"/>
              <w:widowControl/>
              <w:suppressLineNumbers w:val="0"/>
              <w:jc w:val="left"/>
              <w:textAlignment w:val="center"/>
              <w:rPr>
                <w:rFonts w:hint="default" w:ascii="宋体" w:hAnsi="宋体" w:eastAsia="宋体" w:cs="宋体"/>
                <w:i w:val="0"/>
                <w:iCs w:val="0"/>
                <w:color w:val="000000"/>
                <w:sz w:val="22"/>
                <w:szCs w:val="22"/>
                <w:u w:val="none"/>
                <w:lang w:val="en-US"/>
              </w:rPr>
            </w:pPr>
            <w:r>
              <w:rPr>
                <w:rFonts w:hint="eastAsia" w:ascii="宋体" w:hAnsi="宋体" w:eastAsia="宋体" w:cs="宋体"/>
                <w:i w:val="0"/>
                <w:iCs w:val="0"/>
                <w:color w:val="000000"/>
                <w:kern w:val="0"/>
                <w:sz w:val="22"/>
                <w:szCs w:val="22"/>
                <w:u w:val="none"/>
                <w:lang w:val="en-US" w:eastAsia="zh-CN" w:bidi="ar"/>
              </w:rPr>
              <w:t>指标1：完成指标率达100%</w:t>
            </w:r>
          </w:p>
        </w:tc>
        <w:tc>
          <w:tcPr>
            <w:tcW w:w="2490"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40元/户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jc w:val="center"/>
        </w:trPr>
        <w:tc>
          <w:tcPr>
            <w:tcW w:w="0" w:type="auto"/>
            <w:vMerge w:val="continue"/>
            <w:shd w:val="clear" w:color="auto" w:fill="auto"/>
            <w:vAlign w:val="center"/>
          </w:tcPr>
          <w:p>
            <w:pPr>
              <w:jc w:val="center"/>
              <w:rPr>
                <w:rFonts w:hint="eastAsia" w:ascii="黑体" w:hAnsi="宋体" w:eastAsia="黑体" w:cs="黑体"/>
                <w:i w:val="0"/>
                <w:iCs w:val="0"/>
                <w:color w:val="000000"/>
                <w:sz w:val="22"/>
                <w:szCs w:val="22"/>
                <w:u w:val="none"/>
              </w:rPr>
            </w:pPr>
          </w:p>
        </w:tc>
        <w:tc>
          <w:tcPr>
            <w:tcW w:w="1070" w:type="dxa"/>
            <w:vMerge w:val="continue"/>
            <w:shd w:val="clear" w:color="auto" w:fill="auto"/>
            <w:vAlign w:val="center"/>
          </w:tcPr>
          <w:p>
            <w:pPr>
              <w:jc w:val="center"/>
              <w:rPr>
                <w:rFonts w:hint="eastAsia" w:ascii="宋体" w:hAnsi="宋体" w:eastAsia="宋体" w:cs="宋体"/>
                <w:i w:val="0"/>
                <w:iCs w:val="0"/>
                <w:color w:val="000000"/>
                <w:sz w:val="22"/>
                <w:szCs w:val="22"/>
                <w:u w:val="none"/>
              </w:rPr>
            </w:pPr>
          </w:p>
        </w:tc>
        <w:tc>
          <w:tcPr>
            <w:tcW w:w="0" w:type="auto"/>
            <w:vMerge w:val="continue"/>
            <w:shd w:val="clear" w:color="auto" w:fill="auto"/>
            <w:vAlign w:val="center"/>
          </w:tcPr>
          <w:p>
            <w:pPr>
              <w:jc w:val="center"/>
              <w:rPr>
                <w:rFonts w:hint="eastAsia" w:ascii="宋体" w:hAnsi="宋体" w:eastAsia="宋体" w:cs="宋体"/>
                <w:i w:val="0"/>
                <w:iCs w:val="0"/>
                <w:color w:val="000000"/>
                <w:sz w:val="22"/>
                <w:szCs w:val="22"/>
                <w:u w:val="none"/>
              </w:rPr>
            </w:pPr>
          </w:p>
        </w:tc>
        <w:tc>
          <w:tcPr>
            <w:tcW w:w="0" w:type="auto"/>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p>
        </w:tc>
        <w:tc>
          <w:tcPr>
            <w:tcW w:w="2490" w:type="dxa"/>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sz w:val="22"/>
                <w:szCs w:val="22"/>
                <w:u w:val="none"/>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50" w:hRule="atLeast"/>
          <w:jc w:val="center"/>
        </w:trPr>
        <w:tc>
          <w:tcPr>
            <w:tcW w:w="0" w:type="auto"/>
            <w:shd w:val="clear" w:color="auto" w:fill="auto"/>
            <w:vAlign w:val="center"/>
          </w:tcPr>
          <w:p>
            <w:pPr>
              <w:jc w:val="center"/>
              <w:rPr>
                <w:rFonts w:hint="eastAsia" w:ascii="黑体" w:hAnsi="宋体" w:eastAsia="黑体" w:cs="黑体"/>
                <w:i w:val="0"/>
                <w:iCs w:val="0"/>
                <w:color w:val="000000"/>
                <w:sz w:val="22"/>
                <w:szCs w:val="22"/>
                <w:u w:val="none"/>
              </w:rPr>
            </w:pPr>
          </w:p>
        </w:tc>
        <w:tc>
          <w:tcPr>
            <w:tcW w:w="1070" w:type="dxa"/>
            <w:vMerge w:val="continue"/>
            <w:shd w:val="clear" w:color="auto" w:fill="auto"/>
            <w:vAlign w:val="center"/>
          </w:tcPr>
          <w:p>
            <w:pPr>
              <w:jc w:val="center"/>
              <w:rPr>
                <w:rFonts w:hint="eastAsia" w:ascii="宋体" w:hAnsi="宋体" w:eastAsia="宋体" w:cs="宋体"/>
                <w:i w:val="0"/>
                <w:iCs w:val="0"/>
                <w:color w:val="000000"/>
                <w:sz w:val="22"/>
                <w:szCs w:val="22"/>
                <w:u w:val="none"/>
              </w:rPr>
            </w:pPr>
          </w:p>
        </w:tc>
        <w:tc>
          <w:tcPr>
            <w:tcW w:w="0" w:type="auto"/>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服务对象</w:t>
            </w:r>
          </w:p>
          <w:p>
            <w:pPr>
              <w:jc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满意度指标</w:t>
            </w:r>
          </w:p>
        </w:tc>
        <w:tc>
          <w:tcPr>
            <w:tcW w:w="0" w:type="auto"/>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指标1帮扶对象满意度</w:t>
            </w:r>
          </w:p>
        </w:tc>
        <w:tc>
          <w:tcPr>
            <w:tcW w:w="2490"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10元/户</w:t>
            </w:r>
          </w:p>
        </w:tc>
      </w:tr>
    </w:tbl>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0"/>
        <w:rPr>
          <w:rFonts w:hint="eastAsia" w:ascii="黑体" w:hAnsi="黑体" w:eastAsia="黑体" w:cs="黑体"/>
          <w:b w:val="0"/>
          <w:bCs w:val="0"/>
          <w:sz w:val="30"/>
          <w:szCs w:val="30"/>
          <w:lang w:val="en-US" w:eastAsia="zh-CN"/>
        </w:rPr>
      </w:pPr>
      <w:bookmarkStart w:id="17" w:name="_Toc5481"/>
      <w:r>
        <w:rPr>
          <w:rFonts w:hint="eastAsia" w:ascii="黑体" w:hAnsi="黑体" w:eastAsia="黑体" w:cs="黑体"/>
          <w:b w:val="0"/>
          <w:bCs w:val="0"/>
          <w:sz w:val="30"/>
          <w:szCs w:val="30"/>
          <w:lang w:val="en-US" w:eastAsia="zh-CN"/>
        </w:rPr>
        <w:t>二、绩效评价工作开展情况</w:t>
      </w:r>
      <w:bookmarkEnd w:id="17"/>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1"/>
        <w:rPr>
          <w:rFonts w:hint="eastAsia" w:ascii="楷体" w:hAnsi="楷体" w:eastAsia="楷体" w:cs="楷体"/>
          <w:b w:val="0"/>
          <w:bCs w:val="0"/>
          <w:sz w:val="30"/>
          <w:szCs w:val="30"/>
          <w:lang w:val="en-US" w:eastAsia="zh-CN"/>
        </w:rPr>
      </w:pPr>
      <w:bookmarkStart w:id="18" w:name="_Toc21412"/>
      <w:r>
        <w:rPr>
          <w:rFonts w:hint="eastAsia" w:ascii="楷体" w:hAnsi="楷体" w:eastAsia="楷体" w:cs="楷体"/>
          <w:b w:val="0"/>
          <w:bCs w:val="0"/>
          <w:sz w:val="30"/>
          <w:szCs w:val="30"/>
          <w:lang w:val="en-US" w:eastAsia="zh-CN"/>
        </w:rPr>
        <w:t>（一）评价目的、依据、对象、范围</w:t>
      </w:r>
      <w:bookmarkEnd w:id="18"/>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1、评价目的及依据</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楷体" w:hAnsi="楷体" w:eastAsia="楷体" w:cs="楷体"/>
          <w:b w:val="0"/>
          <w:bCs w:val="0"/>
          <w:sz w:val="30"/>
          <w:szCs w:val="30"/>
          <w:lang w:val="en-US" w:eastAsia="zh-CN"/>
        </w:rPr>
      </w:pPr>
      <w:r>
        <w:rPr>
          <w:rFonts w:hint="eastAsia" w:ascii="仿宋" w:hAnsi="仿宋" w:eastAsia="仿宋" w:cs="仿宋"/>
          <w:b w:val="0"/>
          <w:bCs w:val="0"/>
          <w:sz w:val="30"/>
          <w:szCs w:val="30"/>
          <w:lang w:val="en-US" w:eastAsia="zh-CN"/>
        </w:rPr>
        <w:t>绩效评价是全过程预算绩效管理的重要环节。预算绩效管理主体根据设定的绩效目标，运用科学、合理的绩效评价指标、评价标准和评价方法，对财政支出的经济性、效率性和效益性进行客观、公正的评价。本次绩效评价遵循《中华人民共和国预算法》《中华人民共和国预算法实施条例》《中共中央国务院关于全面实施预算绩效管理的意见》《财政部关于贯彻落实〈中共中央国务院关于全面实施预算绩效管理的意见〉的通知》（财预〔2018〕167号）、《财政部关于委托第三方机构参与预算绩效管理的指导意见》、财政部《关于印发〈项目支出绩效评价管理办法〉的通知》（财预〔2020〕10号）、《四川省省级预算事前绩效评估管理暂行办法》等文件精</w:t>
      </w:r>
      <w:r>
        <w:rPr>
          <w:rFonts w:hint="eastAsia" w:ascii="仿宋" w:hAnsi="仿宋" w:eastAsia="仿宋" w:cs="仿宋"/>
          <w:b w:val="0"/>
          <w:bCs w:val="0"/>
          <w:sz w:val="30"/>
          <w:szCs w:val="30"/>
          <w:highlight w:val="none"/>
          <w:lang w:val="en-US" w:eastAsia="zh-CN"/>
        </w:rPr>
        <w:t>神，对阿坝县民族宗教局开展的阿坝县民族宗教局健康饮茶“送茶入户”采购项目进行事后绩效评价，从财</w:t>
      </w:r>
      <w:r>
        <w:rPr>
          <w:rFonts w:hint="eastAsia" w:ascii="仿宋" w:hAnsi="仿宋" w:eastAsia="仿宋" w:cs="仿宋"/>
          <w:b w:val="0"/>
          <w:bCs w:val="0"/>
          <w:sz w:val="30"/>
          <w:szCs w:val="30"/>
          <w:lang w:val="en-US" w:eastAsia="zh-CN"/>
        </w:rPr>
        <w:t>政预算资金使用合规合理性、经济性的角度探寻项目的效率和效益，反映项目绩效目标的实现程度。总结该项目在预算管理、资金管理、项目实施过程管理等方面建立完善和执行内控制度的经验和教训；总结和评价该项目投入产出、效率效益的内在联系和必然结果。通过绩效评价查找项目过程存在的不足和问题，提出合理建议，从而进一步加强和规范财力资金项目的预算绩效管理，切实提高财政项目资金预算的执行力和效益。</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楷体" w:hAnsi="楷体" w:eastAsia="楷体" w:cs="楷体"/>
          <w:b w:val="0"/>
          <w:bCs w:val="0"/>
          <w:sz w:val="30"/>
          <w:szCs w:val="30"/>
          <w:lang w:val="en-US" w:eastAsia="zh-CN"/>
        </w:rPr>
      </w:pPr>
      <w:r>
        <w:rPr>
          <w:rFonts w:hint="eastAsia" w:ascii="仿宋" w:hAnsi="仿宋" w:eastAsia="仿宋" w:cs="仿宋"/>
          <w:b w:val="0"/>
          <w:bCs w:val="0"/>
          <w:sz w:val="30"/>
          <w:szCs w:val="30"/>
          <w:lang w:val="en-US" w:eastAsia="zh-CN"/>
        </w:rPr>
        <w:t>2、评价对象及范围</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本次评价的对象为</w:t>
      </w:r>
      <w:r>
        <w:rPr>
          <w:rFonts w:hint="eastAsia" w:ascii="仿宋" w:hAnsi="仿宋" w:eastAsia="仿宋" w:cs="仿宋"/>
          <w:b w:val="0"/>
          <w:bCs w:val="0"/>
          <w:sz w:val="30"/>
          <w:szCs w:val="30"/>
          <w:highlight w:val="none"/>
          <w:lang w:val="en-US" w:eastAsia="zh-CN"/>
        </w:rPr>
        <w:t>阿坝县民族宗教局开展的阿坝县民族宗教局健康饮茶“送茶入户”采购项目，评价本</w:t>
      </w:r>
      <w:r>
        <w:rPr>
          <w:rFonts w:hint="eastAsia" w:ascii="仿宋" w:hAnsi="仿宋" w:eastAsia="仿宋" w:cs="仿宋"/>
          <w:b w:val="0"/>
          <w:bCs w:val="0"/>
          <w:sz w:val="30"/>
          <w:szCs w:val="30"/>
          <w:lang w:val="en-US" w:eastAsia="zh-CN"/>
        </w:rPr>
        <w:t>项目预算资金的使用及达成效益情况。</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评价范围包含阿坝县民族宗教局健康饮茶“送茶入户”采购项目的项目执行后所产出的绩效以及为实现绩效目标所实施的各环节过程，具体包括项目决策、项目过程（包括资金管理、组织实施）、项目产出（包括数量、质量、时效和成本）、项目效益（包括实施效益和满意度）。</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1"/>
        <w:rPr>
          <w:rFonts w:hint="default" w:ascii="楷体" w:hAnsi="楷体" w:eastAsia="楷体" w:cs="楷体"/>
          <w:b w:val="0"/>
          <w:bCs w:val="0"/>
          <w:sz w:val="30"/>
          <w:szCs w:val="30"/>
          <w:lang w:val="en-US" w:eastAsia="zh-CN"/>
        </w:rPr>
      </w:pPr>
      <w:bookmarkStart w:id="19" w:name="_Toc5204"/>
      <w:r>
        <w:rPr>
          <w:rFonts w:hint="eastAsia" w:ascii="楷体" w:hAnsi="楷体" w:eastAsia="楷体" w:cs="楷体"/>
          <w:b w:val="0"/>
          <w:bCs w:val="0"/>
          <w:sz w:val="30"/>
          <w:szCs w:val="30"/>
          <w:lang w:val="en-US" w:eastAsia="zh-CN"/>
        </w:rPr>
        <w:t>（二）绩效评价原则、评价指标体系、评价方法、评价标准</w:t>
      </w:r>
      <w:bookmarkEnd w:id="19"/>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1、评价原则</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本次绩效评价遵循科学规范、公开公正、绩效相关的原则：</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（1）科学规范。绩效评价注重财政资金支出的经济性、效率性和有效性，严格执行规定的程序，采用定量与定性分析相结合的方法。</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（2）公正公开。绩效评价客观、公正，标准统一、资料可靠，依法公开并接受监督。</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（3）绩效相关。绩效评价针对具体支出及其产出绩效进行，评价结果清晰反映支出和产出绩效之间的紧密对应关系。</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2、评价指标体系</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根据绩效评价的基本原理、原则和预算绩效管理的相关要求，结合被评价项目的特点，评价组按照逻辑分析法，依照《四川省省级预算事前绩效评估管理暂行办法》及财政部相关文件、《财政项目支出绩效评价指标框架》等，在对项目单位编制的绩效指标进行梳理、补充和修正，在实地调研基础上，结合项目性质和特点，依照重要性原则进行权重分配，形成绩效评价的指标体系。在指标体系设置时，注重其科学性、实用性、可实现性和可操作性，尽可能地设置客观性的量化指标，并适当使用定性指标；既关注项目单位的项目工作目标，也考虑各相关部门的体验和感受，做到相互补充，科学可行，确保充分体现和真实反映本项目绩效目标的完成情况和绩效状况。</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sz w:val="30"/>
          <w:szCs w:val="30"/>
          <w:highlight w:val="none"/>
          <w:lang w:val="en-US" w:eastAsia="zh-CN"/>
        </w:rPr>
        <w:t>阿坝县民族宗教局健康饮茶“送茶入户”采购项目</w:t>
      </w:r>
      <w:r>
        <w:rPr>
          <w:rFonts w:hint="eastAsia" w:ascii="仿宋" w:hAnsi="仿宋" w:eastAsia="仿宋" w:cs="仿宋"/>
          <w:b w:val="0"/>
          <w:bCs w:val="0"/>
          <w:sz w:val="30"/>
          <w:szCs w:val="30"/>
          <w:highlight w:val="none"/>
          <w:lang w:val="en-US" w:eastAsia="zh-CN"/>
        </w:rPr>
        <w:t>绩效评价指标体系由三级指标构成。其中一级指标和二级指标根据《财政项目支出绩效评价指标框架》设置三级指标，尤其是产出类和效益类指标，针对本项目特点进行个性化设置。一级指标4个，决策、过程、产出和效益；二级指标10个，三级指标17个，围绕项目立项、资金投入、项目过程、项目产出、项目效益等方面，客观分析项目的产出和效果，进而挖掘经验和好的做法，发现问题并提出改进意见。</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3、评价方法</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default" w:ascii="仿宋" w:hAnsi="仿宋" w:eastAsia="仿宋" w:cs="仿宋"/>
          <w:b w:val="0"/>
          <w:bCs w:val="0"/>
          <w:sz w:val="30"/>
          <w:szCs w:val="30"/>
          <w:lang w:val="en-US" w:eastAsia="zh-CN"/>
        </w:rPr>
        <w:t>根据现场评价工作方案，由资料搜集组进行本次绩效评价工作所需资料的搜集，</w:t>
      </w:r>
      <w:r>
        <w:rPr>
          <w:rFonts w:hint="eastAsia" w:ascii="仿宋" w:hAnsi="仿宋" w:eastAsia="仿宋" w:cs="仿宋"/>
          <w:b w:val="0"/>
          <w:bCs w:val="0"/>
          <w:sz w:val="30"/>
          <w:szCs w:val="30"/>
          <w:lang w:val="en-US" w:eastAsia="zh-CN"/>
        </w:rPr>
        <w:t>搜集整理资料包括但不限于：政策文件、项目资料、会计原始凭证、记账凭证等，</w:t>
      </w:r>
      <w:r>
        <w:rPr>
          <w:rFonts w:hint="default" w:ascii="仿宋" w:hAnsi="仿宋" w:eastAsia="仿宋" w:cs="仿宋"/>
          <w:b w:val="0"/>
          <w:bCs w:val="0"/>
          <w:sz w:val="30"/>
          <w:szCs w:val="30"/>
          <w:lang w:val="en-US" w:eastAsia="zh-CN"/>
        </w:rPr>
        <w:t>对其进行整理后带回本公司，交由各评价小组，评价小组采用不限于以下方法在内的绩效评价方法对各个项目进行绩效评价。</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default" w:ascii="仿宋" w:hAnsi="仿宋" w:eastAsia="仿宋" w:cs="仿宋"/>
          <w:b w:val="0"/>
          <w:bCs w:val="0"/>
          <w:sz w:val="30"/>
          <w:szCs w:val="30"/>
          <w:lang w:val="en-US" w:eastAsia="zh-CN"/>
        </w:rPr>
        <w:t>评价方法主要包括成本效益分析法、比较法、因素分析法、最低成本法、公众评判法、标杆管理法等。根据评价对象的具体情况，可采用一种或多种方法。本次绩效评价采用的方法是指标评价法、因素</w:t>
      </w:r>
      <w:r>
        <w:rPr>
          <w:rFonts w:hint="eastAsia" w:ascii="仿宋" w:hAnsi="仿宋" w:eastAsia="仿宋" w:cs="仿宋"/>
          <w:b w:val="0"/>
          <w:bCs w:val="0"/>
          <w:sz w:val="30"/>
          <w:szCs w:val="30"/>
          <w:lang w:val="en-US" w:eastAsia="zh-CN"/>
        </w:rPr>
        <w:t>分析</w:t>
      </w:r>
      <w:r>
        <w:rPr>
          <w:rFonts w:hint="default" w:ascii="仿宋" w:hAnsi="仿宋" w:eastAsia="仿宋" w:cs="仿宋"/>
          <w:b w:val="0"/>
          <w:bCs w:val="0"/>
          <w:sz w:val="30"/>
          <w:szCs w:val="30"/>
          <w:lang w:val="en-US" w:eastAsia="zh-CN"/>
        </w:rPr>
        <w:t>法、公众评判法和比较法。</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default" w:ascii="仿宋" w:hAnsi="仿宋" w:eastAsia="仿宋" w:cs="仿宋"/>
          <w:b w:val="0"/>
          <w:bCs w:val="0"/>
          <w:sz w:val="30"/>
          <w:szCs w:val="30"/>
          <w:lang w:val="en-US" w:eastAsia="zh-CN"/>
        </w:rPr>
        <w:t>指标法，旨在通过指标设置、指标分析结果的提炼，反映对项目决策、实施、产出和效益各个环节的判断结果。重点分析决策的科学性、准确性，资金投入和使用的合理性、规范性，项目监管机制的健全性、有效性，项目产出和效益的目标相符性和公众满意度。</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default" w:ascii="仿宋" w:hAnsi="仿宋" w:eastAsia="仿宋" w:cs="仿宋"/>
          <w:b w:val="0"/>
          <w:bCs w:val="0"/>
          <w:sz w:val="30"/>
          <w:szCs w:val="30"/>
          <w:lang w:val="en-US" w:eastAsia="zh-CN"/>
        </w:rPr>
        <w:t>因素</w:t>
      </w:r>
      <w:r>
        <w:rPr>
          <w:rFonts w:hint="eastAsia" w:ascii="仿宋" w:hAnsi="仿宋" w:eastAsia="仿宋" w:cs="仿宋"/>
          <w:b w:val="0"/>
          <w:bCs w:val="0"/>
          <w:sz w:val="30"/>
          <w:szCs w:val="30"/>
          <w:lang w:val="en-US" w:eastAsia="zh-CN"/>
        </w:rPr>
        <w:t>分析</w:t>
      </w:r>
      <w:r>
        <w:rPr>
          <w:rFonts w:hint="default" w:ascii="仿宋" w:hAnsi="仿宋" w:eastAsia="仿宋" w:cs="仿宋"/>
          <w:b w:val="0"/>
          <w:bCs w:val="0"/>
          <w:sz w:val="30"/>
          <w:szCs w:val="30"/>
          <w:lang w:val="en-US" w:eastAsia="zh-CN"/>
        </w:rPr>
        <w:t>法，是指通过综合分析影响财政支出绩效目标实现实施效果的内部、外部因素，综合评价财政支出绩效目标实现程度。如外部环境、内部控制、资金和制度保障、项目实施路径等。</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default" w:ascii="仿宋" w:hAnsi="仿宋" w:eastAsia="仿宋" w:cs="仿宋"/>
          <w:b w:val="0"/>
          <w:bCs w:val="0"/>
          <w:sz w:val="30"/>
          <w:szCs w:val="30"/>
          <w:lang w:val="en-US" w:eastAsia="zh-CN"/>
        </w:rPr>
        <w:t>比较法，是指通过财政支出绩效目标与实施效果、前一轮和当前执行情况、国内同类的行业情况等进行比较，综合分析财政支出绩效目标实现程度。</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default" w:ascii="仿宋" w:hAnsi="仿宋" w:eastAsia="仿宋" w:cs="仿宋"/>
          <w:b w:val="0"/>
          <w:bCs w:val="0"/>
          <w:sz w:val="30"/>
          <w:szCs w:val="30"/>
          <w:lang w:val="en-US" w:eastAsia="zh-CN"/>
        </w:rPr>
        <w:t>公众评判法，是指通过专家评议，抽样调查，座谈访谈等方式，反映社会公众对财政项目支出效果进行的评判，以评价财政项目支出绩效目标实现程度。</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default" w:ascii="仿宋" w:hAnsi="仿宋" w:eastAsia="仿宋" w:cs="仿宋"/>
          <w:b w:val="0"/>
          <w:bCs w:val="0"/>
          <w:sz w:val="30"/>
          <w:szCs w:val="30"/>
          <w:lang w:val="en-US" w:eastAsia="zh-CN"/>
        </w:rPr>
        <w:t>4.评价标准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default" w:ascii="仿宋" w:hAnsi="仿宋" w:eastAsia="仿宋" w:cs="仿宋"/>
          <w:b w:val="0"/>
          <w:bCs w:val="0"/>
          <w:sz w:val="30"/>
          <w:szCs w:val="30"/>
          <w:lang w:val="en-US" w:eastAsia="zh-CN"/>
        </w:rPr>
        <w:t>本项目的评价标准是依据绩效评价基本原理，以客观性因素为重要依据，以量化指标值为重要原则，分别按照计划标准、行业标准、历史标准等作为衡量项目绩效目标实现程度的判断尺度。对于定性指标，根据指标完成情况分为达成项目指标、部分达成项目指标并具有一定效果、未达成项目指标且效果较差</w:t>
      </w:r>
      <w:r>
        <w:rPr>
          <w:rFonts w:hint="eastAsia" w:ascii="仿宋" w:hAnsi="仿宋" w:eastAsia="仿宋" w:cs="仿宋"/>
          <w:b w:val="0"/>
          <w:bCs w:val="0"/>
          <w:sz w:val="30"/>
          <w:szCs w:val="30"/>
          <w:lang w:val="en-US" w:eastAsia="zh-CN"/>
        </w:rPr>
        <w:t>三档</w:t>
      </w:r>
      <w:r>
        <w:rPr>
          <w:rFonts w:hint="default" w:ascii="仿宋" w:hAnsi="仿宋" w:eastAsia="仿宋" w:cs="仿宋"/>
          <w:b w:val="0"/>
          <w:bCs w:val="0"/>
          <w:sz w:val="30"/>
          <w:szCs w:val="30"/>
          <w:lang w:val="en-US" w:eastAsia="zh-CN"/>
        </w:rPr>
        <w:t>，分别按照该指标对应分值区间100%-80%（含）、80%-60%（含）、60%-0%</w:t>
      </w:r>
      <w:r>
        <w:rPr>
          <w:rFonts w:hint="eastAsia" w:ascii="仿宋" w:hAnsi="仿宋" w:eastAsia="仿宋" w:cs="仿宋"/>
          <w:b w:val="0"/>
          <w:bCs w:val="0"/>
          <w:sz w:val="30"/>
          <w:szCs w:val="30"/>
          <w:lang w:val="en-US" w:eastAsia="zh-CN"/>
        </w:rPr>
        <w:t>，按比例</w:t>
      </w:r>
      <w:r>
        <w:rPr>
          <w:rFonts w:hint="default" w:ascii="仿宋" w:hAnsi="仿宋" w:eastAsia="仿宋" w:cs="仿宋"/>
          <w:b w:val="0"/>
          <w:bCs w:val="0"/>
          <w:sz w:val="30"/>
          <w:szCs w:val="30"/>
          <w:lang w:val="en-US" w:eastAsia="zh-CN"/>
        </w:rPr>
        <w:t>合理确定分值。</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default" w:ascii="仿宋" w:hAnsi="仿宋" w:eastAsia="仿宋" w:cs="仿宋"/>
          <w:b w:val="0"/>
          <w:bCs w:val="0"/>
          <w:sz w:val="30"/>
          <w:szCs w:val="30"/>
          <w:lang w:val="en-US" w:eastAsia="zh-CN"/>
        </w:rPr>
        <w:t>定量指标是可以准确数量定义、精确衡量并能设定绩效目标的考核指标。定量指标按照与设定指标值相比的公式等予以量化，完成指标值</w:t>
      </w:r>
      <w:r>
        <w:rPr>
          <w:rFonts w:hint="eastAsia" w:ascii="仿宋" w:hAnsi="仿宋" w:eastAsia="仿宋" w:cs="仿宋"/>
          <w:b w:val="0"/>
          <w:bCs w:val="0"/>
          <w:sz w:val="30"/>
          <w:szCs w:val="30"/>
          <w:lang w:val="en-US" w:eastAsia="zh-CN"/>
        </w:rPr>
        <w:t>赋予</w:t>
      </w:r>
      <w:r>
        <w:rPr>
          <w:rFonts w:hint="default" w:ascii="仿宋" w:hAnsi="仿宋" w:eastAsia="仿宋" w:cs="仿宋"/>
          <w:b w:val="0"/>
          <w:bCs w:val="0"/>
          <w:sz w:val="30"/>
          <w:szCs w:val="30"/>
          <w:lang w:val="en-US" w:eastAsia="zh-CN"/>
        </w:rPr>
        <w:t>全部权重分值；高于指标值的，分析和反观指标值设定合理性；低于指标值的，按照完成值与指标值的比例得分。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default" w:ascii="仿宋" w:hAnsi="仿宋" w:eastAsia="仿宋" w:cs="仿宋"/>
          <w:b w:val="0"/>
          <w:bCs w:val="0"/>
          <w:sz w:val="30"/>
          <w:szCs w:val="30"/>
          <w:lang w:val="en-US" w:eastAsia="zh-CN"/>
        </w:rPr>
        <w:t>绩效评价结果采取评分</w:t>
      </w:r>
      <w:r>
        <w:rPr>
          <w:rFonts w:hint="default" w:ascii="仿宋" w:hAnsi="仿宋" w:eastAsia="仿宋" w:cs="仿宋"/>
          <w:b w:val="0"/>
          <w:bCs w:val="0"/>
          <w:sz w:val="30"/>
          <w:szCs w:val="30"/>
          <w:highlight w:val="none"/>
          <w:lang w:val="en-US" w:eastAsia="zh-CN"/>
        </w:rPr>
        <w:t>和评级相结合的方式。总分设置为 100分，等级划分为</w:t>
      </w:r>
      <w:r>
        <w:rPr>
          <w:rFonts w:hint="eastAsia" w:ascii="仿宋" w:hAnsi="仿宋" w:eastAsia="仿宋" w:cs="仿宋"/>
          <w:b w:val="0"/>
          <w:bCs w:val="0"/>
          <w:sz w:val="30"/>
          <w:szCs w:val="30"/>
          <w:highlight w:val="none"/>
          <w:lang w:val="en-US" w:eastAsia="zh-CN"/>
        </w:rPr>
        <w:t>四档</w:t>
      </w:r>
      <w:r>
        <w:rPr>
          <w:rFonts w:hint="default" w:ascii="仿宋" w:hAnsi="仿宋" w:eastAsia="仿宋" w:cs="仿宋"/>
          <w:b w:val="0"/>
          <w:bCs w:val="0"/>
          <w:sz w:val="30"/>
          <w:szCs w:val="30"/>
          <w:highlight w:val="none"/>
          <w:lang w:val="en-US" w:eastAsia="zh-CN"/>
        </w:rPr>
        <w:t>：90分（含）-100分为优；80分（含）-90分为良； 60（含）-80分为中；60分以下为差</w:t>
      </w:r>
      <w:r>
        <w:rPr>
          <w:rFonts w:hint="eastAsia" w:ascii="仿宋" w:hAnsi="仿宋" w:eastAsia="仿宋" w:cs="仿宋"/>
          <w:b w:val="0"/>
          <w:bCs w:val="0"/>
          <w:sz w:val="30"/>
          <w:szCs w:val="30"/>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1"/>
        <w:rPr>
          <w:rFonts w:hint="default" w:ascii="楷体" w:hAnsi="楷体" w:eastAsia="楷体" w:cs="楷体"/>
          <w:b w:val="0"/>
          <w:bCs w:val="0"/>
          <w:sz w:val="30"/>
          <w:szCs w:val="30"/>
          <w:lang w:val="en-US" w:eastAsia="zh-CN"/>
        </w:rPr>
      </w:pPr>
      <w:bookmarkStart w:id="20" w:name="_Toc23308"/>
      <w:r>
        <w:rPr>
          <w:rFonts w:hint="eastAsia" w:ascii="楷体" w:hAnsi="楷体" w:eastAsia="楷体" w:cs="楷体"/>
          <w:b w:val="0"/>
          <w:bCs w:val="0"/>
          <w:sz w:val="30"/>
          <w:szCs w:val="30"/>
          <w:lang w:val="en-US" w:eastAsia="zh-CN"/>
        </w:rPr>
        <w:t>（三）绩效评价工作过程保障</w:t>
      </w:r>
      <w:bookmarkEnd w:id="20"/>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1.资料采集方法及过程</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本项目绩效评价工作方案确定后，评价组根据不同的绩效指标，采取了不同的数据采集方法，具体过程及对应的数据采集内容如下：</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 xml:space="preserve">（1）评价工作组根据被评价项目情况，依次对相关项目实施单位开展调研。力图通过调研，了解项目的基本情况、组织管理情况，评价组成员与被评价项目领导工作小组进行沟通，了解项目组织、实施、管理的具体情况，了解和评估财政资金使用的效率和效益，发现资金使用和项目管理中存在的问题并予以核实。为下一步绩效评价工作的全面展开做好准备。 </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采用现场搜集绩效评价工作所需资料，远程开展绩效评价工作的方式开展工作，即委派资料搜集小组进行现场资料搜集整理，搜集整理资料包括但不限于：政策文件、项目资料、会计原始凭证、记账凭证等，依据资料清单进行现场资料搜集工作，将资料带回本公司后统一展开评审工作，在评审过程中需要补充完善资料的，由资料搜集组负责与相关项目单位进行联系，获取所需资料。</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2）资料汇总整理：资料搜集小组在现场对所搜集的资料进行初步整理后，带回本公司送至评价工作组，由评价工作组对收集到的资料进行进一步的分类整理和审查，分析相关数据；评价工作组按照资料清单对所收集的资料进行整理，对于应提供而未提供的资料，及时与项目主管单位和项目实施单位沟通，要求按照规定提供，最大程度地保证工作的顺利开展。</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（3）问卷调查：为客观测定财政资金的使用效果，依据公共财政支出绩效评价“为公众服务”的原理，引入“满意度”指标，针对项目受益对象和项目参与人员开展满意度调查。</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default" w:ascii="仿宋" w:hAnsi="仿宋" w:eastAsia="仿宋" w:cs="仿宋"/>
          <w:b w:val="0"/>
          <w:bCs w:val="0"/>
          <w:sz w:val="30"/>
          <w:szCs w:val="30"/>
          <w:lang w:val="en-US" w:eastAsia="zh-CN"/>
        </w:rPr>
        <w:t>2.绩效评价实施过程</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1、人员安排</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我公司针对本项目提供的</w:t>
      </w:r>
      <w:r>
        <w:rPr>
          <w:rFonts w:hint="default" w:ascii="仿宋" w:hAnsi="仿宋" w:eastAsia="仿宋" w:cs="仿宋"/>
          <w:b w:val="0"/>
          <w:bCs w:val="0"/>
          <w:sz w:val="30"/>
          <w:szCs w:val="30"/>
          <w:lang w:val="en-US" w:eastAsia="zh-CN"/>
        </w:rPr>
        <w:t>绩效评价工作组</w:t>
      </w:r>
      <w:r>
        <w:rPr>
          <w:rFonts w:hint="eastAsia" w:ascii="仿宋" w:hAnsi="仿宋" w:eastAsia="仿宋" w:cs="仿宋"/>
          <w:b w:val="0"/>
          <w:bCs w:val="0"/>
          <w:sz w:val="30"/>
          <w:szCs w:val="30"/>
          <w:lang w:val="en-US" w:eastAsia="zh-CN"/>
        </w:rPr>
        <w:t>，</w:t>
      </w:r>
      <w:r>
        <w:rPr>
          <w:rFonts w:hint="default" w:ascii="仿宋" w:hAnsi="仿宋" w:eastAsia="仿宋" w:cs="仿宋"/>
          <w:b w:val="0"/>
          <w:bCs w:val="0"/>
          <w:sz w:val="30"/>
          <w:szCs w:val="30"/>
          <w:lang w:val="en-US" w:eastAsia="zh-CN"/>
        </w:rPr>
        <w:t>成员包括1名组长及至少2名组员。并为本项目安排了两名售后服务人员，随时保持与阿坝县财政局以及各项目单位的沟通负责该项目绩效评价工作，包括前期调查，制定工作方案，调查取数，撰写评价报告。同时，本公司聘请相关的顾问专家，提供评价前期辅导工作，协助指导设计绩效评价工作方案、评价指标体系，指导评价报告的撰写。</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2、绩效评价工作方案</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已针对本项目形成完善的工作方案，包含人员安排、实施程序、评价方法、资料交接等在内的工作方案，能够为本项目的绩效评价工作提供方案支撑。</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0"/>
        <w:rPr>
          <w:rFonts w:hint="default" w:ascii="黑体" w:hAnsi="黑体" w:eastAsia="黑体" w:cs="黑体"/>
          <w:b w:val="0"/>
          <w:bCs w:val="0"/>
          <w:sz w:val="30"/>
          <w:szCs w:val="30"/>
          <w:lang w:val="en-US" w:eastAsia="zh-CN"/>
        </w:rPr>
      </w:pPr>
      <w:bookmarkStart w:id="21" w:name="_Toc15286"/>
      <w:r>
        <w:rPr>
          <w:rFonts w:hint="eastAsia" w:ascii="黑体" w:hAnsi="黑体" w:eastAsia="黑体" w:cs="黑体"/>
          <w:b w:val="0"/>
          <w:bCs w:val="0"/>
          <w:sz w:val="30"/>
          <w:szCs w:val="30"/>
          <w:lang w:val="en-US" w:eastAsia="zh-CN"/>
        </w:rPr>
        <w:t>三、绩效评价指标分析</w:t>
      </w:r>
      <w:bookmarkEnd w:id="21"/>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1"/>
        <w:rPr>
          <w:rFonts w:hint="eastAsia" w:ascii="仿宋" w:hAnsi="仿宋" w:eastAsia="仿宋" w:cs="仿宋"/>
          <w:color w:val="0000FF"/>
          <w:sz w:val="30"/>
          <w:szCs w:val="30"/>
          <w:lang w:val="en-US" w:eastAsia="zh-CN"/>
        </w:rPr>
      </w:pPr>
      <w:bookmarkStart w:id="22" w:name="_Toc19891"/>
      <w:r>
        <w:rPr>
          <w:rFonts w:hint="eastAsia" w:ascii="楷体" w:hAnsi="楷体" w:eastAsia="楷体" w:cs="楷体"/>
          <w:b w:val="0"/>
          <w:bCs w:val="0"/>
          <w:sz w:val="30"/>
          <w:szCs w:val="30"/>
          <w:lang w:val="en-US" w:eastAsia="zh-CN"/>
        </w:rPr>
        <w:t>（一）项目决策</w:t>
      </w:r>
      <w:bookmarkEnd w:id="22"/>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项目决策指标主要从项目立项和绩效目标两个要点进行评价，具体包含立项依据充分性和立项程序规范性、绩效目标合理性和绩效指标明确性、预算编制科学性和资金分配合理性等六个方面对项目立项、绩效目标、资金投入决策进行考察。项目决策类指标权重分20%，评</w:t>
      </w:r>
      <w:r>
        <w:rPr>
          <w:rFonts w:hint="eastAsia" w:ascii="仿宋" w:hAnsi="仿宋" w:eastAsia="仿宋" w:cs="仿宋"/>
          <w:b w:val="0"/>
          <w:bCs w:val="0"/>
          <w:sz w:val="30"/>
          <w:szCs w:val="30"/>
          <w:highlight w:val="none"/>
          <w:lang w:val="en-US" w:eastAsia="zh-CN"/>
        </w:rPr>
        <w:t>价得分16分</w:t>
      </w:r>
      <w:r>
        <w:rPr>
          <w:rFonts w:hint="eastAsia" w:ascii="仿宋" w:hAnsi="仿宋" w:eastAsia="仿宋" w:cs="仿宋"/>
          <w:b w:val="0"/>
          <w:bCs w:val="0"/>
          <w:sz w:val="30"/>
          <w:szCs w:val="30"/>
          <w:lang w:val="en-US"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02" w:firstLineChars="200"/>
        <w:jc w:val="both"/>
        <w:textAlignment w:val="auto"/>
        <w:outlineLvl w:val="9"/>
        <w:rPr>
          <w:rFonts w:hint="default" w:ascii="仿宋" w:hAnsi="仿宋" w:eastAsia="仿宋" w:cs="仿宋"/>
          <w:b/>
          <w:bCs/>
          <w:sz w:val="30"/>
          <w:szCs w:val="30"/>
          <w:lang w:val="en-US" w:eastAsia="zh-CN"/>
        </w:rPr>
      </w:pPr>
      <w:r>
        <w:rPr>
          <w:rFonts w:hint="eastAsia" w:ascii="仿宋" w:hAnsi="仿宋" w:eastAsia="仿宋" w:cs="仿宋"/>
          <w:b/>
          <w:bCs/>
          <w:sz w:val="30"/>
          <w:szCs w:val="30"/>
          <w:lang w:val="en-US" w:eastAsia="zh-CN"/>
        </w:rPr>
        <w:t>1、项目立项，</w:t>
      </w:r>
      <w:r>
        <w:rPr>
          <w:rFonts w:hint="eastAsia" w:ascii="仿宋" w:hAnsi="仿宋" w:eastAsia="仿宋" w:cs="仿宋"/>
          <w:b/>
          <w:bCs/>
          <w:sz w:val="30"/>
          <w:szCs w:val="30"/>
          <w:highlight w:val="none"/>
          <w:lang w:val="en-US" w:eastAsia="zh-CN"/>
        </w:rPr>
        <w:t>权重6分，得6分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lang w:val="en-US" w:eastAsia="zh-CN"/>
        </w:rPr>
        <w:t>（1）立项依据充分性</w:t>
      </w:r>
      <w:r>
        <w:rPr>
          <w:rFonts w:hint="eastAsia" w:ascii="仿宋" w:hAnsi="仿宋" w:eastAsia="仿宋" w:cs="仿宋"/>
          <w:b w:val="0"/>
          <w:bCs w:val="0"/>
          <w:sz w:val="30"/>
          <w:szCs w:val="30"/>
          <w:highlight w:val="none"/>
          <w:lang w:val="en-US" w:eastAsia="zh-CN"/>
        </w:rPr>
        <w:t>，权重3分，得</w:t>
      </w:r>
      <w:r>
        <w:rPr>
          <w:rFonts w:hint="eastAsia" w:ascii="仿宋" w:hAnsi="仿宋" w:eastAsia="仿宋" w:cs="仿宋"/>
          <w:b w:val="0"/>
          <w:bCs w:val="0"/>
          <w:color w:val="auto"/>
          <w:sz w:val="30"/>
          <w:szCs w:val="30"/>
          <w:highlight w:val="none"/>
          <w:lang w:val="en-US" w:eastAsia="zh-CN"/>
        </w:rPr>
        <w:t>3</w:t>
      </w:r>
      <w:r>
        <w:rPr>
          <w:rFonts w:hint="eastAsia" w:ascii="仿宋" w:hAnsi="仿宋" w:eastAsia="仿宋" w:cs="仿宋"/>
          <w:b w:val="0"/>
          <w:bCs w:val="0"/>
          <w:sz w:val="30"/>
          <w:szCs w:val="30"/>
          <w:highlight w:val="none"/>
          <w:lang w:val="en-US" w:eastAsia="zh-CN"/>
        </w:rPr>
        <w:t>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highlight w:val="none"/>
          <w:lang w:val="en-US" w:eastAsia="zh-CN"/>
        </w:rPr>
        <w:t>本指标考察项目立项是否有充分的依</w:t>
      </w:r>
      <w:r>
        <w:rPr>
          <w:rFonts w:hint="eastAsia" w:ascii="仿宋" w:hAnsi="仿宋" w:eastAsia="仿宋" w:cs="仿宋"/>
          <w:b w:val="0"/>
          <w:bCs w:val="0"/>
          <w:sz w:val="30"/>
          <w:szCs w:val="30"/>
          <w:lang w:val="en-US" w:eastAsia="zh-CN"/>
        </w:rPr>
        <w:t>据，是否符合国家和省、市、县的相关规定，是否与项目单位职责密切相关。用以反映和考核项目立项依据情况。</w:t>
      </w:r>
    </w:p>
    <w:p>
      <w:pPr>
        <w:keepNext w:val="0"/>
        <w:keepLines w:val="0"/>
        <w:pageBreakBefore w:val="0"/>
        <w:widowControl w:val="0"/>
        <w:kinsoku/>
        <w:wordWrap/>
        <w:overflowPunct/>
        <w:topLinePunct w:val="0"/>
        <w:autoSpaceDE/>
        <w:autoSpaceDN/>
        <w:bidi w:val="0"/>
        <w:adjustRightInd/>
        <w:snapToGrid/>
        <w:spacing w:afterLines="0"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关于继续开展“健康饮茶”送茶入户试点工作的通知》指出“坚持以习近平新时代中国特色社会主义思想为指导，深入贯彻落实中央民族工作会议精神，以铸牢中华民族共同体意识为主线，坚持以人民为中心的发展理念，认真落实区市县党委决策部署，立足我县实际，紧紧围绕“茶叶市场流通监管”和“健康饮茶习惯培养”两个关键，大力推广健康茶，引导各族群众形成健康科学的饮茶习惯，为满足人民群众日益增长的健康需求奠定坚实基础”。开展“健康饮茶”送茶入户工作，是贯彻党关于加强和改进民族工作重要思想的重大举措，是铸牢中华民族共同体意识的具体体现，也是新时代党和国家关心人民健康作出的重要部署。</w:t>
      </w:r>
    </w:p>
    <w:p>
      <w:pPr>
        <w:pStyle w:val="4"/>
        <w:keepNext w:val="0"/>
        <w:keepLines w:val="0"/>
        <w:pageBreakBefore w:val="0"/>
        <w:widowControl w:val="0"/>
        <w:kinsoku/>
        <w:wordWrap/>
        <w:overflowPunct/>
        <w:topLinePunct w:val="0"/>
        <w:autoSpaceDE/>
        <w:autoSpaceDN/>
        <w:bidi w:val="0"/>
        <w:adjustRightInd/>
        <w:snapToGrid/>
        <w:spacing w:after="0" w:line="560" w:lineRule="exact"/>
        <w:textAlignment w:val="auto"/>
        <w:rPr>
          <w:rFonts w:hint="default" w:asciiTheme="minorHAnsi" w:hAnsiTheme="minorHAnsi" w:eastAsiaTheme="minorEastAsia" w:cstheme="minorBidi"/>
          <w:b w:val="0"/>
          <w:bCs w:val="0"/>
          <w:sz w:val="21"/>
          <w:szCs w:val="24"/>
          <w:lang w:val="en-US" w:eastAsia="zh-CN"/>
        </w:rPr>
      </w:pPr>
      <w:r>
        <w:rPr>
          <w:rFonts w:hint="eastAsia" w:ascii="仿宋" w:hAnsi="仿宋" w:eastAsia="仿宋" w:cs="仿宋"/>
          <w:b w:val="0"/>
          <w:bCs w:val="0"/>
          <w:sz w:val="30"/>
          <w:szCs w:val="30"/>
          <w:highlight w:val="none"/>
          <w:lang w:val="en-US" w:eastAsia="zh-CN"/>
        </w:rPr>
        <w:t xml:space="preserve">    上述相关文件，为本项目立项提供了充分的依</w:t>
      </w:r>
      <w:r>
        <w:rPr>
          <w:rFonts w:hint="eastAsia" w:ascii="仿宋" w:hAnsi="仿宋" w:eastAsia="仿宋" w:cs="仿宋"/>
          <w:b w:val="0"/>
          <w:bCs w:val="0"/>
          <w:sz w:val="30"/>
          <w:szCs w:val="30"/>
          <w:lang w:val="en-US" w:eastAsia="zh-CN"/>
        </w:rPr>
        <w:t>据。</w:t>
      </w:r>
    </w:p>
    <w:p>
      <w:pPr>
        <w:keepNext w:val="0"/>
        <w:keepLines w:val="0"/>
        <w:pageBreakBefore w:val="0"/>
        <w:widowControl w:val="0"/>
        <w:kinsoku/>
        <w:wordWrap/>
        <w:overflowPunct/>
        <w:topLinePunct w:val="0"/>
        <w:autoSpaceDE/>
        <w:autoSpaceDN/>
        <w:bidi w:val="0"/>
        <w:adjustRightInd/>
        <w:snapToGrid/>
        <w:spacing w:afterLines="0"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（2）立项程序</w:t>
      </w:r>
      <w:r>
        <w:rPr>
          <w:rFonts w:hint="eastAsia" w:ascii="仿宋" w:hAnsi="仿宋" w:eastAsia="仿宋" w:cs="仿宋"/>
          <w:b w:val="0"/>
          <w:bCs w:val="0"/>
          <w:sz w:val="30"/>
          <w:szCs w:val="30"/>
          <w:highlight w:val="none"/>
          <w:lang w:val="en-US" w:eastAsia="zh-CN"/>
        </w:rPr>
        <w:t>规范性，权重3分，得3分。</w:t>
      </w:r>
    </w:p>
    <w:p>
      <w:pPr>
        <w:keepNext w:val="0"/>
        <w:keepLines w:val="0"/>
        <w:pageBreakBefore w:val="0"/>
        <w:widowControl w:val="0"/>
        <w:kinsoku/>
        <w:wordWrap/>
        <w:overflowPunct/>
        <w:topLinePunct w:val="0"/>
        <w:autoSpaceDE/>
        <w:autoSpaceDN/>
        <w:bidi w:val="0"/>
        <w:adjustRightInd/>
        <w:snapToGrid/>
        <w:spacing w:afterLines="0"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本指标考察项目的申请、设立过程是否符合相关要求，用以反映和考核项目立项的规范情况。</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该项目按照阿坝县财政局规定的程序申请设立，阿坝县民族宗教局先内部讨论决议设立该项目，经过主管部门和财政部门等审核，最终项目立项，审批文件、材料符合阿坝县财政局相关要求。</w:t>
      </w:r>
    </w:p>
    <w:p>
      <w:pPr>
        <w:keepNext w:val="0"/>
        <w:keepLines w:val="0"/>
        <w:pageBreakBefore w:val="0"/>
        <w:widowControl w:val="0"/>
        <w:kinsoku/>
        <w:wordWrap/>
        <w:overflowPunct/>
        <w:topLinePunct w:val="0"/>
        <w:autoSpaceDE/>
        <w:autoSpaceDN/>
        <w:bidi w:val="0"/>
        <w:adjustRightInd/>
        <w:snapToGrid/>
        <w:spacing w:line="560" w:lineRule="exact"/>
        <w:ind w:firstLine="602" w:firstLineChars="200"/>
        <w:jc w:val="both"/>
        <w:textAlignment w:val="auto"/>
        <w:outlineLvl w:val="9"/>
        <w:rPr>
          <w:rFonts w:hint="default" w:ascii="仿宋" w:hAnsi="仿宋" w:eastAsia="仿宋" w:cs="仿宋"/>
          <w:b/>
          <w:bCs/>
          <w:sz w:val="30"/>
          <w:szCs w:val="30"/>
          <w:lang w:val="en-US" w:eastAsia="zh-CN"/>
        </w:rPr>
      </w:pPr>
      <w:r>
        <w:rPr>
          <w:rFonts w:hint="eastAsia" w:ascii="仿宋" w:hAnsi="仿宋" w:eastAsia="仿宋" w:cs="仿宋"/>
          <w:b/>
          <w:bCs/>
          <w:sz w:val="30"/>
          <w:szCs w:val="30"/>
          <w:lang w:val="en-US" w:eastAsia="zh-CN"/>
        </w:rPr>
        <w:t>2、绩效目标，</w:t>
      </w:r>
      <w:r>
        <w:rPr>
          <w:rFonts w:hint="eastAsia" w:ascii="仿宋" w:hAnsi="仿宋" w:eastAsia="仿宋" w:cs="仿宋"/>
          <w:b/>
          <w:bCs/>
          <w:sz w:val="30"/>
          <w:szCs w:val="30"/>
          <w:highlight w:val="none"/>
          <w:lang w:val="en-US" w:eastAsia="zh-CN"/>
        </w:rPr>
        <w:t>权重8分，得分4分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（1）绩效目标合理性，权重4分，得分2分。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 xml:space="preserve">本指标考察项目所设定的绩效目标是否依据充分，是否符合客观实际，用以反映和考核项目绩效目标与项目实施的相符情况。  </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sz w:val="30"/>
          <w:szCs w:val="30"/>
          <w:highlight w:val="none"/>
          <w:lang w:eastAsia="zh-CN"/>
        </w:rPr>
        <w:t>项目绩效目标申报表不完善，三级指标设置较少，未能全面反映项目产出效益，本项目只设置了质量指标、成本指标、预算执行指标、社会效益指标、服务对象满意度指标。未设置时效指标、质量指标、经济效益指标、可持续影响指标等。根据相关要求，项目支出绩效目标是指部门依据部门职责和事业发展要求设立并需安排预算的项目支出，在一定期限内预期达到的产出和效果，以及相应的成本控制要求。完成事前绩效评估表后，还需填写项目的整体绩效目标。</w:t>
      </w:r>
      <w:r>
        <w:rPr>
          <w:rFonts w:hint="eastAsia" w:ascii="仿宋" w:hAnsi="仿宋" w:eastAsia="仿宋" w:cs="仿宋"/>
          <w:sz w:val="30"/>
          <w:szCs w:val="30"/>
          <w:highlight w:val="none"/>
          <w:lang w:val="en-US" w:eastAsia="zh-CN"/>
        </w:rPr>
        <w:t>本项目虽已填写整体目标，项目绩效目标表中部分指标值设置不够合理，产出质量指标完成指标率达100%，指标值为40元/户，满意度指标中帮扶对象满意度，指标值为10元/户。绩效目标设置不够合理</w:t>
      </w:r>
      <w:r>
        <w:rPr>
          <w:rFonts w:hint="eastAsia" w:ascii="仿宋" w:hAnsi="仿宋" w:eastAsia="仿宋" w:cs="仿宋"/>
          <w:b w:val="0"/>
          <w:bCs w:val="0"/>
          <w:sz w:val="30"/>
          <w:szCs w:val="30"/>
          <w:highlight w:val="none"/>
          <w:lang w:val="en-US" w:eastAsia="zh-CN"/>
        </w:rPr>
        <w:t xml:space="preserve"> ，且本项目绩效目标未设置数量指标、时效指标，绩效目标表设置不合理。  </w:t>
      </w:r>
      <w:r>
        <w:rPr>
          <w:rFonts w:hint="eastAsia" w:ascii="仿宋" w:hAnsi="仿宋" w:eastAsia="仿宋" w:cs="仿宋"/>
          <w:b w:val="0"/>
          <w:bCs w:val="0"/>
          <w:sz w:val="30"/>
          <w:szCs w:val="30"/>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lang w:val="en-US" w:eastAsia="zh-CN"/>
        </w:rPr>
        <w:t>（2）绩效指标明确性</w:t>
      </w:r>
      <w:r>
        <w:rPr>
          <w:rFonts w:hint="eastAsia" w:ascii="仿宋" w:hAnsi="仿宋" w:eastAsia="仿宋" w:cs="仿宋"/>
          <w:b w:val="0"/>
          <w:bCs w:val="0"/>
          <w:sz w:val="30"/>
          <w:szCs w:val="30"/>
          <w:highlight w:val="none"/>
          <w:lang w:val="en-US" w:eastAsia="zh-CN"/>
        </w:rPr>
        <w:t>，权重4分，得分2分。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highlight w:val="none"/>
          <w:lang w:val="en-US" w:eastAsia="zh-CN"/>
        </w:rPr>
        <w:t>本指标考察依据绩效目标设定的</w:t>
      </w:r>
      <w:r>
        <w:rPr>
          <w:rFonts w:hint="eastAsia" w:ascii="仿宋" w:hAnsi="仿宋" w:eastAsia="仿宋" w:cs="仿宋"/>
          <w:b w:val="0"/>
          <w:bCs w:val="0"/>
          <w:sz w:val="30"/>
          <w:szCs w:val="30"/>
          <w:lang w:val="en-US" w:eastAsia="zh-CN"/>
        </w:rPr>
        <w:t xml:space="preserve">绩效指标是否清晰、细化、可衡量等，用以反映和考核项目绩效目标与项目实施的相符情况。  </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lang w:val="en-US" w:eastAsia="zh-CN"/>
        </w:rPr>
        <w:t>本项目一级目标分为产出目标和效益目标；产出指标中仅包含质量指标、成本指标、预算执行指标；效益指标包含社会效益、服务对象满意度指标；一二级指标下根据项目实际情况设置三级细化指标。项目绩效目标设置不够明确，且缺少时效指标、数量指标等关键内容。</w:t>
      </w:r>
    </w:p>
    <w:p>
      <w:pPr>
        <w:keepNext w:val="0"/>
        <w:keepLines w:val="0"/>
        <w:pageBreakBefore w:val="0"/>
        <w:widowControl w:val="0"/>
        <w:kinsoku/>
        <w:wordWrap/>
        <w:overflowPunct/>
        <w:topLinePunct w:val="0"/>
        <w:autoSpaceDE/>
        <w:autoSpaceDN/>
        <w:bidi w:val="0"/>
        <w:adjustRightInd/>
        <w:snapToGrid/>
        <w:spacing w:line="560" w:lineRule="exact"/>
        <w:ind w:firstLine="602" w:firstLineChars="200"/>
        <w:jc w:val="both"/>
        <w:textAlignment w:val="auto"/>
        <w:outlineLvl w:val="9"/>
        <w:rPr>
          <w:rFonts w:hint="eastAsia" w:ascii="仿宋" w:hAnsi="仿宋" w:eastAsia="仿宋" w:cs="仿宋"/>
          <w:b/>
          <w:bCs/>
          <w:sz w:val="30"/>
          <w:szCs w:val="30"/>
          <w:highlight w:val="none"/>
          <w:lang w:val="en-US" w:eastAsia="zh-CN"/>
        </w:rPr>
      </w:pPr>
      <w:r>
        <w:rPr>
          <w:rFonts w:hint="eastAsia" w:ascii="仿宋" w:hAnsi="仿宋" w:eastAsia="仿宋" w:cs="仿宋"/>
          <w:b/>
          <w:bCs/>
          <w:sz w:val="30"/>
          <w:szCs w:val="30"/>
          <w:highlight w:val="none"/>
          <w:lang w:val="en-US" w:eastAsia="zh-CN"/>
        </w:rPr>
        <w:t>3、资金投入，权重6分，得分6分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（1）预算编制科学性，权重3分，得分3分。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highlight w:val="none"/>
          <w:lang w:val="en-US" w:eastAsia="zh-CN"/>
        </w:rPr>
        <w:t>本指标考察项目预算编制是否经过科学论证、有明确标准，资金额度与年度目标是否相适应</w:t>
      </w:r>
      <w:r>
        <w:rPr>
          <w:rFonts w:hint="eastAsia" w:ascii="仿宋" w:hAnsi="仿宋" w:eastAsia="仿宋" w:cs="仿宋"/>
          <w:b w:val="0"/>
          <w:bCs w:val="0"/>
          <w:sz w:val="30"/>
          <w:szCs w:val="30"/>
          <w:lang w:val="en-US" w:eastAsia="zh-CN"/>
        </w:rPr>
        <w:t>，用以反映和考核项目预算编制的科学性、合理性情况。</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本项目预算编制经过科学论证，总体预算计划由项目单位进行合理确定把关，具有科学性。</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default" w:ascii="仿宋" w:hAnsi="仿宋" w:eastAsia="仿宋" w:cs="仿宋"/>
          <w:b w:val="0"/>
          <w:bCs w:val="0"/>
          <w:sz w:val="30"/>
          <w:szCs w:val="30"/>
          <w:lang w:val="en-US" w:eastAsia="zh-CN"/>
        </w:rPr>
        <w:t>本项目立项预估资金总额为</w:t>
      </w:r>
      <w:r>
        <w:rPr>
          <w:rFonts w:hint="eastAsia" w:ascii="仿宋" w:hAnsi="仿宋" w:eastAsia="仿宋" w:cs="仿宋"/>
          <w:b w:val="0"/>
          <w:bCs w:val="0"/>
          <w:sz w:val="30"/>
          <w:szCs w:val="30"/>
          <w:lang w:val="en-US" w:eastAsia="zh-CN"/>
        </w:rPr>
        <w:t>14</w:t>
      </w:r>
      <w:r>
        <w:rPr>
          <w:rFonts w:hint="default" w:ascii="仿宋" w:hAnsi="仿宋" w:eastAsia="仿宋" w:cs="仿宋"/>
          <w:b w:val="0"/>
          <w:bCs w:val="0"/>
          <w:sz w:val="30"/>
          <w:szCs w:val="30"/>
          <w:lang w:val="en-US" w:eastAsia="zh-CN"/>
        </w:rPr>
        <w:t>.00万元，项目资金来源为</w:t>
      </w:r>
      <w:r>
        <w:rPr>
          <w:rFonts w:hint="eastAsia" w:ascii="仿宋" w:hAnsi="仿宋" w:eastAsia="仿宋" w:cs="仿宋"/>
          <w:b w:val="0"/>
          <w:bCs w:val="0"/>
          <w:sz w:val="30"/>
          <w:szCs w:val="30"/>
          <w:lang w:val="en-US" w:eastAsia="zh-CN"/>
        </w:rPr>
        <w:t>中央和省级财政衔接推进乡村振兴补助资金</w:t>
      </w:r>
      <w:r>
        <w:rPr>
          <w:rFonts w:hint="default" w:ascii="仿宋" w:hAnsi="仿宋" w:eastAsia="仿宋" w:cs="仿宋"/>
          <w:b w:val="0"/>
          <w:bCs w:val="0"/>
          <w:sz w:val="30"/>
          <w:szCs w:val="30"/>
          <w:lang w:val="en-US" w:eastAsia="zh-CN"/>
        </w:rPr>
        <w:t>。资金文件依据为阿坝州财政局、阿坝州乡村振兴局、阿坝州发改委《阿州财农(2023)14号》文件、阿坝县财政局《阿县财农(2023)8号》文件。经</w:t>
      </w:r>
      <w:r>
        <w:rPr>
          <w:rFonts w:hint="eastAsia" w:ascii="仿宋" w:hAnsi="仿宋" w:eastAsia="仿宋" w:cs="仿宋"/>
          <w:b w:val="0"/>
          <w:bCs w:val="0"/>
          <w:sz w:val="30"/>
          <w:szCs w:val="30"/>
          <w:lang w:val="en-US" w:eastAsia="zh-CN"/>
        </w:rPr>
        <w:t>确认</w:t>
      </w:r>
      <w:r>
        <w:rPr>
          <w:rFonts w:hint="default" w:ascii="仿宋" w:hAnsi="仿宋" w:eastAsia="仿宋" w:cs="仿宋"/>
          <w:b w:val="0"/>
          <w:bCs w:val="0"/>
          <w:sz w:val="30"/>
          <w:szCs w:val="30"/>
          <w:lang w:val="en-US" w:eastAsia="zh-CN"/>
        </w:rPr>
        <w:t>后项目预算金额为</w:t>
      </w:r>
      <w:r>
        <w:rPr>
          <w:rFonts w:hint="eastAsia" w:ascii="仿宋" w:hAnsi="仿宋" w:eastAsia="仿宋" w:cs="仿宋"/>
          <w:b w:val="0"/>
          <w:bCs w:val="0"/>
          <w:sz w:val="30"/>
          <w:szCs w:val="30"/>
          <w:lang w:val="en-US" w:eastAsia="zh-CN"/>
        </w:rPr>
        <w:t>14.00万元</w:t>
      </w:r>
      <w:r>
        <w:rPr>
          <w:rFonts w:hint="default" w:ascii="仿宋" w:hAnsi="仿宋" w:eastAsia="仿宋" w:cs="仿宋"/>
          <w:b w:val="0"/>
          <w:bCs w:val="0"/>
          <w:sz w:val="30"/>
          <w:szCs w:val="30"/>
          <w:lang w:val="en-US" w:eastAsia="zh-CN"/>
        </w:rPr>
        <w:t>，已下达资金</w:t>
      </w:r>
      <w:r>
        <w:rPr>
          <w:rFonts w:hint="eastAsia" w:ascii="仿宋" w:hAnsi="仿宋" w:eastAsia="仿宋" w:cs="仿宋"/>
          <w:b w:val="0"/>
          <w:bCs w:val="0"/>
          <w:sz w:val="30"/>
          <w:szCs w:val="30"/>
          <w:lang w:val="en-US" w:eastAsia="zh-CN"/>
        </w:rPr>
        <w:t>14.00万元</w:t>
      </w:r>
      <w:r>
        <w:rPr>
          <w:rFonts w:hint="default" w:ascii="仿宋" w:hAnsi="仿宋" w:eastAsia="仿宋" w:cs="仿宋"/>
          <w:b w:val="0"/>
          <w:bCs w:val="0"/>
          <w:sz w:val="30"/>
          <w:szCs w:val="30"/>
          <w:lang w:val="en-US" w:eastAsia="zh-CN"/>
        </w:rPr>
        <w:t>。</w:t>
      </w:r>
      <w:r>
        <w:rPr>
          <w:rFonts w:hint="eastAsia" w:ascii="仿宋" w:hAnsi="仿宋" w:eastAsia="仿宋" w:cs="仿宋"/>
          <w:sz w:val="30"/>
          <w:szCs w:val="30"/>
          <w:lang w:val="en-US" w:eastAsia="zh-CN"/>
        </w:rPr>
        <w:t>项目预算额度测算依据充分，经过科学论证、具有明确标准，资金额度与年度目标和项目建设计划相匹配。</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lang w:val="en-US" w:eastAsia="zh-CN"/>
        </w:rPr>
        <w:t>（2）资金分配合理性</w:t>
      </w:r>
      <w:r>
        <w:rPr>
          <w:rFonts w:hint="eastAsia" w:ascii="仿宋" w:hAnsi="仿宋" w:eastAsia="仿宋" w:cs="仿宋"/>
          <w:b w:val="0"/>
          <w:bCs w:val="0"/>
          <w:sz w:val="30"/>
          <w:szCs w:val="30"/>
          <w:highlight w:val="none"/>
          <w:lang w:val="en-US" w:eastAsia="zh-CN"/>
        </w:rPr>
        <w:t>，权重3分，得分3分。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highlight w:val="none"/>
          <w:lang w:val="en-US" w:eastAsia="zh-CN"/>
        </w:rPr>
        <w:t>本指标考察项目预算资金</w:t>
      </w:r>
      <w:r>
        <w:rPr>
          <w:rFonts w:hint="eastAsia" w:ascii="仿宋" w:hAnsi="仿宋" w:eastAsia="仿宋" w:cs="仿宋"/>
          <w:b w:val="0"/>
          <w:bCs w:val="0"/>
          <w:sz w:val="30"/>
          <w:szCs w:val="30"/>
          <w:lang w:val="en-US" w:eastAsia="zh-CN"/>
        </w:rPr>
        <w:t>分配是否有测算依据，用以反映和考核项目预算资金分配的科学性、合理性情况。</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本项目资金分配包含项目所有采购内容，均按相关规定和实际需要进行分配。项目资金实际用于本项目茶叶及其他关于本项目的物品采购等，本项目资金分配结果与规划一致。</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1"/>
        <w:rPr>
          <w:rFonts w:hint="default" w:ascii="楷体" w:hAnsi="楷体" w:eastAsia="楷体" w:cs="楷体"/>
          <w:b w:val="0"/>
          <w:bCs w:val="0"/>
          <w:sz w:val="30"/>
          <w:szCs w:val="30"/>
          <w:lang w:val="en-US" w:eastAsia="zh-CN"/>
        </w:rPr>
      </w:pPr>
      <w:bookmarkStart w:id="23" w:name="_Toc17534"/>
      <w:r>
        <w:rPr>
          <w:rFonts w:hint="eastAsia" w:ascii="楷体" w:hAnsi="楷体" w:eastAsia="楷体" w:cs="楷体"/>
          <w:b w:val="0"/>
          <w:bCs w:val="0"/>
          <w:sz w:val="30"/>
          <w:szCs w:val="30"/>
          <w:lang w:val="en-US" w:eastAsia="zh-CN"/>
        </w:rPr>
        <w:t>（二）项目过程</w:t>
      </w:r>
      <w:bookmarkEnd w:id="23"/>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项目过程指标主要从资金管理和组织实施两个要点评价，具体包含项目资金到位率、预算执行率、资金使用合规性，管理制度健全性、制度执行有效性、项目档案管理完整性等七个方面对项目资金管理、组织实施进行考核。项目过程管理指标权重20%，实际评价</w:t>
      </w:r>
      <w:r>
        <w:rPr>
          <w:rFonts w:hint="eastAsia" w:ascii="仿宋" w:hAnsi="仿宋" w:eastAsia="仿宋" w:cs="仿宋"/>
          <w:b w:val="0"/>
          <w:bCs w:val="0"/>
          <w:sz w:val="30"/>
          <w:szCs w:val="30"/>
          <w:highlight w:val="none"/>
          <w:lang w:val="en-US" w:eastAsia="zh-CN"/>
        </w:rPr>
        <w:t>得分17.41分</w:t>
      </w:r>
      <w:r>
        <w:rPr>
          <w:rFonts w:hint="eastAsia" w:ascii="仿宋" w:hAnsi="仿宋" w:eastAsia="仿宋" w:cs="仿宋"/>
          <w:b w:val="0"/>
          <w:bCs w:val="0"/>
          <w:sz w:val="30"/>
          <w:szCs w:val="30"/>
          <w:lang w:val="en-US"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02"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bCs/>
          <w:sz w:val="30"/>
          <w:szCs w:val="30"/>
          <w:lang w:val="en-US" w:eastAsia="zh-CN"/>
        </w:rPr>
        <w:t>1、资金管理，</w:t>
      </w:r>
      <w:r>
        <w:rPr>
          <w:rFonts w:hint="eastAsia" w:ascii="仿宋" w:hAnsi="仿宋" w:eastAsia="仿宋" w:cs="仿宋"/>
          <w:b/>
          <w:bCs/>
          <w:sz w:val="30"/>
          <w:szCs w:val="30"/>
          <w:highlight w:val="none"/>
          <w:lang w:val="en-US" w:eastAsia="zh-CN"/>
        </w:rPr>
        <w:t>权重12分，得分11.91分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（1）资金到位率，权重4分，得分4分。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考察项目资金支付到位及时情况。用以反映和考核资金落实情况对项目实施的总体保障程度。</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color w:val="auto"/>
          <w:sz w:val="30"/>
          <w:szCs w:val="30"/>
          <w:highlight w:val="none"/>
          <w:lang w:val="en-US" w:eastAsia="zh-CN"/>
        </w:rPr>
      </w:pPr>
      <w:r>
        <w:rPr>
          <w:rFonts w:hint="default" w:ascii="仿宋" w:hAnsi="仿宋" w:eastAsia="仿宋" w:cs="仿宋"/>
          <w:b w:val="0"/>
          <w:bCs w:val="0"/>
          <w:sz w:val="30"/>
          <w:szCs w:val="30"/>
          <w:lang w:val="en-US" w:eastAsia="zh-CN"/>
        </w:rPr>
        <w:t>本项目立项预估资金总额为1</w:t>
      </w:r>
      <w:r>
        <w:rPr>
          <w:rFonts w:hint="eastAsia" w:ascii="仿宋" w:hAnsi="仿宋" w:eastAsia="仿宋" w:cs="仿宋"/>
          <w:b w:val="0"/>
          <w:bCs w:val="0"/>
          <w:sz w:val="30"/>
          <w:szCs w:val="30"/>
          <w:lang w:val="en-US" w:eastAsia="zh-CN"/>
        </w:rPr>
        <w:t>4</w:t>
      </w:r>
      <w:r>
        <w:rPr>
          <w:rFonts w:hint="default" w:ascii="仿宋" w:hAnsi="仿宋" w:eastAsia="仿宋" w:cs="仿宋"/>
          <w:b w:val="0"/>
          <w:bCs w:val="0"/>
          <w:sz w:val="30"/>
          <w:szCs w:val="30"/>
          <w:lang w:val="en-US" w:eastAsia="zh-CN"/>
        </w:rPr>
        <w:t>.00万元，项目资金来源为</w:t>
      </w:r>
      <w:r>
        <w:rPr>
          <w:rFonts w:hint="eastAsia" w:ascii="仿宋" w:hAnsi="仿宋" w:eastAsia="仿宋" w:cs="仿宋"/>
          <w:b w:val="0"/>
          <w:bCs w:val="0"/>
          <w:sz w:val="30"/>
          <w:szCs w:val="30"/>
          <w:lang w:val="en-US" w:eastAsia="zh-CN"/>
        </w:rPr>
        <w:t>中央和省级财政衔接推进乡村振兴补助资金</w:t>
      </w:r>
      <w:r>
        <w:rPr>
          <w:rFonts w:hint="default" w:ascii="仿宋" w:hAnsi="仿宋" w:eastAsia="仿宋" w:cs="仿宋"/>
          <w:b w:val="0"/>
          <w:bCs w:val="0"/>
          <w:sz w:val="30"/>
          <w:szCs w:val="30"/>
          <w:lang w:val="en-US" w:eastAsia="zh-CN"/>
        </w:rPr>
        <w:t>。资金文件依据为阿坝州财政局、阿坝州乡村振兴局、阿坝州发改委《阿州财农(2023)14号》文件、阿坝县财政局《阿县财农(2023)8号》文件。经调剂后项目预算金额为</w:t>
      </w:r>
      <w:r>
        <w:rPr>
          <w:rFonts w:hint="eastAsia" w:ascii="仿宋" w:hAnsi="仿宋" w:eastAsia="仿宋" w:cs="仿宋"/>
          <w:b w:val="0"/>
          <w:bCs w:val="0"/>
          <w:sz w:val="30"/>
          <w:szCs w:val="30"/>
          <w:lang w:val="en-US" w:eastAsia="zh-CN"/>
        </w:rPr>
        <w:t>14.00万元</w:t>
      </w:r>
      <w:r>
        <w:rPr>
          <w:rFonts w:hint="default" w:ascii="仿宋" w:hAnsi="仿宋" w:eastAsia="仿宋" w:cs="仿宋"/>
          <w:b w:val="0"/>
          <w:bCs w:val="0"/>
          <w:sz w:val="30"/>
          <w:szCs w:val="30"/>
          <w:lang w:val="en-US" w:eastAsia="zh-CN"/>
        </w:rPr>
        <w:t>，已下达资金</w:t>
      </w:r>
      <w:r>
        <w:rPr>
          <w:rFonts w:hint="eastAsia" w:ascii="仿宋" w:hAnsi="仿宋" w:eastAsia="仿宋" w:cs="仿宋"/>
          <w:b w:val="0"/>
          <w:bCs w:val="0"/>
          <w:sz w:val="30"/>
          <w:szCs w:val="30"/>
          <w:lang w:val="en-US" w:eastAsia="zh-CN"/>
        </w:rPr>
        <w:t>14.00万元</w:t>
      </w:r>
      <w:r>
        <w:rPr>
          <w:rFonts w:hint="eastAsia" w:ascii="仿宋" w:hAnsi="仿宋" w:eastAsia="仿宋" w:cs="仿宋"/>
          <w:sz w:val="30"/>
          <w:szCs w:val="30"/>
          <w:lang w:val="en-US" w:eastAsia="zh-CN"/>
        </w:rPr>
        <w:t>。</w:t>
      </w:r>
      <w:r>
        <w:rPr>
          <w:rFonts w:hint="eastAsia" w:ascii="仿宋" w:hAnsi="仿宋" w:eastAsia="仿宋" w:cs="仿宋"/>
          <w:color w:val="auto"/>
          <w:sz w:val="30"/>
          <w:szCs w:val="30"/>
          <w:highlight w:val="none"/>
          <w:lang w:val="en-US" w:eastAsia="zh-CN"/>
        </w:rPr>
        <w:t>项目资金到位率为100%。</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（2）</w:t>
      </w:r>
      <w:r>
        <w:rPr>
          <w:rFonts w:hint="default" w:ascii="仿宋" w:hAnsi="仿宋" w:eastAsia="仿宋" w:cs="仿宋"/>
          <w:b w:val="0"/>
          <w:bCs w:val="0"/>
          <w:sz w:val="30"/>
          <w:szCs w:val="30"/>
          <w:highlight w:val="none"/>
          <w:lang w:val="en-US" w:eastAsia="zh-CN"/>
        </w:rPr>
        <w:t>项目预算执行率</w:t>
      </w:r>
      <w:r>
        <w:rPr>
          <w:rFonts w:hint="eastAsia" w:ascii="仿宋" w:hAnsi="仿宋" w:eastAsia="仿宋" w:cs="仿宋"/>
          <w:b w:val="0"/>
          <w:bCs w:val="0"/>
          <w:sz w:val="30"/>
          <w:szCs w:val="30"/>
          <w:highlight w:val="none"/>
          <w:lang w:val="en-US" w:eastAsia="zh-CN"/>
        </w:rPr>
        <w:t>，权重4分，得分3.91分。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highlight w:val="none"/>
          <w:lang w:val="en-US" w:eastAsia="zh-CN"/>
        </w:rPr>
      </w:pPr>
      <w:r>
        <w:rPr>
          <w:rFonts w:hint="default" w:ascii="仿宋" w:hAnsi="仿宋" w:eastAsia="仿宋" w:cs="仿宋"/>
          <w:b w:val="0"/>
          <w:bCs w:val="0"/>
          <w:sz w:val="30"/>
          <w:szCs w:val="30"/>
          <w:highlight w:val="none"/>
          <w:lang w:val="en-US" w:eastAsia="zh-CN"/>
        </w:rPr>
        <w:t>本指标考察项目预算资金是否按照计划执行，用以反映或考核项目预算执行情况</w:t>
      </w:r>
      <w:r>
        <w:rPr>
          <w:rFonts w:hint="eastAsia" w:ascii="仿宋" w:hAnsi="仿宋" w:eastAsia="仿宋" w:cs="仿宋"/>
          <w:b w:val="0"/>
          <w:bCs w:val="0"/>
          <w:sz w:val="30"/>
          <w:szCs w:val="30"/>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根据本项目实际情况，</w:t>
      </w:r>
      <w:r>
        <w:rPr>
          <w:rFonts w:hint="eastAsia" w:ascii="仿宋" w:hAnsi="仿宋" w:eastAsia="仿宋" w:cs="仿宋"/>
          <w:sz w:val="30"/>
          <w:szCs w:val="30"/>
          <w:lang w:val="en-US" w:eastAsia="zh-CN"/>
        </w:rPr>
        <w:t>截至绩效评价日2023年10月30日，本项目已下达资金14.00万元，本项目已支付</w:t>
      </w:r>
      <w:r>
        <w:rPr>
          <w:rFonts w:hint="eastAsia" w:ascii="仿宋" w:hAnsi="仿宋" w:eastAsia="仿宋" w:cs="仿宋"/>
          <w:b w:val="0"/>
          <w:bCs w:val="0"/>
          <w:sz w:val="30"/>
          <w:szCs w:val="30"/>
          <w:lang w:val="en-US" w:eastAsia="zh-CN"/>
        </w:rPr>
        <w:t>137,011.22</w:t>
      </w:r>
      <w:r>
        <w:rPr>
          <w:rFonts w:hint="eastAsia" w:ascii="仿宋" w:hAnsi="仿宋" w:eastAsia="仿宋" w:cs="仿宋"/>
          <w:sz w:val="30"/>
          <w:szCs w:val="30"/>
          <w:lang w:val="en-US" w:eastAsia="zh-CN"/>
        </w:rPr>
        <w:t>元。</w:t>
      </w:r>
      <w:r>
        <w:rPr>
          <w:rFonts w:hint="default" w:ascii="仿宋" w:hAnsi="仿宋" w:eastAsia="仿宋" w:cs="仿宋"/>
          <w:b w:val="0"/>
          <w:bCs w:val="0"/>
          <w:sz w:val="30"/>
          <w:szCs w:val="30"/>
          <w:highlight w:val="none"/>
          <w:lang w:val="en-US" w:eastAsia="zh-CN"/>
        </w:rPr>
        <w:t>预算执行率=</w:t>
      </w:r>
      <w:r>
        <w:rPr>
          <w:rFonts w:hint="eastAsia" w:ascii="仿宋" w:hAnsi="仿宋" w:eastAsia="仿宋" w:cs="仿宋"/>
          <w:b w:val="0"/>
          <w:bCs w:val="0"/>
          <w:sz w:val="30"/>
          <w:szCs w:val="30"/>
          <w:highlight w:val="none"/>
          <w:lang w:val="en-US" w:eastAsia="zh-CN"/>
        </w:rPr>
        <w:t>（</w:t>
      </w:r>
      <w:r>
        <w:rPr>
          <w:rFonts w:hint="default" w:ascii="仿宋" w:hAnsi="仿宋" w:eastAsia="仿宋" w:cs="仿宋"/>
          <w:b w:val="0"/>
          <w:bCs w:val="0"/>
          <w:sz w:val="30"/>
          <w:szCs w:val="30"/>
          <w:highlight w:val="none"/>
          <w:lang w:val="en-US" w:eastAsia="zh-CN"/>
        </w:rPr>
        <w:t>实际支出资金/实际到位资金</w:t>
      </w:r>
      <w:r>
        <w:rPr>
          <w:rFonts w:hint="eastAsia" w:ascii="仿宋" w:hAnsi="仿宋" w:eastAsia="仿宋" w:cs="仿宋"/>
          <w:b w:val="0"/>
          <w:bCs w:val="0"/>
          <w:sz w:val="30"/>
          <w:szCs w:val="30"/>
          <w:highlight w:val="none"/>
          <w:lang w:val="en-US" w:eastAsia="zh-CN"/>
        </w:rPr>
        <w:t>）</w:t>
      </w:r>
      <w:r>
        <w:rPr>
          <w:rFonts w:hint="eastAsia" w:ascii="仿宋" w:hAnsi="仿宋" w:eastAsia="仿宋" w:cs="仿宋"/>
          <w:sz w:val="30"/>
          <w:szCs w:val="30"/>
          <w:highlight w:val="none"/>
          <w:lang w:val="en-US" w:eastAsia="zh-CN"/>
        </w:rPr>
        <w:t>*100%</w:t>
      </w:r>
      <w:r>
        <w:rPr>
          <w:rFonts w:hint="eastAsia" w:ascii="仿宋" w:hAnsi="仿宋" w:eastAsia="仿宋" w:cs="仿宋"/>
          <w:b w:val="0"/>
          <w:bCs w:val="0"/>
          <w:sz w:val="30"/>
          <w:szCs w:val="30"/>
          <w:highlight w:val="none"/>
          <w:lang w:val="en-US" w:eastAsia="zh-CN"/>
        </w:rPr>
        <w:t>，</w:t>
      </w:r>
      <w:r>
        <w:rPr>
          <w:rFonts w:hint="default" w:ascii="仿宋" w:hAnsi="仿宋" w:eastAsia="仿宋" w:cs="仿宋"/>
          <w:b w:val="0"/>
          <w:bCs w:val="0"/>
          <w:sz w:val="30"/>
          <w:szCs w:val="30"/>
          <w:highlight w:val="none"/>
          <w:lang w:val="en-US" w:eastAsia="zh-CN"/>
        </w:rPr>
        <w:t>项目预算执行率</w:t>
      </w:r>
      <w:r>
        <w:rPr>
          <w:rFonts w:hint="eastAsia" w:ascii="仿宋" w:hAnsi="仿宋" w:eastAsia="仿宋" w:cs="仿宋"/>
          <w:b w:val="0"/>
          <w:bCs w:val="0"/>
          <w:sz w:val="30"/>
          <w:szCs w:val="30"/>
          <w:highlight w:val="none"/>
          <w:lang w:val="en-US" w:eastAsia="zh-CN"/>
        </w:rPr>
        <w:t>为97.87</w:t>
      </w:r>
      <w:r>
        <w:rPr>
          <w:rFonts w:hint="eastAsia" w:ascii="仿宋" w:hAnsi="仿宋" w:eastAsia="仿宋" w:cs="仿宋"/>
          <w:sz w:val="30"/>
          <w:szCs w:val="30"/>
          <w:highlight w:val="none"/>
          <w:lang w:val="en-US" w:eastAsia="zh-CN"/>
        </w:rPr>
        <w:t>%</w:t>
      </w:r>
      <w:r>
        <w:rPr>
          <w:rFonts w:hint="eastAsia" w:ascii="仿宋" w:hAnsi="仿宋" w:eastAsia="仿宋" w:cs="仿宋"/>
          <w:b w:val="0"/>
          <w:bCs w:val="0"/>
          <w:sz w:val="30"/>
          <w:szCs w:val="30"/>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（3）</w:t>
      </w:r>
      <w:r>
        <w:rPr>
          <w:rFonts w:hint="default" w:ascii="仿宋" w:hAnsi="仿宋" w:eastAsia="仿宋" w:cs="仿宋"/>
          <w:b w:val="0"/>
          <w:bCs w:val="0"/>
          <w:sz w:val="30"/>
          <w:szCs w:val="30"/>
          <w:highlight w:val="none"/>
          <w:lang w:val="en-US" w:eastAsia="zh-CN"/>
        </w:rPr>
        <w:t>资金使用合规性</w:t>
      </w:r>
      <w:r>
        <w:rPr>
          <w:rFonts w:hint="eastAsia" w:ascii="仿宋" w:hAnsi="仿宋" w:eastAsia="仿宋" w:cs="仿宋"/>
          <w:b w:val="0"/>
          <w:bCs w:val="0"/>
          <w:sz w:val="30"/>
          <w:szCs w:val="30"/>
          <w:highlight w:val="none"/>
          <w:lang w:val="en-US" w:eastAsia="zh-CN"/>
        </w:rPr>
        <w:t>，权重4分，得分4分。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highlight w:val="none"/>
          <w:lang w:val="en-US" w:eastAsia="zh-CN"/>
        </w:rPr>
      </w:pPr>
      <w:r>
        <w:rPr>
          <w:rFonts w:hint="default" w:ascii="仿宋" w:hAnsi="仿宋" w:eastAsia="仿宋" w:cs="仿宋"/>
          <w:b w:val="0"/>
          <w:bCs w:val="0"/>
          <w:sz w:val="30"/>
          <w:szCs w:val="30"/>
          <w:highlight w:val="none"/>
          <w:lang w:val="en-US" w:eastAsia="zh-CN"/>
        </w:rPr>
        <w:t>本指标考察项目资金使用是否符合相关法律法规、制度和规定，用以反映和考核项目资金使用的规范性和安全性。</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本项目资金支出符合国家财经法规和财务管理制度以及有关专项资金管理办法的规定，资金的拨付有完整的审批程序和手续，符合项目预算批复或合同规定的用途，不存在截留、挤占、挪用虚列支出等情况。</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本项目支付凭证包含了发票、国库集中支付凭证、拨款申请、资金拨付审批表、请款报告、合同书等，报账资料齐全。资金使用具有合规性。</w:t>
      </w:r>
    </w:p>
    <w:p>
      <w:pPr>
        <w:keepNext w:val="0"/>
        <w:keepLines w:val="0"/>
        <w:pageBreakBefore w:val="0"/>
        <w:widowControl w:val="0"/>
        <w:kinsoku/>
        <w:wordWrap/>
        <w:overflowPunct/>
        <w:topLinePunct w:val="0"/>
        <w:autoSpaceDE/>
        <w:autoSpaceDN/>
        <w:bidi w:val="0"/>
        <w:adjustRightInd/>
        <w:snapToGrid/>
        <w:spacing w:line="560" w:lineRule="exact"/>
        <w:ind w:firstLine="602"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bCs/>
          <w:sz w:val="30"/>
          <w:szCs w:val="30"/>
          <w:highlight w:val="none"/>
          <w:lang w:val="en-US" w:eastAsia="zh-CN"/>
        </w:rPr>
        <w:t>2、组织实施，权重8分，得分5.5分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（1）财务和项目管理制度健全性，权重4分，得分2分。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本指标考察项目单位财务和项目管理制度是否健全、完善，用以反映和考核财务和业务管理制度对项目合法合规实施的保障情况。</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sz w:val="30"/>
          <w:szCs w:val="30"/>
          <w:highlight w:val="none"/>
          <w:lang w:val="en-US" w:eastAsia="zh-CN"/>
        </w:rPr>
        <w:t>经评价组调查了解，</w:t>
      </w:r>
      <w:r>
        <w:rPr>
          <w:rFonts w:hint="eastAsia" w:ascii="仿宋" w:hAnsi="仿宋" w:eastAsia="仿宋" w:cs="仿宋"/>
          <w:sz w:val="30"/>
          <w:szCs w:val="30"/>
          <w:highlight w:val="none"/>
        </w:rPr>
        <w:t>根据与阿坝县财政局</w:t>
      </w:r>
      <w:r>
        <w:rPr>
          <w:rFonts w:hint="eastAsia" w:ascii="仿宋" w:hAnsi="仿宋" w:eastAsia="仿宋" w:cs="仿宋"/>
          <w:sz w:val="30"/>
          <w:szCs w:val="30"/>
          <w:highlight w:val="none"/>
          <w:lang w:eastAsia="zh-CN"/>
        </w:rPr>
        <w:t>、阿坝县民族宗教局</w:t>
      </w:r>
      <w:r>
        <w:rPr>
          <w:rFonts w:hint="eastAsia" w:ascii="仿宋" w:hAnsi="仿宋" w:eastAsia="仿宋" w:cs="仿宋"/>
          <w:sz w:val="30"/>
          <w:szCs w:val="30"/>
          <w:highlight w:val="none"/>
        </w:rPr>
        <w:t>咨询，</w:t>
      </w:r>
      <w:r>
        <w:rPr>
          <w:rFonts w:hint="eastAsia" w:ascii="仿宋" w:hAnsi="仿宋" w:eastAsia="仿宋" w:cs="仿宋"/>
          <w:sz w:val="30"/>
          <w:szCs w:val="30"/>
          <w:highlight w:val="none"/>
          <w:lang w:eastAsia="zh-CN"/>
        </w:rPr>
        <w:t>项目单位</w:t>
      </w:r>
      <w:r>
        <w:rPr>
          <w:rFonts w:hint="eastAsia" w:ascii="仿宋" w:hAnsi="仿宋" w:eastAsia="仿宋" w:cs="仿宋"/>
          <w:sz w:val="30"/>
          <w:szCs w:val="30"/>
          <w:highlight w:val="none"/>
        </w:rPr>
        <w:t>未针对本项目制定相关的业务、财务及管理等方面的保障制度</w:t>
      </w:r>
      <w:r>
        <w:rPr>
          <w:rFonts w:hint="eastAsia" w:ascii="仿宋" w:hAnsi="仿宋" w:eastAsia="仿宋" w:cs="仿宋"/>
          <w:sz w:val="30"/>
          <w:szCs w:val="30"/>
          <w:highlight w:val="none"/>
          <w:lang w:eastAsia="zh-CN"/>
        </w:rPr>
        <w:t>，</w:t>
      </w:r>
      <w:r>
        <w:rPr>
          <w:rFonts w:hint="eastAsia" w:ascii="仿宋" w:hAnsi="仿宋" w:eastAsia="仿宋" w:cs="仿宋"/>
          <w:b w:val="0"/>
          <w:bCs w:val="0"/>
          <w:sz w:val="30"/>
          <w:szCs w:val="30"/>
          <w:highlight w:val="none"/>
          <w:lang w:val="en-US" w:eastAsia="zh-CN"/>
        </w:rPr>
        <w:t>财务和项目管理制度沿用政府投资项目一般性财务和项目管理制度，项目建设过程中未出现相关财务和项目管理上的问题。</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项目由专业人员和群管人员共同负责管理，专业人员实行目标管理和岗位责任制，层层签定目标管理责任书，制定管理条例、管理制度、奖惩制度、规章制度、设备操作规程等。</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（2）采购、合同、档案管理制度执行有效性，权重4分，得分3.5分。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①采购管理制度执行有效性</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本指标主要考察项目服务活动的采购方式、政府采购流程是否合法合规，用以反映采购合规对项目资金、项目实施的保障作用。</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highlight w:val="none"/>
          <w:lang w:val="en-US" w:eastAsia="zh-CN"/>
        </w:rPr>
        <w:t>项目单位未针对该项目制定政府采购管理制度，政府采购管理主要依据相关法律法规，如《中华人民共和国招标投标法》、《中华人民共和国政府采购法》等。项目合同书、验收报告、技术鉴定等资料齐全，并已及时归档，项目实施的人员</w:t>
      </w:r>
      <w:r>
        <w:rPr>
          <w:rFonts w:hint="eastAsia" w:ascii="仿宋" w:hAnsi="仿宋" w:eastAsia="仿宋" w:cs="仿宋"/>
          <w:b w:val="0"/>
          <w:bCs w:val="0"/>
          <w:sz w:val="30"/>
          <w:szCs w:val="30"/>
          <w:lang w:val="en-US" w:eastAsia="zh-CN"/>
        </w:rPr>
        <w:t>条件 、场地设备、信息支撑等已按时落实到位。本项目服务活动的采购方式、政府采购流程合法合规。</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②合同管理制度执行有效性</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本指标考察项目合同签约和履约管理情况，以反映项目管理合同环节对完成项目的保障作用。</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eastAsia" w:ascii="仿宋" w:hAnsi="仿宋" w:eastAsia="仿宋" w:cs="仿宋"/>
          <w:sz w:val="30"/>
          <w:szCs w:val="30"/>
          <w:lang w:eastAsia="zh-CN"/>
        </w:rPr>
        <w:t>阿坝县民族宗教局</w:t>
      </w:r>
      <w:r>
        <w:rPr>
          <w:rFonts w:hint="eastAsia" w:ascii="仿宋" w:hAnsi="仿宋" w:eastAsia="仿宋" w:cs="仿宋"/>
          <w:sz w:val="30"/>
          <w:szCs w:val="30"/>
          <w:lang w:val="en-US" w:eastAsia="zh-CN"/>
        </w:rPr>
        <w:t>已制定合同审批办法，</w:t>
      </w:r>
      <w:r>
        <w:rPr>
          <w:rFonts w:hint="eastAsia" w:ascii="仿宋" w:hAnsi="仿宋" w:eastAsia="仿宋" w:cs="仿宋"/>
          <w:b w:val="0"/>
          <w:bCs w:val="0"/>
          <w:sz w:val="30"/>
          <w:szCs w:val="30"/>
          <w:lang w:val="en-US" w:eastAsia="zh-CN"/>
        </w:rPr>
        <w:t>主要内容包括宗旨、适用范围、职责分工、合同文本、提请审批、财务审核、法律审核、审核的意见出具及执行、审批权限、合同盖章、重新审签等，能有效管理和审批项目合同书、验收报告、技术鉴定等资料。评价组已抽查本项目施工合同等，核对合同签约条款与采购需求文件的相符性，合同签约审核程序规范性，合同履约及时性，合同管理责任落实情况，以及合同法律责任明确和落实情况。抽查的相关合同签约条款与采购文件基本相符，合同签约审核程序规范。</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③项目档案管理完整性</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本指标考察项目档案资料保管和归档合规性、完整性和及时性情况，以反映项目档案管理对完成项目的保障作用。</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eastAsia" w:ascii="仿宋" w:hAnsi="仿宋" w:eastAsia="仿宋" w:cs="仿宋"/>
          <w:sz w:val="30"/>
          <w:szCs w:val="30"/>
          <w:lang w:val="en-US" w:eastAsia="zh-CN"/>
        </w:rPr>
        <w:t>项目单位提供的验收报告仅为采购验收报告单，而本项目实施内容为“健康饮茶”发放对象为阿坝县2018年底尚未脱贫的建档立卡贫困户，共计1117人。每人免费赠送低氟砖茶2公斤。未见发放记录结果确认单。</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1"/>
        <w:rPr>
          <w:rFonts w:hint="eastAsia" w:ascii="楷体" w:hAnsi="楷体" w:eastAsia="楷体" w:cs="楷体"/>
          <w:b w:val="0"/>
          <w:bCs w:val="0"/>
          <w:sz w:val="30"/>
          <w:szCs w:val="30"/>
          <w:lang w:val="en-US" w:eastAsia="zh-CN"/>
        </w:rPr>
      </w:pPr>
      <w:bookmarkStart w:id="24" w:name="_Toc16329"/>
      <w:r>
        <w:rPr>
          <w:rFonts w:hint="eastAsia" w:ascii="楷体" w:hAnsi="楷体" w:eastAsia="楷体" w:cs="楷体"/>
          <w:b w:val="0"/>
          <w:bCs w:val="0"/>
          <w:sz w:val="30"/>
          <w:szCs w:val="30"/>
          <w:lang w:val="en-US" w:eastAsia="zh-CN"/>
        </w:rPr>
        <w:t>（三）项目产出</w:t>
      </w:r>
      <w:bookmarkEnd w:id="24"/>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lang w:val="en-US" w:eastAsia="zh-CN"/>
        </w:rPr>
        <w:t>本指标主要考察项目实施的实际产出数与计划产出数的比率，用以反映和考核项目产出数量目标的实现程度。项目产出指标权重40%，实际评</w:t>
      </w:r>
      <w:r>
        <w:rPr>
          <w:rFonts w:hint="eastAsia" w:ascii="仿宋" w:hAnsi="仿宋" w:eastAsia="仿宋" w:cs="仿宋"/>
          <w:b w:val="0"/>
          <w:bCs w:val="0"/>
          <w:sz w:val="30"/>
          <w:szCs w:val="30"/>
          <w:highlight w:val="none"/>
          <w:lang w:val="en-US" w:eastAsia="zh-CN"/>
        </w:rPr>
        <w:t>价得分37分。</w:t>
      </w:r>
    </w:p>
    <w:p>
      <w:pPr>
        <w:keepNext w:val="0"/>
        <w:keepLines w:val="0"/>
        <w:pageBreakBefore w:val="0"/>
        <w:widowControl w:val="0"/>
        <w:kinsoku/>
        <w:wordWrap/>
        <w:overflowPunct/>
        <w:topLinePunct w:val="0"/>
        <w:autoSpaceDE/>
        <w:autoSpaceDN/>
        <w:bidi w:val="0"/>
        <w:adjustRightInd/>
        <w:snapToGrid/>
        <w:spacing w:line="560" w:lineRule="exact"/>
        <w:ind w:firstLine="602" w:firstLineChars="200"/>
        <w:jc w:val="both"/>
        <w:textAlignment w:val="auto"/>
        <w:outlineLvl w:val="9"/>
        <w:rPr>
          <w:rFonts w:hint="eastAsia" w:ascii="仿宋" w:hAnsi="仿宋" w:eastAsia="仿宋" w:cs="仿宋"/>
          <w:b w:val="0"/>
          <w:bCs w:val="0"/>
          <w:sz w:val="30"/>
          <w:szCs w:val="30"/>
          <w:highlight w:val="red"/>
          <w:lang w:val="en-US" w:eastAsia="zh-CN"/>
        </w:rPr>
      </w:pPr>
      <w:r>
        <w:rPr>
          <w:rFonts w:hint="eastAsia" w:ascii="仿宋" w:hAnsi="仿宋" w:eastAsia="仿宋" w:cs="仿宋"/>
          <w:b/>
          <w:bCs/>
          <w:sz w:val="30"/>
          <w:szCs w:val="30"/>
          <w:highlight w:val="none"/>
          <w:lang w:val="en-US" w:eastAsia="zh-CN"/>
        </w:rPr>
        <w:t>1、产出数量：权重10分，得分8分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根据本项目整体目标，“健康饮茶”发放对象为阿坝县2018年底尚未脱贫的建档立卡贫困户，共计1117人。每人免费赠送低氟砖茶2公斤。根据绩效评估组查阅项目资料及项目验收报告，项目实际完成所有茶叶发放，产出数量实际已达预期数量，合同数量为1117条，实际发货1119条，但是项目绩效目标表未设置本项目的数量指标，得分8分。</w:t>
      </w:r>
    </w:p>
    <w:p>
      <w:pPr>
        <w:keepNext w:val="0"/>
        <w:keepLines w:val="0"/>
        <w:pageBreakBefore w:val="0"/>
        <w:widowControl w:val="0"/>
        <w:kinsoku/>
        <w:wordWrap/>
        <w:overflowPunct/>
        <w:topLinePunct w:val="0"/>
        <w:autoSpaceDE/>
        <w:autoSpaceDN/>
        <w:bidi w:val="0"/>
        <w:adjustRightInd/>
        <w:snapToGrid/>
        <w:spacing w:line="560" w:lineRule="exact"/>
        <w:ind w:firstLine="602" w:firstLineChars="200"/>
        <w:jc w:val="both"/>
        <w:textAlignment w:val="auto"/>
        <w:outlineLvl w:val="9"/>
        <w:rPr>
          <w:rFonts w:hint="default" w:ascii="仿宋" w:hAnsi="仿宋" w:eastAsia="仿宋" w:cs="仿宋"/>
          <w:b w:val="0"/>
          <w:bCs w:val="0"/>
          <w:sz w:val="30"/>
          <w:szCs w:val="30"/>
          <w:highlight w:val="yellow"/>
          <w:lang w:val="en-US" w:eastAsia="zh-CN"/>
        </w:rPr>
      </w:pPr>
      <w:r>
        <w:rPr>
          <w:rFonts w:hint="eastAsia" w:ascii="仿宋" w:hAnsi="仿宋" w:eastAsia="仿宋" w:cs="仿宋"/>
          <w:b/>
          <w:bCs/>
          <w:sz w:val="30"/>
          <w:szCs w:val="30"/>
          <w:highlight w:val="none"/>
          <w:lang w:val="en-US" w:eastAsia="zh-CN"/>
        </w:rPr>
        <w:t>2、产出质量：质量达标率，权重10分，得分10分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本指标考核</w:t>
      </w:r>
      <w:r>
        <w:rPr>
          <w:rFonts w:hint="default" w:ascii="仿宋" w:hAnsi="仿宋" w:eastAsia="仿宋" w:cs="仿宋"/>
          <w:b w:val="0"/>
          <w:bCs w:val="0"/>
          <w:sz w:val="30"/>
          <w:szCs w:val="30"/>
          <w:highlight w:val="none"/>
          <w:lang w:val="en-US" w:eastAsia="zh-CN"/>
        </w:rPr>
        <w:t>项目完成的质量达标产出数与实际产出数的比率 ，用以反映和考核项目产出质量目标的实现程度。</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完成指标率达100%，权重10分，得分10分。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项目绩效目标申报表的质量指标中完成指标率达100%，指标值为40元/户，依据项目单位、供货单位出具的验收报告的结论列示：验收结论为合格，所有货物型号均已按合约提供。完成指标率达100%，得分10分。</w:t>
      </w:r>
    </w:p>
    <w:p>
      <w:pPr>
        <w:keepNext w:val="0"/>
        <w:keepLines w:val="0"/>
        <w:pageBreakBefore w:val="0"/>
        <w:widowControl w:val="0"/>
        <w:kinsoku/>
        <w:wordWrap/>
        <w:overflowPunct/>
        <w:topLinePunct w:val="0"/>
        <w:autoSpaceDE/>
        <w:autoSpaceDN/>
        <w:bidi w:val="0"/>
        <w:adjustRightInd/>
        <w:snapToGrid/>
        <w:spacing w:line="560" w:lineRule="exact"/>
        <w:ind w:firstLine="602" w:firstLineChars="200"/>
        <w:jc w:val="both"/>
        <w:textAlignment w:val="auto"/>
        <w:outlineLvl w:val="9"/>
        <w:rPr>
          <w:rFonts w:hint="eastAsia" w:ascii="仿宋" w:hAnsi="仿宋" w:eastAsia="仿宋" w:cs="仿宋"/>
          <w:b/>
          <w:bCs/>
          <w:sz w:val="30"/>
          <w:szCs w:val="30"/>
          <w:highlight w:val="none"/>
          <w:lang w:val="en-US" w:eastAsia="zh-CN"/>
        </w:rPr>
      </w:pPr>
      <w:r>
        <w:rPr>
          <w:rFonts w:hint="eastAsia" w:ascii="仿宋" w:hAnsi="仿宋" w:eastAsia="仿宋" w:cs="仿宋"/>
          <w:b/>
          <w:bCs/>
          <w:sz w:val="30"/>
          <w:szCs w:val="30"/>
          <w:highlight w:val="none"/>
          <w:lang w:val="en-US" w:eastAsia="zh-CN"/>
        </w:rPr>
        <w:t>3、产出时效，权重10分，得分9分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本指标主要考察</w:t>
      </w:r>
      <w:r>
        <w:rPr>
          <w:rFonts w:hint="default" w:ascii="仿宋" w:hAnsi="仿宋" w:eastAsia="仿宋" w:cs="仿宋"/>
          <w:b w:val="0"/>
          <w:bCs w:val="0"/>
          <w:sz w:val="30"/>
          <w:szCs w:val="30"/>
          <w:highlight w:val="none"/>
          <w:lang w:val="en-US" w:eastAsia="zh-CN"/>
        </w:rPr>
        <w:t>项目实际完成时间与计划完成时间的比较，用以反映和考核项目产出时效目标的实现程度</w:t>
      </w:r>
      <w:r>
        <w:rPr>
          <w:rFonts w:hint="eastAsia" w:ascii="仿宋" w:hAnsi="仿宋" w:eastAsia="仿宋" w:cs="仿宋"/>
          <w:b w:val="0"/>
          <w:bCs w:val="0"/>
          <w:sz w:val="30"/>
          <w:szCs w:val="30"/>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sz w:val="30"/>
          <w:szCs w:val="30"/>
          <w:highlight w:val="none"/>
          <w:lang w:val="en-US" w:eastAsia="zh-CN"/>
        </w:rPr>
      </w:pPr>
      <w:r>
        <w:rPr>
          <w:rFonts w:hint="eastAsia" w:ascii="仿宋" w:hAnsi="仿宋" w:eastAsia="仿宋" w:cs="仿宋"/>
          <w:b w:val="0"/>
          <w:bCs w:val="0"/>
          <w:sz w:val="30"/>
          <w:szCs w:val="30"/>
          <w:highlight w:val="none"/>
          <w:lang w:val="en-US" w:eastAsia="zh-CN"/>
        </w:rPr>
        <w:t>产出时效</w:t>
      </w:r>
      <w:r>
        <w:rPr>
          <w:rFonts w:hint="eastAsia" w:ascii="仿宋" w:hAnsi="仿宋" w:eastAsia="仿宋" w:cs="仿宋"/>
          <w:sz w:val="30"/>
          <w:szCs w:val="30"/>
          <w:highlight w:val="none"/>
          <w:lang w:val="en-US" w:eastAsia="zh-CN"/>
        </w:rPr>
        <w:t>，权重10分，得分9分。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sz w:val="30"/>
          <w:szCs w:val="30"/>
          <w:highlight w:val="none"/>
          <w:lang w:val="en-US" w:eastAsia="zh-CN"/>
        </w:rPr>
      </w:pPr>
      <w:r>
        <w:rPr>
          <w:rFonts w:hint="eastAsia" w:ascii="仿宋" w:hAnsi="仿宋" w:eastAsia="仿宋" w:cs="仿宋"/>
          <w:b w:val="0"/>
          <w:bCs w:val="0"/>
          <w:sz w:val="30"/>
          <w:szCs w:val="30"/>
          <w:highlight w:val="none"/>
          <w:lang w:val="en-US" w:eastAsia="zh-CN"/>
        </w:rPr>
        <w:t>本项目的实施时间为2023年4月—2023年11月，本项目已于2023年完成，项目时效实际已达预期，但本项目绩效目标申报表中未设置时效指标，得分8分。</w:t>
      </w:r>
    </w:p>
    <w:p>
      <w:pPr>
        <w:keepNext w:val="0"/>
        <w:keepLines w:val="0"/>
        <w:pageBreakBefore w:val="0"/>
        <w:widowControl w:val="0"/>
        <w:kinsoku/>
        <w:wordWrap/>
        <w:overflowPunct/>
        <w:topLinePunct w:val="0"/>
        <w:autoSpaceDE/>
        <w:autoSpaceDN/>
        <w:bidi w:val="0"/>
        <w:adjustRightInd/>
        <w:snapToGrid/>
        <w:spacing w:line="560" w:lineRule="exact"/>
        <w:ind w:firstLine="602"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bCs/>
          <w:sz w:val="30"/>
          <w:szCs w:val="30"/>
          <w:highlight w:val="none"/>
          <w:lang w:val="en-US" w:eastAsia="zh-CN"/>
        </w:rPr>
        <w:t>4、产出成本，权重10分，得分10分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本指标考察</w:t>
      </w:r>
      <w:r>
        <w:rPr>
          <w:rFonts w:hint="default" w:ascii="仿宋" w:hAnsi="仿宋" w:eastAsia="仿宋" w:cs="仿宋"/>
          <w:b w:val="0"/>
          <w:bCs w:val="0"/>
          <w:sz w:val="30"/>
          <w:szCs w:val="30"/>
          <w:highlight w:val="none"/>
          <w:lang w:val="en-US" w:eastAsia="zh-CN"/>
        </w:rPr>
        <w:t>完成项目计划工作目标的实际节约成本与计划成本 的比率，用以反映和考核项目的成本节约程度。</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项目总投资，权重10分，得分10分。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本项目成本指标为项目总投资≤</w:t>
      </w:r>
      <w:r>
        <w:rPr>
          <w:rFonts w:hint="eastAsia" w:ascii="仿宋" w:hAnsi="仿宋" w:eastAsia="仿宋" w:cs="仿宋"/>
          <w:sz w:val="30"/>
          <w:szCs w:val="30"/>
          <w:highlight w:val="none"/>
          <w:lang w:val="en-US" w:eastAsia="zh-CN"/>
        </w:rPr>
        <w:t>14.00万</w:t>
      </w:r>
      <w:r>
        <w:rPr>
          <w:rFonts w:hint="eastAsia" w:ascii="仿宋" w:hAnsi="仿宋" w:eastAsia="仿宋" w:cs="仿宋"/>
          <w:b w:val="0"/>
          <w:bCs w:val="0"/>
          <w:sz w:val="30"/>
          <w:szCs w:val="30"/>
          <w:highlight w:val="none"/>
          <w:lang w:val="en-US" w:eastAsia="zh-CN"/>
        </w:rPr>
        <w:t>，评价组核查项目单位提供的项目实施方案、项目合同和项目会计核算资料，该项目实际预算为≤</w:t>
      </w:r>
      <w:r>
        <w:rPr>
          <w:rFonts w:hint="eastAsia" w:ascii="仿宋" w:hAnsi="仿宋" w:eastAsia="仿宋" w:cs="仿宋"/>
          <w:sz w:val="30"/>
          <w:szCs w:val="30"/>
          <w:highlight w:val="none"/>
          <w:lang w:val="en-US" w:eastAsia="zh-CN"/>
        </w:rPr>
        <w:t>14.00万</w:t>
      </w:r>
      <w:r>
        <w:rPr>
          <w:rFonts w:hint="eastAsia" w:ascii="仿宋" w:hAnsi="仿宋" w:eastAsia="仿宋" w:cs="仿宋"/>
          <w:b w:val="0"/>
          <w:bCs w:val="0"/>
          <w:sz w:val="30"/>
          <w:szCs w:val="30"/>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项目总投资≤</w:t>
      </w:r>
      <w:r>
        <w:rPr>
          <w:rFonts w:hint="eastAsia" w:ascii="仿宋" w:hAnsi="仿宋" w:eastAsia="仿宋" w:cs="仿宋"/>
          <w:sz w:val="30"/>
          <w:szCs w:val="30"/>
          <w:highlight w:val="none"/>
          <w:lang w:val="en-US" w:eastAsia="zh-CN"/>
        </w:rPr>
        <w:t>14.00万</w:t>
      </w:r>
      <w:r>
        <w:rPr>
          <w:rFonts w:hint="eastAsia" w:ascii="仿宋" w:hAnsi="仿宋" w:eastAsia="仿宋" w:cs="仿宋"/>
          <w:b w:val="0"/>
          <w:bCs w:val="0"/>
          <w:sz w:val="30"/>
          <w:szCs w:val="30"/>
          <w:highlight w:val="none"/>
          <w:lang w:val="en-US" w:eastAsia="zh-CN"/>
        </w:rPr>
        <w:t>，完成既定绩效目标，得分10分。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1"/>
        <w:rPr>
          <w:rFonts w:hint="eastAsia" w:ascii="楷体" w:hAnsi="楷体" w:eastAsia="楷体" w:cs="楷体"/>
          <w:b w:val="0"/>
          <w:bCs w:val="0"/>
          <w:sz w:val="30"/>
          <w:szCs w:val="30"/>
          <w:lang w:val="en-US" w:eastAsia="zh-CN"/>
        </w:rPr>
      </w:pPr>
      <w:bookmarkStart w:id="25" w:name="_Toc15631"/>
      <w:r>
        <w:rPr>
          <w:rFonts w:hint="eastAsia" w:ascii="楷体" w:hAnsi="楷体" w:eastAsia="楷体" w:cs="楷体"/>
          <w:b w:val="0"/>
          <w:bCs w:val="0"/>
          <w:sz w:val="30"/>
          <w:szCs w:val="30"/>
          <w:lang w:val="en-US" w:eastAsia="zh-CN"/>
        </w:rPr>
        <w:t>（四）项目效益情况</w:t>
      </w:r>
      <w:bookmarkEnd w:id="25"/>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本指标主要从项目实施所产生的经济效益、社会效益、生态效益、可持续影响指标、满意度指标来项目实施所产生的效益。</w:t>
      </w:r>
      <w:r>
        <w:rPr>
          <w:rFonts w:hint="eastAsia" w:ascii="仿宋" w:hAnsi="仿宋" w:eastAsia="仿宋" w:cs="仿宋"/>
          <w:b w:val="0"/>
          <w:bCs w:val="0"/>
          <w:sz w:val="30"/>
          <w:szCs w:val="30"/>
          <w:lang w:val="en-US" w:eastAsia="zh-CN"/>
        </w:rPr>
        <w:t>项目效益情况权重20%，实际评价</w:t>
      </w:r>
      <w:r>
        <w:rPr>
          <w:rFonts w:hint="eastAsia" w:ascii="仿宋" w:hAnsi="仿宋" w:eastAsia="仿宋" w:cs="仿宋"/>
          <w:b w:val="0"/>
          <w:bCs w:val="0"/>
          <w:sz w:val="30"/>
          <w:szCs w:val="30"/>
          <w:highlight w:val="none"/>
          <w:lang w:val="en-US" w:eastAsia="zh-CN"/>
        </w:rPr>
        <w:t>得分19分。</w:t>
      </w:r>
    </w:p>
    <w:p>
      <w:pPr>
        <w:keepNext w:val="0"/>
        <w:keepLines w:val="0"/>
        <w:pageBreakBefore w:val="0"/>
        <w:widowControl w:val="0"/>
        <w:kinsoku/>
        <w:wordWrap/>
        <w:overflowPunct/>
        <w:topLinePunct w:val="0"/>
        <w:autoSpaceDE/>
        <w:autoSpaceDN/>
        <w:bidi w:val="0"/>
        <w:adjustRightInd/>
        <w:snapToGrid/>
        <w:spacing w:line="560" w:lineRule="exact"/>
        <w:ind w:firstLine="602" w:firstLineChars="200"/>
        <w:jc w:val="both"/>
        <w:textAlignment w:val="auto"/>
        <w:outlineLvl w:val="9"/>
        <w:rPr>
          <w:rFonts w:hint="eastAsia" w:ascii="仿宋" w:hAnsi="仿宋" w:eastAsia="仿宋" w:cs="仿宋"/>
          <w:b/>
          <w:bCs/>
          <w:sz w:val="30"/>
          <w:szCs w:val="30"/>
          <w:highlight w:val="none"/>
          <w:lang w:val="en-US" w:eastAsia="zh-CN"/>
        </w:rPr>
      </w:pPr>
      <w:r>
        <w:rPr>
          <w:rFonts w:hint="eastAsia" w:ascii="仿宋" w:hAnsi="仿宋" w:eastAsia="仿宋" w:cs="仿宋"/>
          <w:b/>
          <w:bCs/>
          <w:sz w:val="30"/>
          <w:szCs w:val="30"/>
          <w:lang w:val="en-US" w:eastAsia="zh-CN"/>
        </w:rPr>
        <w:t>1、实施效益</w:t>
      </w:r>
      <w:r>
        <w:rPr>
          <w:rFonts w:hint="eastAsia" w:ascii="仿宋" w:hAnsi="仿宋" w:eastAsia="仿宋" w:cs="仿宋"/>
          <w:b/>
          <w:bCs/>
          <w:sz w:val="30"/>
          <w:szCs w:val="30"/>
          <w:highlight w:val="none"/>
          <w:lang w:val="en-US" w:eastAsia="zh-CN"/>
        </w:rPr>
        <w:t>，权重10分，得分9分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（1）经济效益，权重2.5分，得分1.5分。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本项目未设置经济效益指标，但项目内容为“健康饮茶”发放对象为阿坝县2018年底尚未脱贫的建档立卡贫困户，共计1117人。每人免费赠送低氟砖茶2公斤。且已完成所有项目内容，已实际为贫困户节约茶叶支出，得分1.5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lang w:val="en-US" w:eastAsia="zh-CN"/>
        </w:rPr>
        <w:t>（2）社会</w:t>
      </w:r>
      <w:r>
        <w:rPr>
          <w:rFonts w:hint="eastAsia" w:ascii="仿宋" w:hAnsi="仿宋" w:eastAsia="仿宋" w:cs="仿宋"/>
          <w:b w:val="0"/>
          <w:bCs w:val="0"/>
          <w:sz w:val="30"/>
          <w:szCs w:val="30"/>
          <w:highlight w:val="none"/>
          <w:lang w:val="en-US" w:eastAsia="zh-CN"/>
        </w:rPr>
        <w:t>效益，权重2.5分，得分1.5分。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highlight w:val="none"/>
          <w:lang w:val="en-US" w:eastAsia="zh-CN"/>
        </w:rPr>
        <w:t>社会效益指标为完成指标率达100%，指标值为40元/户，评价组通过调查</w:t>
      </w:r>
      <w:r>
        <w:rPr>
          <w:rFonts w:hint="eastAsia" w:ascii="仿宋" w:hAnsi="仿宋" w:eastAsia="仿宋" w:cs="仿宋"/>
          <w:b w:val="0"/>
          <w:bCs w:val="0"/>
          <w:sz w:val="30"/>
          <w:szCs w:val="30"/>
          <w:lang w:val="en-US" w:eastAsia="zh-CN"/>
        </w:rPr>
        <w:t>走访，查阅相关资料，让贫困群众切实感受党中央国务院和省委省政府的关心关怀，已发放共计1117人贫困户，社会效益达成预期目标。</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lang w:val="en-US" w:eastAsia="zh-CN"/>
        </w:rPr>
        <w:t>（3）生态效益</w:t>
      </w:r>
      <w:r>
        <w:rPr>
          <w:rFonts w:hint="eastAsia" w:ascii="仿宋" w:hAnsi="仿宋" w:eastAsia="仿宋" w:cs="仿宋"/>
          <w:b w:val="0"/>
          <w:bCs w:val="0"/>
          <w:sz w:val="30"/>
          <w:szCs w:val="30"/>
          <w:highlight w:val="none"/>
          <w:lang w:val="en-US" w:eastAsia="zh-CN"/>
        </w:rPr>
        <w:t>，权重2.5分，得分2.5分。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本项目未对生态环境造成任何影响，未对生态环境造成破坏，无需设置生态效益指标，得分2.5分。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lang w:val="en-US" w:eastAsia="zh-CN"/>
        </w:rPr>
        <w:t>（4）可持续影响指</w:t>
      </w:r>
      <w:r>
        <w:rPr>
          <w:rFonts w:hint="eastAsia" w:ascii="仿宋" w:hAnsi="仿宋" w:eastAsia="仿宋" w:cs="仿宋"/>
          <w:b w:val="0"/>
          <w:bCs w:val="0"/>
          <w:sz w:val="30"/>
          <w:szCs w:val="30"/>
          <w:highlight w:val="none"/>
          <w:lang w:val="en-US" w:eastAsia="zh-CN"/>
        </w:rPr>
        <w:t>标，权重2.5分，得分2.5分。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highlight w:val="none"/>
          <w:lang w:val="en-US" w:eastAsia="zh-CN"/>
        </w:rPr>
        <w:t>“健康饮茶”发放对象为阿坝县2018年底尚未脱贫的建档立卡贫困户，共计1117人。每人免费赠送低氟砖茶2公斤，实际能</w:t>
      </w:r>
      <w:r>
        <w:rPr>
          <w:rFonts w:hint="eastAsia" w:ascii="仿宋" w:hAnsi="仿宋" w:eastAsia="仿宋" w:cs="仿宋"/>
          <w:b w:val="0"/>
          <w:bCs w:val="0"/>
          <w:sz w:val="30"/>
          <w:szCs w:val="30"/>
          <w:lang w:val="en-US" w:eastAsia="zh-CN"/>
        </w:rPr>
        <w:t>够持续影响项目地及周边群众，产生可持续影响，让贫困群众切实感受党中央国务院和省委省政府的关心关怀，让群众对党和政府产生感恩，维护民族团结，得分2.5分。</w:t>
      </w:r>
    </w:p>
    <w:p>
      <w:pPr>
        <w:keepNext w:val="0"/>
        <w:keepLines w:val="0"/>
        <w:pageBreakBefore w:val="0"/>
        <w:widowControl w:val="0"/>
        <w:kinsoku/>
        <w:wordWrap/>
        <w:overflowPunct/>
        <w:topLinePunct w:val="0"/>
        <w:autoSpaceDE/>
        <w:autoSpaceDN/>
        <w:bidi w:val="0"/>
        <w:adjustRightInd/>
        <w:snapToGrid/>
        <w:spacing w:line="560" w:lineRule="exact"/>
        <w:ind w:firstLine="602" w:firstLineChars="200"/>
        <w:jc w:val="both"/>
        <w:textAlignment w:val="auto"/>
        <w:outlineLvl w:val="9"/>
        <w:rPr>
          <w:rFonts w:hint="eastAsia" w:ascii="仿宋" w:hAnsi="仿宋" w:eastAsia="仿宋" w:cs="仿宋"/>
          <w:b/>
          <w:bCs/>
          <w:sz w:val="30"/>
          <w:szCs w:val="30"/>
          <w:highlight w:val="none"/>
          <w:lang w:val="en-US" w:eastAsia="zh-CN"/>
        </w:rPr>
      </w:pPr>
      <w:r>
        <w:rPr>
          <w:rFonts w:hint="eastAsia" w:ascii="仿宋" w:hAnsi="仿宋" w:eastAsia="仿宋" w:cs="仿宋"/>
          <w:b/>
          <w:bCs/>
          <w:sz w:val="30"/>
          <w:szCs w:val="30"/>
          <w:lang w:val="en-US" w:eastAsia="zh-CN"/>
        </w:rPr>
        <w:t>2、满意度</w:t>
      </w:r>
      <w:r>
        <w:rPr>
          <w:rFonts w:hint="eastAsia" w:ascii="仿宋" w:hAnsi="仿宋" w:eastAsia="仿宋" w:cs="仿宋"/>
          <w:b/>
          <w:bCs/>
          <w:sz w:val="30"/>
          <w:szCs w:val="30"/>
          <w:highlight w:val="none"/>
          <w:lang w:val="en-US" w:eastAsia="zh-CN"/>
        </w:rPr>
        <w:t>，权重10分，得分10分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highlight w:val="none"/>
          <w:lang w:val="en-US" w:eastAsia="zh-CN"/>
        </w:rPr>
        <w:t>本指标主要考察社会公</w:t>
      </w:r>
      <w:r>
        <w:rPr>
          <w:rFonts w:hint="eastAsia" w:ascii="仿宋" w:hAnsi="仿宋" w:eastAsia="仿宋" w:cs="仿宋"/>
          <w:b w:val="0"/>
          <w:bCs w:val="0"/>
          <w:sz w:val="30"/>
          <w:szCs w:val="30"/>
          <w:lang w:val="en-US" w:eastAsia="zh-CN"/>
        </w:rPr>
        <w:t>众或服务对象对项目实施效果的满意程度。</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（1）区域辐射人群满意度，</w:t>
      </w:r>
      <w:r>
        <w:rPr>
          <w:rFonts w:hint="eastAsia" w:ascii="仿宋" w:hAnsi="仿宋" w:eastAsia="仿宋" w:cs="仿宋"/>
          <w:b w:val="0"/>
          <w:bCs w:val="0"/>
          <w:sz w:val="30"/>
          <w:szCs w:val="30"/>
          <w:highlight w:val="none"/>
          <w:lang w:val="en-US" w:eastAsia="zh-CN"/>
        </w:rPr>
        <w:t>权重5分，得分5分。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default" w:ascii="仿宋" w:hAnsi="仿宋" w:eastAsia="仿宋" w:cs="仿宋"/>
          <w:b w:val="0"/>
          <w:bCs w:val="0"/>
          <w:sz w:val="30"/>
          <w:szCs w:val="30"/>
          <w:lang w:val="en-US" w:eastAsia="zh-CN"/>
        </w:rPr>
        <w:t>本次满意度调查对象为</w:t>
      </w:r>
      <w:r>
        <w:rPr>
          <w:rFonts w:hint="eastAsia" w:ascii="仿宋" w:hAnsi="仿宋" w:eastAsia="仿宋" w:cs="仿宋"/>
          <w:b w:val="0"/>
          <w:bCs w:val="0"/>
          <w:sz w:val="30"/>
          <w:szCs w:val="30"/>
          <w:lang w:val="en-US" w:eastAsia="zh-CN"/>
        </w:rPr>
        <w:t>项目地群众</w:t>
      </w:r>
      <w:r>
        <w:rPr>
          <w:rFonts w:hint="default" w:ascii="仿宋" w:hAnsi="仿宋" w:eastAsia="仿宋" w:cs="仿宋"/>
          <w:b w:val="0"/>
          <w:bCs w:val="0"/>
          <w:sz w:val="30"/>
          <w:szCs w:val="30"/>
          <w:lang w:val="en-US" w:eastAsia="zh-CN"/>
        </w:rPr>
        <w:t>，</w:t>
      </w:r>
      <w:r>
        <w:rPr>
          <w:rFonts w:hint="eastAsia" w:ascii="仿宋" w:hAnsi="仿宋" w:eastAsia="仿宋" w:cs="仿宋"/>
          <w:b w:val="0"/>
          <w:bCs w:val="0"/>
          <w:sz w:val="30"/>
          <w:szCs w:val="30"/>
          <w:lang w:val="en-US" w:eastAsia="zh-CN"/>
        </w:rPr>
        <w:t>采用问询及问卷方式调查，问卷形式为电子问卷，共收回</w:t>
      </w:r>
      <w:r>
        <w:rPr>
          <w:rFonts w:hint="default" w:ascii="仿宋" w:hAnsi="仿宋" w:eastAsia="仿宋" w:cs="仿宋"/>
          <w:b w:val="0"/>
          <w:bCs w:val="0"/>
          <w:sz w:val="30"/>
          <w:szCs w:val="30"/>
          <w:lang w:val="en-US" w:eastAsia="zh-CN"/>
        </w:rPr>
        <w:t>有效问卷</w:t>
      </w:r>
      <w:r>
        <w:rPr>
          <w:rFonts w:hint="eastAsia" w:ascii="仿宋" w:hAnsi="仿宋" w:eastAsia="仿宋" w:cs="仿宋"/>
          <w:b w:val="0"/>
          <w:bCs w:val="0"/>
          <w:sz w:val="30"/>
          <w:szCs w:val="30"/>
          <w:lang w:val="en-US" w:eastAsia="zh-CN"/>
        </w:rPr>
        <w:t>7</w:t>
      </w:r>
      <w:r>
        <w:rPr>
          <w:rFonts w:hint="default" w:ascii="仿宋" w:hAnsi="仿宋" w:eastAsia="仿宋" w:cs="仿宋"/>
          <w:b w:val="0"/>
          <w:bCs w:val="0"/>
          <w:sz w:val="30"/>
          <w:szCs w:val="30"/>
          <w:lang w:val="en-US" w:eastAsia="zh-CN"/>
        </w:rPr>
        <w:t>份，调查对象年龄段在</w:t>
      </w:r>
      <w:r>
        <w:rPr>
          <w:rFonts w:hint="eastAsia" w:ascii="仿宋" w:hAnsi="仿宋" w:eastAsia="仿宋" w:cs="仿宋"/>
          <w:b w:val="0"/>
          <w:bCs w:val="0"/>
          <w:sz w:val="30"/>
          <w:szCs w:val="30"/>
          <w:lang w:val="en-US" w:eastAsia="zh-CN"/>
        </w:rPr>
        <w:t>18</w:t>
      </w:r>
      <w:r>
        <w:rPr>
          <w:rFonts w:hint="default" w:ascii="仿宋" w:hAnsi="仿宋" w:eastAsia="仿宋" w:cs="仿宋"/>
          <w:b w:val="0"/>
          <w:bCs w:val="0"/>
          <w:sz w:val="30"/>
          <w:szCs w:val="30"/>
          <w:lang w:val="en-US" w:eastAsia="zh-CN"/>
        </w:rPr>
        <w:t>-</w:t>
      </w:r>
      <w:r>
        <w:rPr>
          <w:rFonts w:hint="eastAsia" w:ascii="仿宋" w:hAnsi="仿宋" w:eastAsia="仿宋" w:cs="仿宋"/>
          <w:b w:val="0"/>
          <w:bCs w:val="0"/>
          <w:sz w:val="30"/>
          <w:szCs w:val="30"/>
          <w:lang w:val="en-US" w:eastAsia="zh-CN"/>
        </w:rPr>
        <w:t>60</w:t>
      </w:r>
      <w:r>
        <w:rPr>
          <w:rFonts w:hint="default" w:ascii="仿宋" w:hAnsi="仿宋" w:eastAsia="仿宋" w:cs="仿宋"/>
          <w:b w:val="0"/>
          <w:bCs w:val="0"/>
          <w:sz w:val="30"/>
          <w:szCs w:val="30"/>
          <w:lang w:val="en-US" w:eastAsia="zh-CN"/>
        </w:rPr>
        <w:t>岁之间。问卷满意度设“非常满意</w:t>
      </w:r>
      <w:r>
        <w:rPr>
          <w:rFonts w:hint="eastAsia" w:ascii="仿宋" w:hAnsi="仿宋" w:eastAsia="仿宋" w:cs="仿宋"/>
          <w:b w:val="0"/>
          <w:bCs w:val="0"/>
          <w:sz w:val="30"/>
          <w:szCs w:val="30"/>
          <w:lang w:val="en-US" w:eastAsia="zh-CN"/>
        </w:rPr>
        <w:t>”“</w:t>
      </w:r>
      <w:r>
        <w:rPr>
          <w:rFonts w:hint="default" w:ascii="仿宋" w:hAnsi="仿宋" w:eastAsia="仿宋" w:cs="仿宋"/>
          <w:b w:val="0"/>
          <w:bCs w:val="0"/>
          <w:sz w:val="30"/>
          <w:szCs w:val="30"/>
          <w:lang w:val="en-US" w:eastAsia="zh-CN"/>
        </w:rPr>
        <w:t>比较满意</w:t>
      </w:r>
      <w:r>
        <w:rPr>
          <w:rFonts w:hint="eastAsia" w:ascii="仿宋" w:hAnsi="仿宋" w:eastAsia="仿宋" w:cs="仿宋"/>
          <w:b w:val="0"/>
          <w:bCs w:val="0"/>
          <w:sz w:val="30"/>
          <w:szCs w:val="30"/>
          <w:lang w:val="en-US" w:eastAsia="zh-CN"/>
        </w:rPr>
        <w:t>”“</w:t>
      </w:r>
      <w:r>
        <w:rPr>
          <w:rFonts w:hint="default" w:ascii="仿宋" w:hAnsi="仿宋" w:eastAsia="仿宋" w:cs="仿宋"/>
          <w:b w:val="0"/>
          <w:bCs w:val="0"/>
          <w:sz w:val="30"/>
          <w:szCs w:val="30"/>
          <w:lang w:val="en-US" w:eastAsia="zh-CN"/>
        </w:rPr>
        <w:t>满意</w:t>
      </w:r>
      <w:r>
        <w:rPr>
          <w:rFonts w:hint="eastAsia" w:ascii="仿宋" w:hAnsi="仿宋" w:eastAsia="仿宋" w:cs="仿宋"/>
          <w:b w:val="0"/>
          <w:bCs w:val="0"/>
          <w:sz w:val="30"/>
          <w:szCs w:val="30"/>
          <w:lang w:val="en-US" w:eastAsia="zh-CN"/>
        </w:rPr>
        <w:t>”“</w:t>
      </w:r>
      <w:r>
        <w:rPr>
          <w:rFonts w:hint="default" w:ascii="仿宋" w:hAnsi="仿宋" w:eastAsia="仿宋" w:cs="仿宋"/>
          <w:b w:val="0"/>
          <w:bCs w:val="0"/>
          <w:sz w:val="30"/>
          <w:szCs w:val="30"/>
          <w:lang w:val="en-US" w:eastAsia="zh-CN"/>
        </w:rPr>
        <w:t>不满意”4个类别，其中“非常满意”</w:t>
      </w:r>
      <w:r>
        <w:rPr>
          <w:rFonts w:hint="eastAsia" w:ascii="仿宋" w:hAnsi="仿宋" w:eastAsia="仿宋" w:cs="仿宋"/>
          <w:b w:val="0"/>
          <w:bCs w:val="0"/>
          <w:sz w:val="30"/>
          <w:szCs w:val="30"/>
          <w:lang w:val="en-US" w:eastAsia="zh-CN"/>
        </w:rPr>
        <w:t>5</w:t>
      </w:r>
      <w:r>
        <w:rPr>
          <w:rFonts w:hint="default" w:ascii="仿宋" w:hAnsi="仿宋" w:eastAsia="仿宋" w:cs="仿宋"/>
          <w:b w:val="0"/>
          <w:bCs w:val="0"/>
          <w:sz w:val="30"/>
          <w:szCs w:val="30"/>
          <w:lang w:val="en-US" w:eastAsia="zh-CN"/>
        </w:rPr>
        <w:t>份、“比较满意”</w:t>
      </w:r>
      <w:r>
        <w:rPr>
          <w:rFonts w:hint="eastAsia" w:ascii="仿宋" w:hAnsi="仿宋" w:eastAsia="仿宋" w:cs="仿宋"/>
          <w:b w:val="0"/>
          <w:bCs w:val="0"/>
          <w:sz w:val="30"/>
          <w:szCs w:val="30"/>
          <w:lang w:val="en-US" w:eastAsia="zh-CN"/>
        </w:rPr>
        <w:t>2</w:t>
      </w:r>
      <w:r>
        <w:rPr>
          <w:rFonts w:hint="default" w:ascii="仿宋" w:hAnsi="仿宋" w:eastAsia="仿宋" w:cs="仿宋"/>
          <w:b w:val="0"/>
          <w:bCs w:val="0"/>
          <w:sz w:val="30"/>
          <w:szCs w:val="30"/>
          <w:lang w:val="en-US" w:eastAsia="zh-CN"/>
        </w:rPr>
        <w:t>份、“满意”0份、“不满意”0份</w:t>
      </w:r>
      <w:r>
        <w:rPr>
          <w:rFonts w:hint="eastAsia" w:ascii="仿宋" w:hAnsi="仿宋" w:eastAsia="仿宋" w:cs="仿宋"/>
          <w:b w:val="0"/>
          <w:bCs w:val="0"/>
          <w:sz w:val="30"/>
          <w:szCs w:val="30"/>
          <w:lang w:val="en-US" w:eastAsia="zh-CN"/>
        </w:rPr>
        <w:t>。问询群众10人，均为非常满意。</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（2）区域监管部门满意度，</w:t>
      </w:r>
      <w:r>
        <w:rPr>
          <w:rFonts w:hint="eastAsia" w:ascii="仿宋" w:hAnsi="仿宋" w:eastAsia="仿宋" w:cs="仿宋"/>
          <w:b w:val="0"/>
          <w:bCs w:val="0"/>
          <w:sz w:val="30"/>
          <w:szCs w:val="30"/>
          <w:highlight w:val="none"/>
          <w:lang w:val="en-US" w:eastAsia="zh-CN"/>
        </w:rPr>
        <w:t>权重5分，得分5分。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评价组对项目单位、阿坝县财政局进行调查</w:t>
      </w:r>
      <w:r>
        <w:rPr>
          <w:rFonts w:hint="default" w:ascii="仿宋" w:hAnsi="仿宋" w:eastAsia="仿宋" w:cs="仿宋"/>
          <w:b w:val="0"/>
          <w:bCs w:val="0"/>
          <w:sz w:val="30"/>
          <w:szCs w:val="30"/>
          <w:lang w:val="en-US" w:eastAsia="zh-CN"/>
        </w:rPr>
        <w:t>，</w:t>
      </w:r>
      <w:r>
        <w:rPr>
          <w:rFonts w:hint="eastAsia" w:ascii="仿宋" w:hAnsi="仿宋" w:eastAsia="仿宋" w:cs="仿宋"/>
          <w:b w:val="0"/>
          <w:bCs w:val="0"/>
          <w:sz w:val="30"/>
          <w:szCs w:val="30"/>
          <w:lang w:val="en-US" w:eastAsia="zh-CN"/>
        </w:rPr>
        <w:t>采用问询及问卷方式调查，问卷形式为电子问卷，共收回</w:t>
      </w:r>
      <w:r>
        <w:rPr>
          <w:rFonts w:hint="default" w:ascii="仿宋" w:hAnsi="仿宋" w:eastAsia="仿宋" w:cs="仿宋"/>
          <w:b w:val="0"/>
          <w:bCs w:val="0"/>
          <w:sz w:val="30"/>
          <w:szCs w:val="30"/>
          <w:lang w:val="en-US" w:eastAsia="zh-CN"/>
        </w:rPr>
        <w:t>有效问卷</w:t>
      </w:r>
      <w:r>
        <w:rPr>
          <w:rFonts w:hint="eastAsia" w:ascii="仿宋" w:hAnsi="仿宋" w:eastAsia="仿宋" w:cs="仿宋"/>
          <w:b w:val="0"/>
          <w:bCs w:val="0"/>
          <w:sz w:val="30"/>
          <w:szCs w:val="30"/>
          <w:lang w:val="en-US" w:eastAsia="zh-CN"/>
        </w:rPr>
        <w:t>3</w:t>
      </w:r>
      <w:r>
        <w:rPr>
          <w:rFonts w:hint="default" w:ascii="仿宋" w:hAnsi="仿宋" w:eastAsia="仿宋" w:cs="仿宋"/>
          <w:b w:val="0"/>
          <w:bCs w:val="0"/>
          <w:sz w:val="30"/>
          <w:szCs w:val="30"/>
          <w:lang w:val="en-US" w:eastAsia="zh-CN"/>
        </w:rPr>
        <w:t>份。问卷满意度设“非常满意</w:t>
      </w:r>
      <w:r>
        <w:rPr>
          <w:rFonts w:hint="eastAsia" w:ascii="仿宋" w:hAnsi="仿宋" w:eastAsia="仿宋" w:cs="仿宋"/>
          <w:b w:val="0"/>
          <w:bCs w:val="0"/>
          <w:sz w:val="30"/>
          <w:szCs w:val="30"/>
          <w:lang w:val="en-US" w:eastAsia="zh-CN"/>
        </w:rPr>
        <w:t>”“</w:t>
      </w:r>
      <w:r>
        <w:rPr>
          <w:rFonts w:hint="default" w:ascii="仿宋" w:hAnsi="仿宋" w:eastAsia="仿宋" w:cs="仿宋"/>
          <w:b w:val="0"/>
          <w:bCs w:val="0"/>
          <w:sz w:val="30"/>
          <w:szCs w:val="30"/>
          <w:lang w:val="en-US" w:eastAsia="zh-CN"/>
        </w:rPr>
        <w:t>比较满意</w:t>
      </w:r>
      <w:r>
        <w:rPr>
          <w:rFonts w:hint="eastAsia" w:ascii="仿宋" w:hAnsi="仿宋" w:eastAsia="仿宋" w:cs="仿宋"/>
          <w:b w:val="0"/>
          <w:bCs w:val="0"/>
          <w:sz w:val="30"/>
          <w:szCs w:val="30"/>
          <w:lang w:val="en-US" w:eastAsia="zh-CN"/>
        </w:rPr>
        <w:t>”“</w:t>
      </w:r>
      <w:r>
        <w:rPr>
          <w:rFonts w:hint="default" w:ascii="仿宋" w:hAnsi="仿宋" w:eastAsia="仿宋" w:cs="仿宋"/>
          <w:b w:val="0"/>
          <w:bCs w:val="0"/>
          <w:sz w:val="30"/>
          <w:szCs w:val="30"/>
          <w:lang w:val="en-US" w:eastAsia="zh-CN"/>
        </w:rPr>
        <w:t>满意</w:t>
      </w:r>
      <w:r>
        <w:rPr>
          <w:rFonts w:hint="eastAsia" w:ascii="仿宋" w:hAnsi="仿宋" w:eastAsia="仿宋" w:cs="仿宋"/>
          <w:b w:val="0"/>
          <w:bCs w:val="0"/>
          <w:sz w:val="30"/>
          <w:szCs w:val="30"/>
          <w:lang w:val="en-US" w:eastAsia="zh-CN"/>
        </w:rPr>
        <w:t>”“</w:t>
      </w:r>
      <w:r>
        <w:rPr>
          <w:rFonts w:hint="default" w:ascii="仿宋" w:hAnsi="仿宋" w:eastAsia="仿宋" w:cs="仿宋"/>
          <w:b w:val="0"/>
          <w:bCs w:val="0"/>
          <w:sz w:val="30"/>
          <w:szCs w:val="30"/>
          <w:lang w:val="en-US" w:eastAsia="zh-CN"/>
        </w:rPr>
        <w:t>不满意”4个类别，其中“非常满意”</w:t>
      </w:r>
      <w:r>
        <w:rPr>
          <w:rFonts w:hint="eastAsia" w:ascii="仿宋" w:hAnsi="仿宋" w:eastAsia="仿宋" w:cs="仿宋"/>
          <w:b w:val="0"/>
          <w:bCs w:val="0"/>
          <w:sz w:val="30"/>
          <w:szCs w:val="30"/>
          <w:lang w:val="en-US" w:eastAsia="zh-CN"/>
        </w:rPr>
        <w:t>3</w:t>
      </w:r>
      <w:r>
        <w:rPr>
          <w:rFonts w:hint="default" w:ascii="仿宋" w:hAnsi="仿宋" w:eastAsia="仿宋" w:cs="仿宋"/>
          <w:b w:val="0"/>
          <w:bCs w:val="0"/>
          <w:sz w:val="30"/>
          <w:szCs w:val="30"/>
          <w:lang w:val="en-US" w:eastAsia="zh-CN"/>
        </w:rPr>
        <w:t>份</w:t>
      </w:r>
      <w:r>
        <w:rPr>
          <w:rFonts w:hint="eastAsia" w:ascii="仿宋" w:hAnsi="仿宋" w:eastAsia="仿宋" w:cs="仿宋"/>
          <w:b w:val="0"/>
          <w:bCs w:val="0"/>
          <w:sz w:val="30"/>
          <w:szCs w:val="30"/>
          <w:lang w:val="en-US" w:eastAsia="zh-CN"/>
        </w:rPr>
        <w:t>，问询两位财政局领导，均为非常满意，认为其达到项目预期目的。</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0"/>
        <w:rPr>
          <w:rFonts w:hint="default" w:ascii="黑体" w:hAnsi="黑体" w:eastAsia="黑体" w:cs="黑体"/>
          <w:b w:val="0"/>
          <w:bCs w:val="0"/>
          <w:sz w:val="30"/>
          <w:szCs w:val="30"/>
          <w:highlight w:val="none"/>
          <w:lang w:val="en-US" w:eastAsia="zh-CN"/>
        </w:rPr>
      </w:pPr>
      <w:bookmarkStart w:id="26" w:name="_Toc3386"/>
      <w:bookmarkStart w:id="41" w:name="_GoBack"/>
      <w:bookmarkEnd w:id="41"/>
      <w:r>
        <w:rPr>
          <w:rFonts w:hint="eastAsia" w:ascii="黑体" w:hAnsi="黑体" w:eastAsia="黑体" w:cs="黑体"/>
          <w:b w:val="0"/>
          <w:bCs w:val="0"/>
          <w:sz w:val="30"/>
          <w:szCs w:val="30"/>
          <w:highlight w:val="none"/>
          <w:lang w:val="en-US" w:eastAsia="zh-CN"/>
        </w:rPr>
        <w:t>四、综合评价情况及评价结论</w:t>
      </w:r>
      <w:bookmarkEnd w:id="26"/>
    </w:p>
    <w:p>
      <w:pPr>
        <w:keepNext w:val="0"/>
        <w:keepLines w:val="0"/>
        <w:pageBreakBefore w:val="0"/>
        <w:widowControl w:val="0"/>
        <w:numPr>
          <w:ilvl w:val="0"/>
          <w:numId w:val="0"/>
        </w:numPr>
        <w:tabs>
          <w:tab w:val="left" w:pos="609"/>
        </w:tabs>
        <w:kinsoku/>
        <w:wordWrap/>
        <w:overflowPunct/>
        <w:topLinePunct w:val="0"/>
        <w:autoSpaceDE/>
        <w:autoSpaceDN/>
        <w:bidi w:val="0"/>
        <w:adjustRightInd/>
        <w:snapToGrid/>
        <w:spacing w:line="560" w:lineRule="exact"/>
        <w:ind w:firstLine="600" w:firstLineChars="200"/>
        <w:jc w:val="both"/>
        <w:textAlignment w:val="auto"/>
        <w:outlineLvl w:val="1"/>
        <w:rPr>
          <w:rFonts w:hint="default" w:ascii="仿宋" w:hAnsi="仿宋" w:eastAsia="仿宋" w:cs="仿宋"/>
          <w:sz w:val="30"/>
          <w:szCs w:val="30"/>
          <w:highlight w:val="none"/>
          <w:lang w:val="en-US" w:eastAsia="zh-CN"/>
        </w:rPr>
      </w:pPr>
      <w:bookmarkStart w:id="27" w:name="_Toc17524"/>
      <w:r>
        <w:rPr>
          <w:rFonts w:hint="eastAsia" w:ascii="楷体" w:hAnsi="楷体" w:eastAsia="楷体" w:cs="楷体"/>
          <w:sz w:val="30"/>
          <w:szCs w:val="30"/>
          <w:highlight w:val="none"/>
          <w:lang w:val="en-US" w:eastAsia="zh-CN"/>
        </w:rPr>
        <w:t>（一）综合评价情况</w:t>
      </w:r>
      <w:bookmarkEnd w:id="27"/>
    </w:p>
    <w:p>
      <w:pPr>
        <w:keepNext w:val="0"/>
        <w:keepLines w:val="0"/>
        <w:pageBreakBefore w:val="0"/>
        <w:widowControl w:val="0"/>
        <w:numPr>
          <w:ilvl w:val="0"/>
          <w:numId w:val="0"/>
        </w:numPr>
        <w:tabs>
          <w:tab w:val="left" w:pos="609"/>
        </w:tabs>
        <w:kinsoku/>
        <w:wordWrap/>
        <w:overflowPunct/>
        <w:topLinePunct w:val="0"/>
        <w:autoSpaceDE/>
        <w:autoSpaceDN/>
        <w:bidi w:val="0"/>
        <w:adjustRightInd/>
        <w:snapToGrid/>
        <w:spacing w:line="560" w:lineRule="exact"/>
        <w:ind w:firstLine="600" w:firstLineChars="200"/>
        <w:jc w:val="both"/>
        <w:textAlignment w:val="auto"/>
        <w:rPr>
          <w:rFonts w:hint="default" w:ascii="仿宋" w:hAnsi="仿宋" w:eastAsia="仿宋" w:cs="仿宋"/>
          <w:sz w:val="30"/>
          <w:szCs w:val="30"/>
          <w:lang w:val="en-US" w:eastAsia="zh-CN"/>
        </w:rPr>
      </w:pPr>
      <w:r>
        <w:rPr>
          <w:rFonts w:hint="eastAsia" w:ascii="仿宋" w:hAnsi="仿宋" w:eastAsia="仿宋" w:cs="仿宋"/>
          <w:sz w:val="30"/>
          <w:szCs w:val="30"/>
          <w:highlight w:val="none"/>
          <w:lang w:val="en-US" w:eastAsia="zh-CN"/>
        </w:rPr>
        <w:t>根据绩效评价小组查阅项目竣工验收资料、财务资料得出，本</w:t>
      </w:r>
      <w:r>
        <w:rPr>
          <w:rFonts w:hint="default" w:ascii="仿宋" w:hAnsi="仿宋" w:eastAsia="仿宋" w:cs="仿宋"/>
          <w:sz w:val="30"/>
          <w:szCs w:val="30"/>
          <w:highlight w:val="none"/>
          <w:lang w:val="en-US" w:eastAsia="zh-CN"/>
        </w:rPr>
        <w:t>项目完成情况较好。通过较规范的项目决策、</w:t>
      </w:r>
      <w:r>
        <w:rPr>
          <w:rFonts w:hint="eastAsia" w:ascii="仿宋" w:hAnsi="仿宋" w:eastAsia="仿宋" w:cs="仿宋"/>
          <w:sz w:val="30"/>
          <w:szCs w:val="30"/>
          <w:highlight w:val="none"/>
          <w:lang w:val="en-US" w:eastAsia="zh-CN"/>
        </w:rPr>
        <w:t>较好的项目产出和效益</w:t>
      </w:r>
      <w:r>
        <w:rPr>
          <w:rFonts w:hint="default" w:ascii="仿宋" w:hAnsi="仿宋" w:eastAsia="仿宋" w:cs="仿宋"/>
          <w:sz w:val="30"/>
          <w:szCs w:val="30"/>
          <w:highlight w:val="none"/>
          <w:lang w:val="en-US" w:eastAsia="zh-CN"/>
        </w:rPr>
        <w:t>，除</w:t>
      </w:r>
      <w:r>
        <w:rPr>
          <w:rFonts w:hint="eastAsia" w:ascii="仿宋" w:hAnsi="仿宋" w:eastAsia="仿宋" w:cs="仿宋"/>
          <w:sz w:val="30"/>
          <w:szCs w:val="30"/>
          <w:highlight w:val="none"/>
          <w:lang w:val="en-US" w:eastAsia="zh-CN"/>
        </w:rPr>
        <w:t>项目</w:t>
      </w:r>
      <w:r>
        <w:rPr>
          <w:rFonts w:hint="default" w:ascii="仿宋" w:hAnsi="仿宋" w:eastAsia="仿宋" w:cs="仿宋"/>
          <w:sz w:val="30"/>
          <w:szCs w:val="30"/>
          <w:highlight w:val="none"/>
          <w:lang w:val="en-US" w:eastAsia="zh-CN"/>
        </w:rPr>
        <w:t>单位提供的验收报告未见发放记录结果确认单</w:t>
      </w:r>
      <w:r>
        <w:rPr>
          <w:rFonts w:hint="eastAsia" w:ascii="仿宋" w:hAnsi="仿宋" w:eastAsia="仿宋" w:cs="仿宋"/>
          <w:sz w:val="30"/>
          <w:szCs w:val="30"/>
          <w:highlight w:val="none"/>
          <w:lang w:val="en-US" w:eastAsia="zh-CN"/>
        </w:rPr>
        <w:t>、项目未设置产出数量指标、时效指标、未设置经济效益指标，未制定相应财务管理制度、业务管理制度外</w:t>
      </w:r>
      <w:r>
        <w:rPr>
          <w:rFonts w:hint="default" w:ascii="仿宋" w:hAnsi="仿宋" w:eastAsia="仿宋" w:cs="仿宋"/>
          <w:sz w:val="30"/>
          <w:szCs w:val="30"/>
          <w:highlight w:val="none"/>
          <w:lang w:val="en-US" w:eastAsia="zh-CN"/>
        </w:rPr>
        <w:t>，较好地完成了</w:t>
      </w:r>
      <w:r>
        <w:rPr>
          <w:rFonts w:hint="eastAsia" w:ascii="仿宋" w:hAnsi="仿宋" w:eastAsia="仿宋" w:cs="仿宋"/>
          <w:sz w:val="30"/>
          <w:szCs w:val="30"/>
          <w:highlight w:val="none"/>
          <w:lang w:val="en-US" w:eastAsia="zh-CN"/>
        </w:rPr>
        <w:t>阿坝县民族宗教局健康饮茶“送茶入户”采购项目</w:t>
      </w:r>
      <w:r>
        <w:rPr>
          <w:rFonts w:hint="default" w:ascii="仿宋" w:hAnsi="仿宋" w:eastAsia="仿宋" w:cs="仿宋"/>
          <w:sz w:val="30"/>
          <w:szCs w:val="30"/>
          <w:highlight w:val="none"/>
          <w:lang w:val="en-US" w:eastAsia="zh-CN"/>
        </w:rPr>
        <w:t>。从验收和调研结果以及满意度调查结果分析，</w:t>
      </w:r>
      <w:r>
        <w:rPr>
          <w:rFonts w:hint="eastAsia" w:ascii="仿宋" w:hAnsi="仿宋" w:eastAsia="仿宋" w:cs="仿宋"/>
          <w:sz w:val="30"/>
          <w:szCs w:val="30"/>
          <w:highlight w:val="none"/>
          <w:lang w:val="en-US" w:eastAsia="zh-CN"/>
        </w:rPr>
        <w:t>能够实现预期效益，帮扶贫困户，维护民族团结，</w:t>
      </w:r>
      <w:r>
        <w:rPr>
          <w:rFonts w:hint="default" w:ascii="仿宋" w:hAnsi="仿宋" w:eastAsia="仿宋" w:cs="仿宋"/>
          <w:sz w:val="30"/>
          <w:szCs w:val="30"/>
          <w:highlight w:val="none"/>
          <w:lang w:val="en-US" w:eastAsia="zh-CN"/>
        </w:rPr>
        <w:t>项目基本实现了立项时的绩效目标</w:t>
      </w:r>
      <w:r>
        <w:rPr>
          <w:rFonts w:hint="default" w:ascii="仿宋" w:hAnsi="仿宋" w:eastAsia="仿宋" w:cs="仿宋"/>
          <w:sz w:val="30"/>
          <w:szCs w:val="30"/>
          <w:lang w:val="en-US" w:eastAsia="zh-CN"/>
        </w:rPr>
        <w:t>。</w:t>
      </w:r>
    </w:p>
    <w:p>
      <w:pPr>
        <w:keepNext w:val="0"/>
        <w:keepLines w:val="0"/>
        <w:pageBreakBefore w:val="0"/>
        <w:widowControl w:val="0"/>
        <w:numPr>
          <w:ilvl w:val="0"/>
          <w:numId w:val="0"/>
        </w:numPr>
        <w:tabs>
          <w:tab w:val="left" w:pos="609"/>
        </w:tabs>
        <w:kinsoku/>
        <w:wordWrap/>
        <w:overflowPunct/>
        <w:topLinePunct w:val="0"/>
        <w:autoSpaceDE/>
        <w:autoSpaceDN/>
        <w:bidi w:val="0"/>
        <w:adjustRightInd/>
        <w:snapToGrid/>
        <w:spacing w:line="560" w:lineRule="exact"/>
        <w:ind w:firstLine="600" w:firstLineChars="200"/>
        <w:jc w:val="both"/>
        <w:textAlignment w:val="auto"/>
        <w:outlineLvl w:val="1"/>
        <w:rPr>
          <w:rFonts w:hint="eastAsia" w:ascii="楷体" w:hAnsi="楷体" w:eastAsia="楷体" w:cs="楷体"/>
          <w:sz w:val="30"/>
          <w:szCs w:val="30"/>
          <w:lang w:val="en-US" w:eastAsia="zh-CN"/>
        </w:rPr>
      </w:pPr>
      <w:bookmarkStart w:id="28" w:name="_Toc26757"/>
      <w:r>
        <w:rPr>
          <w:rFonts w:hint="eastAsia" w:ascii="楷体" w:hAnsi="楷体" w:eastAsia="楷体" w:cs="楷体"/>
          <w:sz w:val="30"/>
          <w:szCs w:val="30"/>
          <w:lang w:val="en-US" w:eastAsia="zh-CN"/>
        </w:rPr>
        <w:t>（二）评价结论</w:t>
      </w:r>
      <w:bookmarkEnd w:id="28"/>
    </w:p>
    <w:p>
      <w:pPr>
        <w:keepNext w:val="0"/>
        <w:keepLines w:val="0"/>
        <w:pageBreakBefore w:val="0"/>
        <w:widowControl w:val="0"/>
        <w:numPr>
          <w:ilvl w:val="0"/>
          <w:numId w:val="0"/>
        </w:numPr>
        <w:tabs>
          <w:tab w:val="left" w:pos="609"/>
        </w:tabs>
        <w:kinsoku/>
        <w:wordWrap/>
        <w:overflowPunct/>
        <w:topLinePunct w:val="0"/>
        <w:autoSpaceDE/>
        <w:autoSpaceDN/>
        <w:bidi w:val="0"/>
        <w:adjustRightInd/>
        <w:snapToGrid/>
        <w:spacing w:line="560" w:lineRule="exact"/>
        <w:ind w:firstLine="600" w:firstLineChars="200"/>
        <w:jc w:val="both"/>
        <w:textAlignment w:val="auto"/>
        <w:rPr>
          <w:rFonts w:hint="eastAsia" w:ascii="仿宋" w:hAnsi="仿宋" w:eastAsia="仿宋" w:cs="仿宋"/>
          <w:b/>
          <w:bCs/>
          <w:sz w:val="30"/>
          <w:szCs w:val="30"/>
          <w:highlight w:val="none"/>
          <w:lang w:val="en-US" w:eastAsia="zh-CN"/>
        </w:rPr>
      </w:pPr>
      <w:r>
        <w:rPr>
          <w:rFonts w:hint="eastAsia" w:ascii="仿宋" w:hAnsi="仿宋" w:eastAsia="仿宋" w:cs="仿宋"/>
          <w:sz w:val="30"/>
          <w:szCs w:val="30"/>
          <w:highlight w:val="none"/>
          <w:lang w:val="en-US" w:eastAsia="zh-CN"/>
        </w:rPr>
        <w:t>评价组</w:t>
      </w:r>
      <w:r>
        <w:rPr>
          <w:rFonts w:hint="eastAsia" w:ascii="仿宋" w:hAnsi="仿宋" w:eastAsia="仿宋" w:cs="仿宋"/>
          <w:color w:val="auto"/>
          <w:sz w:val="30"/>
          <w:szCs w:val="30"/>
          <w:highlight w:val="none"/>
          <w:lang w:val="en-US" w:eastAsia="zh-CN"/>
        </w:rPr>
        <w:t>运用针对本项目设计的评价指标体系及评分标准，通过基础数据采集并核实、问卷调查及访谈获取数据，评价组对阿坝县民族宗教局开展的阿坝县民族宗教局健康饮茶“送茶入户”采购项目项目绩效进行独立客观评价，最终评分得分为89.41分</w:t>
      </w:r>
      <w:r>
        <w:rPr>
          <w:rFonts w:hint="eastAsia" w:ascii="仿宋" w:hAnsi="仿宋" w:eastAsia="仿宋" w:cs="仿宋"/>
          <w:sz w:val="30"/>
          <w:szCs w:val="30"/>
          <w:highlight w:val="none"/>
          <w:lang w:val="en-US" w:eastAsia="zh-CN"/>
        </w:rPr>
        <w:t>，属于“良”。具体得分情况如下表所示：</w:t>
      </w:r>
    </w:p>
    <w:p>
      <w:pPr>
        <w:keepNext w:val="0"/>
        <w:keepLines w:val="0"/>
        <w:pageBreakBefore w:val="0"/>
        <w:widowControl w:val="0"/>
        <w:numPr>
          <w:ilvl w:val="0"/>
          <w:numId w:val="0"/>
        </w:numPr>
        <w:tabs>
          <w:tab w:val="left" w:pos="609"/>
        </w:tabs>
        <w:kinsoku/>
        <w:wordWrap/>
        <w:overflowPunct/>
        <w:topLinePunct w:val="0"/>
        <w:autoSpaceDE/>
        <w:autoSpaceDN/>
        <w:bidi w:val="0"/>
        <w:adjustRightInd/>
        <w:snapToGrid/>
        <w:spacing w:line="560" w:lineRule="exact"/>
        <w:ind w:firstLine="602" w:firstLineChars="200"/>
        <w:jc w:val="center"/>
        <w:textAlignment w:val="auto"/>
        <w:rPr>
          <w:rFonts w:hint="eastAsia" w:ascii="仿宋" w:hAnsi="仿宋" w:eastAsia="仿宋" w:cs="仿宋"/>
          <w:b/>
          <w:bCs/>
          <w:sz w:val="30"/>
          <w:szCs w:val="30"/>
          <w:highlight w:val="none"/>
          <w:lang w:val="en-US" w:eastAsia="zh-CN"/>
        </w:rPr>
      </w:pPr>
      <w:r>
        <w:rPr>
          <w:rFonts w:hint="eastAsia" w:ascii="仿宋" w:hAnsi="仿宋" w:eastAsia="仿宋" w:cs="仿宋"/>
          <w:b/>
          <w:bCs/>
          <w:sz w:val="30"/>
          <w:szCs w:val="30"/>
          <w:highlight w:val="none"/>
          <w:lang w:val="en-US" w:eastAsia="zh-CN"/>
        </w:rPr>
        <w:t>项目支出绩效评价总得分表</w:t>
      </w:r>
    </w:p>
    <w:tbl>
      <w:tblPr>
        <w:tblStyle w:val="11"/>
        <w:tblW w:w="4998"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2437"/>
        <w:gridCol w:w="1983"/>
        <w:gridCol w:w="1386"/>
        <w:gridCol w:w="1550"/>
        <w:gridCol w:w="116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80" w:hRule="atLeast"/>
        </w:trPr>
        <w:tc>
          <w:tcPr>
            <w:tcW w:w="143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一级指标（权重）</w:t>
            </w:r>
          </w:p>
        </w:tc>
        <w:tc>
          <w:tcPr>
            <w:tcW w:w="116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得分</w:t>
            </w:r>
          </w:p>
        </w:tc>
        <w:tc>
          <w:tcPr>
            <w:tcW w:w="81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得分率</w:t>
            </w:r>
          </w:p>
        </w:tc>
        <w:tc>
          <w:tcPr>
            <w:tcW w:w="9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二级指标（权重）</w:t>
            </w:r>
          </w:p>
        </w:tc>
        <w:tc>
          <w:tcPr>
            <w:tcW w:w="68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得分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0" w:hRule="atLeast"/>
        </w:trPr>
        <w:tc>
          <w:tcPr>
            <w:tcW w:w="143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决策（20）</w:t>
            </w:r>
          </w:p>
        </w:tc>
        <w:tc>
          <w:tcPr>
            <w:tcW w:w="116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default" w:ascii="宋体" w:hAnsi="宋体" w:eastAsia="宋体" w:cs="宋体"/>
                <w:i w:val="0"/>
                <w:iCs w:val="0"/>
                <w:color w:val="000000"/>
                <w:sz w:val="21"/>
                <w:szCs w:val="21"/>
                <w:highlight w:val="none"/>
                <w:u w:val="none"/>
                <w:lang w:val="en-US"/>
              </w:rPr>
            </w:pPr>
            <w:r>
              <w:rPr>
                <w:rFonts w:hint="eastAsia" w:ascii="宋体" w:hAnsi="宋体" w:eastAsia="宋体" w:cs="宋体"/>
                <w:i w:val="0"/>
                <w:iCs w:val="0"/>
                <w:color w:val="000000"/>
                <w:kern w:val="0"/>
                <w:sz w:val="21"/>
                <w:szCs w:val="21"/>
                <w:highlight w:val="none"/>
                <w:u w:val="none"/>
                <w:lang w:val="en-US" w:eastAsia="zh-CN" w:bidi="ar"/>
              </w:rPr>
              <w:t>16</w:t>
            </w:r>
          </w:p>
        </w:tc>
        <w:tc>
          <w:tcPr>
            <w:tcW w:w="81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80.00%</w:t>
            </w:r>
          </w:p>
        </w:tc>
        <w:tc>
          <w:tcPr>
            <w:tcW w:w="9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项目立项（6）</w:t>
            </w:r>
          </w:p>
        </w:tc>
        <w:tc>
          <w:tcPr>
            <w:tcW w:w="68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0" w:hRule="atLeast"/>
        </w:trPr>
        <w:tc>
          <w:tcPr>
            <w:tcW w:w="143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1"/>
                <w:szCs w:val="21"/>
                <w:highlight w:val="none"/>
                <w:u w:val="none"/>
              </w:rPr>
            </w:pPr>
          </w:p>
        </w:tc>
        <w:tc>
          <w:tcPr>
            <w:tcW w:w="116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1"/>
                <w:szCs w:val="21"/>
                <w:highlight w:val="none"/>
                <w:u w:val="none"/>
              </w:rPr>
            </w:pPr>
          </w:p>
        </w:tc>
        <w:tc>
          <w:tcPr>
            <w:tcW w:w="81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1"/>
                <w:szCs w:val="21"/>
                <w:highlight w:val="none"/>
                <w:u w:val="none"/>
              </w:rPr>
            </w:pPr>
          </w:p>
        </w:tc>
        <w:tc>
          <w:tcPr>
            <w:tcW w:w="9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绩效目标（8）</w:t>
            </w:r>
          </w:p>
        </w:tc>
        <w:tc>
          <w:tcPr>
            <w:tcW w:w="68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0" w:hRule="atLeast"/>
        </w:trPr>
        <w:tc>
          <w:tcPr>
            <w:tcW w:w="143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1"/>
                <w:szCs w:val="21"/>
                <w:highlight w:val="none"/>
                <w:u w:val="none"/>
              </w:rPr>
            </w:pPr>
          </w:p>
        </w:tc>
        <w:tc>
          <w:tcPr>
            <w:tcW w:w="116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1"/>
                <w:szCs w:val="21"/>
                <w:highlight w:val="none"/>
                <w:u w:val="none"/>
              </w:rPr>
            </w:pPr>
          </w:p>
        </w:tc>
        <w:tc>
          <w:tcPr>
            <w:tcW w:w="81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1"/>
                <w:szCs w:val="21"/>
                <w:highlight w:val="none"/>
                <w:u w:val="none"/>
              </w:rPr>
            </w:pPr>
          </w:p>
        </w:tc>
        <w:tc>
          <w:tcPr>
            <w:tcW w:w="9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资金投入（6）</w:t>
            </w:r>
          </w:p>
        </w:tc>
        <w:tc>
          <w:tcPr>
            <w:tcW w:w="68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0" w:hRule="atLeast"/>
        </w:trPr>
        <w:tc>
          <w:tcPr>
            <w:tcW w:w="143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过程（20）</w:t>
            </w:r>
          </w:p>
        </w:tc>
        <w:tc>
          <w:tcPr>
            <w:tcW w:w="116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default" w:ascii="宋体" w:hAnsi="宋体" w:eastAsia="宋体" w:cs="宋体"/>
                <w:i w:val="0"/>
                <w:iCs w:val="0"/>
                <w:color w:val="000000"/>
                <w:sz w:val="21"/>
                <w:szCs w:val="21"/>
                <w:highlight w:val="none"/>
                <w:u w:val="none"/>
                <w:lang w:val="en-US"/>
              </w:rPr>
            </w:pPr>
            <w:r>
              <w:rPr>
                <w:rFonts w:hint="eastAsia" w:ascii="宋体" w:hAnsi="宋体" w:eastAsia="宋体" w:cs="宋体"/>
                <w:i w:val="0"/>
                <w:iCs w:val="0"/>
                <w:color w:val="000000"/>
                <w:kern w:val="0"/>
                <w:sz w:val="21"/>
                <w:szCs w:val="21"/>
                <w:highlight w:val="none"/>
                <w:u w:val="none"/>
                <w:lang w:val="en-US" w:eastAsia="zh-CN" w:bidi="ar"/>
              </w:rPr>
              <w:t>17.41</w:t>
            </w:r>
          </w:p>
        </w:tc>
        <w:tc>
          <w:tcPr>
            <w:tcW w:w="81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87.50%</w:t>
            </w:r>
          </w:p>
        </w:tc>
        <w:tc>
          <w:tcPr>
            <w:tcW w:w="9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资金管理（12）</w:t>
            </w:r>
          </w:p>
        </w:tc>
        <w:tc>
          <w:tcPr>
            <w:tcW w:w="68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default" w:ascii="宋体" w:hAnsi="宋体" w:eastAsia="宋体" w:cs="宋体"/>
                <w:i w:val="0"/>
                <w:iCs w:val="0"/>
                <w:color w:val="000000"/>
                <w:sz w:val="21"/>
                <w:szCs w:val="21"/>
                <w:highlight w:val="none"/>
                <w:u w:val="none"/>
                <w:lang w:val="en-US"/>
              </w:rPr>
            </w:pPr>
            <w:r>
              <w:rPr>
                <w:rFonts w:hint="eastAsia" w:ascii="宋体" w:hAnsi="宋体" w:eastAsia="宋体" w:cs="宋体"/>
                <w:i w:val="0"/>
                <w:iCs w:val="0"/>
                <w:color w:val="000000"/>
                <w:kern w:val="0"/>
                <w:sz w:val="21"/>
                <w:szCs w:val="21"/>
                <w:highlight w:val="none"/>
                <w:u w:val="none"/>
                <w:lang w:val="en-US" w:eastAsia="zh-CN" w:bidi="ar"/>
              </w:rPr>
              <w:t>11.91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0" w:hRule="atLeast"/>
        </w:trPr>
        <w:tc>
          <w:tcPr>
            <w:tcW w:w="143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1"/>
                <w:szCs w:val="21"/>
                <w:highlight w:val="none"/>
                <w:u w:val="none"/>
              </w:rPr>
            </w:pPr>
          </w:p>
        </w:tc>
        <w:tc>
          <w:tcPr>
            <w:tcW w:w="116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1"/>
                <w:szCs w:val="21"/>
                <w:highlight w:val="none"/>
                <w:u w:val="none"/>
              </w:rPr>
            </w:pPr>
          </w:p>
        </w:tc>
        <w:tc>
          <w:tcPr>
            <w:tcW w:w="81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1"/>
                <w:szCs w:val="21"/>
                <w:highlight w:val="none"/>
                <w:u w:val="none"/>
              </w:rPr>
            </w:pPr>
          </w:p>
        </w:tc>
        <w:tc>
          <w:tcPr>
            <w:tcW w:w="9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组织实施（8）</w:t>
            </w:r>
          </w:p>
        </w:tc>
        <w:tc>
          <w:tcPr>
            <w:tcW w:w="68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default" w:ascii="宋体" w:hAnsi="宋体" w:eastAsia="宋体" w:cs="宋体"/>
                <w:i w:val="0"/>
                <w:iCs w:val="0"/>
                <w:color w:val="000000"/>
                <w:sz w:val="21"/>
                <w:szCs w:val="21"/>
                <w:highlight w:val="none"/>
                <w:u w:val="none"/>
                <w:lang w:val="en-US"/>
              </w:rPr>
            </w:pPr>
            <w:r>
              <w:rPr>
                <w:rFonts w:hint="eastAsia" w:ascii="宋体" w:hAnsi="宋体" w:eastAsia="宋体" w:cs="宋体"/>
                <w:i w:val="0"/>
                <w:iCs w:val="0"/>
                <w:color w:val="000000"/>
                <w:kern w:val="0"/>
                <w:sz w:val="21"/>
                <w:szCs w:val="21"/>
                <w:highlight w:val="none"/>
                <w:u w:val="none"/>
                <w:lang w:val="en-US" w:eastAsia="zh-CN" w:bidi="ar"/>
              </w:rPr>
              <w:t>5.5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0" w:hRule="atLeast"/>
        </w:trPr>
        <w:tc>
          <w:tcPr>
            <w:tcW w:w="143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产出（40）</w:t>
            </w:r>
          </w:p>
        </w:tc>
        <w:tc>
          <w:tcPr>
            <w:tcW w:w="116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default" w:ascii="宋体" w:hAnsi="宋体" w:eastAsia="宋体" w:cs="宋体"/>
                <w:i w:val="0"/>
                <w:iCs w:val="0"/>
                <w:color w:val="000000"/>
                <w:sz w:val="21"/>
                <w:szCs w:val="21"/>
                <w:highlight w:val="none"/>
                <w:u w:val="none"/>
                <w:lang w:val="en-US"/>
              </w:rPr>
            </w:pPr>
            <w:r>
              <w:rPr>
                <w:rFonts w:hint="eastAsia" w:ascii="宋体" w:hAnsi="宋体" w:eastAsia="宋体" w:cs="宋体"/>
                <w:i w:val="0"/>
                <w:iCs w:val="0"/>
                <w:color w:val="000000"/>
                <w:kern w:val="0"/>
                <w:sz w:val="21"/>
                <w:szCs w:val="21"/>
                <w:highlight w:val="none"/>
                <w:u w:val="none"/>
                <w:lang w:val="en-US" w:eastAsia="zh-CN" w:bidi="ar"/>
              </w:rPr>
              <w:t>37</w:t>
            </w:r>
          </w:p>
        </w:tc>
        <w:tc>
          <w:tcPr>
            <w:tcW w:w="81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92.50%</w:t>
            </w:r>
          </w:p>
        </w:tc>
        <w:tc>
          <w:tcPr>
            <w:tcW w:w="9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产出数量（10）</w:t>
            </w:r>
          </w:p>
        </w:tc>
        <w:tc>
          <w:tcPr>
            <w:tcW w:w="68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default" w:ascii="宋体" w:hAnsi="宋体" w:eastAsia="宋体" w:cs="宋体"/>
                <w:i w:val="0"/>
                <w:iCs w:val="0"/>
                <w:color w:val="000000"/>
                <w:sz w:val="21"/>
                <w:szCs w:val="21"/>
                <w:highlight w:val="none"/>
                <w:u w:val="none"/>
                <w:lang w:val="en-US"/>
              </w:rPr>
            </w:pPr>
            <w:r>
              <w:rPr>
                <w:rFonts w:hint="eastAsia" w:ascii="宋体" w:hAnsi="宋体" w:eastAsia="宋体" w:cs="宋体"/>
                <w:i w:val="0"/>
                <w:iCs w:val="0"/>
                <w:color w:val="000000"/>
                <w:kern w:val="0"/>
                <w:sz w:val="21"/>
                <w:szCs w:val="21"/>
                <w:highlight w:val="none"/>
                <w:u w:val="none"/>
                <w:lang w:val="en-US" w:eastAsia="zh-CN" w:bidi="ar"/>
              </w:rPr>
              <w:t>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0" w:hRule="atLeast"/>
        </w:trPr>
        <w:tc>
          <w:tcPr>
            <w:tcW w:w="143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1"/>
                <w:szCs w:val="21"/>
                <w:highlight w:val="none"/>
                <w:u w:val="none"/>
              </w:rPr>
            </w:pPr>
          </w:p>
        </w:tc>
        <w:tc>
          <w:tcPr>
            <w:tcW w:w="116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1"/>
                <w:szCs w:val="21"/>
                <w:highlight w:val="none"/>
                <w:u w:val="none"/>
              </w:rPr>
            </w:pPr>
          </w:p>
        </w:tc>
        <w:tc>
          <w:tcPr>
            <w:tcW w:w="81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1"/>
                <w:szCs w:val="21"/>
                <w:highlight w:val="none"/>
                <w:u w:val="none"/>
              </w:rPr>
            </w:pPr>
          </w:p>
        </w:tc>
        <w:tc>
          <w:tcPr>
            <w:tcW w:w="9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产出质量（10）</w:t>
            </w:r>
          </w:p>
        </w:tc>
        <w:tc>
          <w:tcPr>
            <w:tcW w:w="68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0" w:hRule="atLeast"/>
        </w:trPr>
        <w:tc>
          <w:tcPr>
            <w:tcW w:w="143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1"/>
                <w:szCs w:val="21"/>
                <w:highlight w:val="none"/>
                <w:u w:val="none"/>
              </w:rPr>
            </w:pPr>
          </w:p>
        </w:tc>
        <w:tc>
          <w:tcPr>
            <w:tcW w:w="116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1"/>
                <w:szCs w:val="21"/>
                <w:highlight w:val="none"/>
                <w:u w:val="none"/>
              </w:rPr>
            </w:pPr>
          </w:p>
        </w:tc>
        <w:tc>
          <w:tcPr>
            <w:tcW w:w="81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1"/>
                <w:szCs w:val="21"/>
                <w:highlight w:val="none"/>
                <w:u w:val="none"/>
              </w:rPr>
            </w:pPr>
          </w:p>
        </w:tc>
        <w:tc>
          <w:tcPr>
            <w:tcW w:w="9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产出时效（10）</w:t>
            </w:r>
          </w:p>
        </w:tc>
        <w:tc>
          <w:tcPr>
            <w:tcW w:w="68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0" w:hRule="atLeast"/>
        </w:trPr>
        <w:tc>
          <w:tcPr>
            <w:tcW w:w="143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1"/>
                <w:szCs w:val="21"/>
                <w:highlight w:val="none"/>
                <w:u w:val="none"/>
              </w:rPr>
            </w:pPr>
          </w:p>
        </w:tc>
        <w:tc>
          <w:tcPr>
            <w:tcW w:w="116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1"/>
                <w:szCs w:val="21"/>
                <w:highlight w:val="none"/>
                <w:u w:val="none"/>
              </w:rPr>
            </w:pPr>
          </w:p>
        </w:tc>
        <w:tc>
          <w:tcPr>
            <w:tcW w:w="81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1"/>
                <w:szCs w:val="21"/>
                <w:highlight w:val="none"/>
                <w:u w:val="none"/>
              </w:rPr>
            </w:pPr>
          </w:p>
        </w:tc>
        <w:tc>
          <w:tcPr>
            <w:tcW w:w="9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产出成本（10）</w:t>
            </w:r>
          </w:p>
        </w:tc>
        <w:tc>
          <w:tcPr>
            <w:tcW w:w="68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0" w:hRule="atLeast"/>
        </w:trPr>
        <w:tc>
          <w:tcPr>
            <w:tcW w:w="143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效益（20）</w:t>
            </w:r>
          </w:p>
        </w:tc>
        <w:tc>
          <w:tcPr>
            <w:tcW w:w="116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default" w:ascii="宋体" w:hAnsi="宋体" w:eastAsia="宋体" w:cs="宋体"/>
                <w:i w:val="0"/>
                <w:iCs w:val="0"/>
                <w:color w:val="000000"/>
                <w:sz w:val="21"/>
                <w:szCs w:val="21"/>
                <w:highlight w:val="none"/>
                <w:u w:val="none"/>
                <w:lang w:val="en-US"/>
              </w:rPr>
            </w:pPr>
            <w:r>
              <w:rPr>
                <w:rFonts w:hint="eastAsia" w:ascii="宋体" w:hAnsi="宋体" w:eastAsia="宋体" w:cs="宋体"/>
                <w:i w:val="0"/>
                <w:iCs w:val="0"/>
                <w:color w:val="000000"/>
                <w:kern w:val="0"/>
                <w:sz w:val="21"/>
                <w:szCs w:val="21"/>
                <w:highlight w:val="none"/>
                <w:u w:val="none"/>
                <w:lang w:val="en-US" w:eastAsia="zh-CN" w:bidi="ar"/>
              </w:rPr>
              <w:t>19</w:t>
            </w:r>
          </w:p>
        </w:tc>
        <w:tc>
          <w:tcPr>
            <w:tcW w:w="81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95.00%</w:t>
            </w:r>
          </w:p>
        </w:tc>
        <w:tc>
          <w:tcPr>
            <w:tcW w:w="9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实施效益（10）</w:t>
            </w:r>
          </w:p>
        </w:tc>
        <w:tc>
          <w:tcPr>
            <w:tcW w:w="68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0" w:hRule="atLeast"/>
        </w:trPr>
        <w:tc>
          <w:tcPr>
            <w:tcW w:w="143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1"/>
                <w:szCs w:val="21"/>
                <w:highlight w:val="none"/>
                <w:u w:val="none"/>
              </w:rPr>
            </w:pPr>
          </w:p>
        </w:tc>
        <w:tc>
          <w:tcPr>
            <w:tcW w:w="116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1"/>
                <w:szCs w:val="21"/>
                <w:highlight w:val="none"/>
                <w:u w:val="none"/>
              </w:rPr>
            </w:pPr>
          </w:p>
        </w:tc>
        <w:tc>
          <w:tcPr>
            <w:tcW w:w="81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1"/>
                <w:szCs w:val="21"/>
                <w:highlight w:val="none"/>
                <w:u w:val="none"/>
              </w:rPr>
            </w:pPr>
          </w:p>
        </w:tc>
        <w:tc>
          <w:tcPr>
            <w:tcW w:w="9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满意度（10）</w:t>
            </w:r>
          </w:p>
        </w:tc>
        <w:tc>
          <w:tcPr>
            <w:tcW w:w="68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143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合计</w:t>
            </w:r>
          </w:p>
        </w:tc>
        <w:tc>
          <w:tcPr>
            <w:tcW w:w="116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default" w:ascii="宋体" w:hAnsi="宋体" w:eastAsia="宋体" w:cs="宋体"/>
                <w:b/>
                <w:bCs/>
                <w:i w:val="0"/>
                <w:iCs w:val="0"/>
                <w:color w:val="000000"/>
                <w:sz w:val="21"/>
                <w:szCs w:val="21"/>
                <w:highlight w:val="none"/>
                <w:u w:val="none"/>
                <w:lang w:val="en-US"/>
              </w:rPr>
            </w:pPr>
            <w:r>
              <w:rPr>
                <w:rFonts w:hint="eastAsia" w:ascii="宋体" w:hAnsi="宋体" w:eastAsia="宋体" w:cs="宋体"/>
                <w:b/>
                <w:bCs/>
                <w:i w:val="0"/>
                <w:iCs w:val="0"/>
                <w:color w:val="000000"/>
                <w:kern w:val="0"/>
                <w:sz w:val="21"/>
                <w:szCs w:val="21"/>
                <w:highlight w:val="none"/>
                <w:u w:val="none"/>
                <w:lang w:val="en-US" w:eastAsia="zh-CN" w:bidi="ar"/>
              </w:rPr>
              <w:t>89.41</w:t>
            </w:r>
          </w:p>
        </w:tc>
        <w:tc>
          <w:tcPr>
            <w:tcW w:w="81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firstLineChars="0"/>
              <w:jc w:val="center"/>
              <w:rPr>
                <w:rFonts w:hint="default" w:ascii="宋体" w:hAnsi="宋体" w:eastAsia="宋体" w:cs="宋体"/>
                <w:b/>
                <w:bCs/>
                <w:i w:val="0"/>
                <w:iCs w:val="0"/>
                <w:color w:val="000000"/>
                <w:sz w:val="21"/>
                <w:szCs w:val="21"/>
                <w:highlight w:val="none"/>
                <w:u w:val="none"/>
                <w:lang w:val="en-US" w:eastAsia="zh-CN"/>
              </w:rPr>
            </w:pPr>
            <w:r>
              <w:rPr>
                <w:rFonts w:hint="eastAsia" w:ascii="宋体" w:hAnsi="宋体" w:eastAsia="宋体" w:cs="宋体"/>
                <w:b/>
                <w:bCs/>
                <w:i w:val="0"/>
                <w:iCs w:val="0"/>
                <w:color w:val="000000"/>
                <w:sz w:val="21"/>
                <w:szCs w:val="21"/>
                <w:highlight w:val="none"/>
                <w:u w:val="none"/>
                <w:lang w:val="en-US" w:eastAsia="zh-CN"/>
              </w:rPr>
              <w:t>--</w:t>
            </w:r>
          </w:p>
        </w:tc>
        <w:tc>
          <w:tcPr>
            <w:tcW w:w="9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合计</w:t>
            </w:r>
          </w:p>
        </w:tc>
        <w:tc>
          <w:tcPr>
            <w:tcW w:w="68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default" w:ascii="宋体" w:hAnsi="宋体" w:eastAsia="宋体" w:cs="宋体"/>
                <w:b/>
                <w:bCs/>
                <w:i w:val="0"/>
                <w:iCs w:val="0"/>
                <w:color w:val="000000"/>
                <w:sz w:val="21"/>
                <w:szCs w:val="21"/>
                <w:highlight w:val="none"/>
                <w:u w:val="none"/>
                <w:lang w:val="en-US"/>
              </w:rPr>
            </w:pPr>
            <w:r>
              <w:rPr>
                <w:rFonts w:hint="eastAsia" w:ascii="宋体" w:hAnsi="宋体" w:eastAsia="宋体" w:cs="宋体"/>
                <w:b/>
                <w:bCs/>
                <w:i w:val="0"/>
                <w:iCs w:val="0"/>
                <w:color w:val="000000"/>
                <w:kern w:val="0"/>
                <w:sz w:val="21"/>
                <w:szCs w:val="21"/>
                <w:highlight w:val="none"/>
                <w:u w:val="none"/>
                <w:lang w:val="en-US" w:eastAsia="zh-CN" w:bidi="ar"/>
              </w:rPr>
              <w:t>89.41</w:t>
            </w:r>
          </w:p>
        </w:tc>
      </w:tr>
    </w:tbl>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0"/>
        <w:rPr>
          <w:rFonts w:hint="eastAsia" w:ascii="黑体" w:hAnsi="黑体" w:eastAsia="黑体" w:cs="黑体"/>
          <w:b w:val="0"/>
          <w:bCs w:val="0"/>
          <w:sz w:val="30"/>
          <w:szCs w:val="30"/>
          <w:lang w:val="en-US" w:eastAsia="zh-CN"/>
        </w:rPr>
      </w:pPr>
      <w:bookmarkStart w:id="29" w:name="_Toc7240"/>
      <w:r>
        <w:rPr>
          <w:rFonts w:hint="eastAsia" w:ascii="黑体" w:hAnsi="黑体" w:eastAsia="黑体" w:cs="黑体"/>
          <w:b w:val="0"/>
          <w:bCs w:val="0"/>
          <w:sz w:val="30"/>
          <w:szCs w:val="30"/>
          <w:highlight w:val="none"/>
          <w:lang w:val="en-US" w:eastAsia="zh-CN"/>
        </w:rPr>
        <w:t>五、主要经验及做法、存在的问题及</w:t>
      </w:r>
      <w:r>
        <w:rPr>
          <w:rFonts w:hint="eastAsia" w:ascii="黑体" w:hAnsi="黑体" w:eastAsia="黑体" w:cs="黑体"/>
          <w:b w:val="0"/>
          <w:bCs w:val="0"/>
          <w:sz w:val="30"/>
          <w:szCs w:val="30"/>
          <w:lang w:val="en-US" w:eastAsia="zh-CN"/>
        </w:rPr>
        <w:t>原因</w:t>
      </w:r>
      <w:bookmarkEnd w:id="29"/>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1"/>
        <w:rPr>
          <w:rFonts w:hint="default" w:ascii="楷体" w:hAnsi="楷体" w:eastAsia="楷体" w:cs="楷体"/>
          <w:b w:val="0"/>
          <w:bCs w:val="0"/>
          <w:sz w:val="30"/>
          <w:szCs w:val="30"/>
          <w:lang w:val="en-US" w:eastAsia="zh-CN"/>
        </w:rPr>
      </w:pPr>
      <w:bookmarkStart w:id="30" w:name="_Toc27017"/>
      <w:r>
        <w:rPr>
          <w:rFonts w:hint="eastAsia" w:ascii="楷体" w:hAnsi="楷体" w:eastAsia="楷体" w:cs="楷体"/>
          <w:b w:val="0"/>
          <w:bCs w:val="0"/>
          <w:sz w:val="30"/>
          <w:szCs w:val="30"/>
          <w:lang w:val="en-US" w:eastAsia="zh-CN"/>
        </w:rPr>
        <w:t>（一）主要经验及做法</w:t>
      </w:r>
      <w:bookmarkEnd w:id="30"/>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楷体" w:hAnsi="楷体" w:eastAsia="楷体" w:cs="楷体"/>
          <w:b w:val="0"/>
          <w:bCs w:val="0"/>
          <w:sz w:val="30"/>
          <w:szCs w:val="30"/>
          <w:lang w:val="en-US" w:eastAsia="zh-CN"/>
        </w:rPr>
      </w:pPr>
      <w:r>
        <w:rPr>
          <w:rFonts w:hint="eastAsia" w:ascii="仿宋" w:hAnsi="仿宋" w:eastAsia="仿宋" w:cs="仿宋"/>
          <w:b w:val="0"/>
          <w:bCs w:val="0"/>
          <w:sz w:val="30"/>
          <w:szCs w:val="30"/>
          <w:lang w:val="en-US" w:eastAsia="zh-CN"/>
        </w:rPr>
        <w:t>该项目在</w:t>
      </w:r>
      <w:r>
        <w:rPr>
          <w:rFonts w:hint="eastAsia" w:ascii="仿宋" w:hAnsi="仿宋" w:eastAsia="仿宋" w:cs="仿宋"/>
          <w:smallCaps w:val="0"/>
          <w:kern w:val="2"/>
          <w:sz w:val="30"/>
          <w:szCs w:val="30"/>
          <w:highlight w:val="none"/>
          <w:lang w:val="en-US" w:eastAsia="zh-CN" w:bidi="ar-SA"/>
        </w:rPr>
        <w:t>阿坝县民族宗教局</w:t>
      </w:r>
      <w:r>
        <w:rPr>
          <w:rFonts w:hint="eastAsia" w:ascii="仿宋" w:hAnsi="仿宋" w:eastAsia="仿宋" w:cs="仿宋"/>
          <w:b w:val="0"/>
          <w:bCs w:val="0"/>
          <w:sz w:val="30"/>
          <w:szCs w:val="30"/>
          <w:lang w:val="en-US" w:eastAsia="zh-CN"/>
        </w:rPr>
        <w:t>的统一筹划下，从预算资金申请全过程论证、报批，确保项目资金使用合规、合理上，提高财政资金使用效率。项目进行过程中，按照规定，项目单位均严格按报批程序履行报批义务。严格按照财政财力投资管理规定，按部就班有序推进立项、报建程序。从最终项目竣工验收结果可见，</w:t>
      </w:r>
      <w:r>
        <w:rPr>
          <w:rFonts w:hint="eastAsia" w:ascii="仿宋" w:hAnsi="仿宋" w:eastAsia="仿宋" w:cs="仿宋"/>
          <w:smallCaps w:val="0"/>
          <w:kern w:val="2"/>
          <w:sz w:val="30"/>
          <w:szCs w:val="30"/>
          <w:highlight w:val="none"/>
          <w:lang w:val="en-US" w:eastAsia="zh-CN" w:bidi="ar-SA"/>
        </w:rPr>
        <w:t>阿坝县民族宗教局健康饮茶“送茶入户”采购项目建设项目</w:t>
      </w:r>
      <w:r>
        <w:rPr>
          <w:rFonts w:hint="eastAsia" w:ascii="仿宋" w:hAnsi="仿宋" w:eastAsia="仿宋" w:cs="仿宋"/>
          <w:b w:val="0"/>
          <w:bCs w:val="0"/>
          <w:sz w:val="30"/>
          <w:szCs w:val="30"/>
          <w:lang w:val="en-US" w:eastAsia="zh-CN"/>
        </w:rPr>
        <w:t>基本圆满完成，实现了预期绩效目标。</w:t>
      </w:r>
      <w:r>
        <w:rPr>
          <w:rFonts w:hint="eastAsia" w:ascii="仿宋" w:hAnsi="仿宋" w:eastAsia="仿宋" w:cs="仿宋"/>
          <w:smallCaps w:val="0"/>
          <w:kern w:val="2"/>
          <w:sz w:val="30"/>
          <w:szCs w:val="30"/>
          <w:highlight w:val="none"/>
          <w:lang w:val="en-US" w:eastAsia="zh-CN" w:bidi="ar-SA"/>
        </w:rPr>
        <w:t>阿坝县民族宗教局</w:t>
      </w:r>
      <w:r>
        <w:rPr>
          <w:rFonts w:hint="eastAsia" w:ascii="仿宋" w:hAnsi="仿宋" w:eastAsia="仿宋" w:cs="仿宋"/>
          <w:b w:val="0"/>
          <w:bCs w:val="0"/>
          <w:sz w:val="30"/>
          <w:szCs w:val="30"/>
          <w:lang w:val="en-US" w:eastAsia="zh-CN"/>
        </w:rPr>
        <w:t>作为项目具体实施单位，负责</w:t>
      </w:r>
      <w:r>
        <w:rPr>
          <w:rFonts w:hint="eastAsia" w:ascii="仿宋" w:hAnsi="仿宋" w:eastAsia="仿宋" w:cs="仿宋"/>
          <w:smallCaps w:val="0"/>
          <w:kern w:val="2"/>
          <w:sz w:val="30"/>
          <w:szCs w:val="30"/>
          <w:highlight w:val="none"/>
          <w:lang w:val="en-US" w:eastAsia="zh-CN" w:bidi="ar-SA"/>
        </w:rPr>
        <w:t>阿坝县民族宗教局健康饮茶“送茶入户”采购项目的</w:t>
      </w:r>
      <w:r>
        <w:rPr>
          <w:rFonts w:hint="eastAsia" w:ascii="仿宋" w:hAnsi="仿宋" w:eastAsia="仿宋" w:cs="仿宋"/>
          <w:b w:val="0"/>
          <w:bCs w:val="0"/>
          <w:sz w:val="30"/>
          <w:szCs w:val="30"/>
          <w:lang w:val="en-US" w:eastAsia="zh-CN"/>
        </w:rPr>
        <w:t>立项、实施过程管理，项目进度控制等工作。项目施工供应商通过磋商采购流程选出，项目实施有序，质量验收合格。</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1"/>
        <w:rPr>
          <w:rFonts w:hint="eastAsia" w:ascii="仿宋" w:hAnsi="仿宋" w:eastAsia="仿宋" w:cs="仿宋"/>
          <w:sz w:val="30"/>
          <w:szCs w:val="30"/>
          <w:lang w:val="en-US" w:eastAsia="zh-CN"/>
        </w:rPr>
      </w:pPr>
      <w:bookmarkStart w:id="31" w:name="_Toc11992"/>
      <w:r>
        <w:rPr>
          <w:rFonts w:hint="eastAsia" w:ascii="楷体" w:hAnsi="楷体" w:eastAsia="楷体" w:cs="楷体"/>
          <w:b w:val="0"/>
          <w:bCs w:val="0"/>
          <w:sz w:val="30"/>
          <w:szCs w:val="30"/>
          <w:lang w:val="en-US" w:eastAsia="zh-CN"/>
        </w:rPr>
        <w:t>（二）存在的问题</w:t>
      </w:r>
      <w:bookmarkEnd w:id="31"/>
    </w:p>
    <w:p>
      <w:pPr>
        <w:keepNext w:val="0"/>
        <w:keepLines w:val="0"/>
        <w:pageBreakBefore w:val="0"/>
        <w:widowControl w:val="0"/>
        <w:tabs>
          <w:tab w:val="left" w:pos="609"/>
        </w:tabs>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1、项目绩效目标申报表不完善，三级指标设置较少，未能全面反映项目产出效益，本项目只设置了质量指标、成本指标、预算执行指标、社会效益指标、服务对象满意度指标。未设置时效指标、质量指标、经济效益指标、可持续影响指标等。根据相关要求，项目支出绩效目标是指部门依据部门职责和事业发展要求设立并需安排预算的项目支出，在一定期限内预期达到的产出和效果，以及相应的成本控制要求。完成事前绩效评估表后，还需填写项目的整体绩效目标。</w:t>
      </w:r>
    </w:p>
    <w:p>
      <w:pPr>
        <w:keepNext w:val="0"/>
        <w:keepLines w:val="0"/>
        <w:pageBreakBefore w:val="0"/>
        <w:widowControl w:val="0"/>
        <w:tabs>
          <w:tab w:val="left" w:pos="609"/>
        </w:tabs>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2、指标设置不科学，本项目的项目满意度指标为10元每户，绩效目标设置错误，后续无法进行衡量考核。</w:t>
      </w:r>
    </w:p>
    <w:p>
      <w:pPr>
        <w:keepNext w:val="0"/>
        <w:keepLines w:val="0"/>
        <w:pageBreakBefore w:val="0"/>
        <w:widowControl w:val="0"/>
        <w:tabs>
          <w:tab w:val="left" w:pos="609"/>
        </w:tabs>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3、项目单位提供的验收报告仅为采购验收报告单，而本项目实施内容为“健康饮茶”发放对象为阿坝县2018年底尚未脱贫的建档立卡贫困户，共计1117人。每人免费赠送低氟砖茶2公斤。未见发放记录结果确认单。</w:t>
      </w:r>
    </w:p>
    <w:p>
      <w:pPr>
        <w:keepNext w:val="0"/>
        <w:keepLines w:val="0"/>
        <w:pageBreakBefore w:val="0"/>
        <w:widowControl w:val="0"/>
        <w:tabs>
          <w:tab w:val="left" w:pos="609"/>
        </w:tabs>
        <w:kinsoku/>
        <w:wordWrap/>
        <w:overflowPunct/>
        <w:topLinePunct w:val="0"/>
        <w:autoSpaceDE/>
        <w:autoSpaceDN/>
        <w:bidi w:val="0"/>
        <w:adjustRightInd/>
        <w:snapToGrid/>
        <w:spacing w:line="560" w:lineRule="exact"/>
        <w:ind w:firstLine="600" w:firstLineChars="200"/>
        <w:jc w:val="both"/>
        <w:textAlignment w:val="auto"/>
        <w:outlineLvl w:val="1"/>
        <w:rPr>
          <w:rFonts w:hint="default" w:ascii="仿宋" w:hAnsi="仿宋" w:eastAsia="仿宋" w:cs="仿宋"/>
          <w:sz w:val="30"/>
          <w:szCs w:val="30"/>
          <w:lang w:val="en-US" w:eastAsia="zh-CN"/>
        </w:rPr>
      </w:pPr>
      <w:bookmarkStart w:id="32" w:name="_Toc25510"/>
      <w:r>
        <w:rPr>
          <w:rFonts w:hint="eastAsia" w:ascii="楷体" w:hAnsi="楷体" w:eastAsia="楷体" w:cs="楷体"/>
          <w:b w:val="0"/>
          <w:bCs w:val="0"/>
          <w:sz w:val="30"/>
          <w:szCs w:val="30"/>
          <w:lang w:val="en-US" w:eastAsia="zh-CN"/>
        </w:rPr>
        <w:t>（三）有关建议</w:t>
      </w:r>
      <w:bookmarkEnd w:id="32"/>
      <w:r>
        <w:rPr>
          <w:rFonts w:hint="eastAsia" w:ascii="仿宋" w:hAnsi="仿宋" w:eastAsia="仿宋" w:cs="仿宋"/>
          <w:sz w:val="30"/>
          <w:szCs w:val="30"/>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1、建议项目单位完善项目绩效目标，根据相关规范设置项目绩效目标，在进行设置时应当从项目实施的建设内容、建设时效、预期能够取得的经济效益、社会效益等进行填报，在今后的项目中对项目绩效目标申报表进行完善，合理设置各项三级指标和指标值，加强绩效管理意识学习。</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2、落实项目结果，本项目实施内容为“健康饮茶”发放对象为阿坝县2018年底尚未脱贫的建档立卡贫困户，共计1117人。每人免费赠送低氟砖茶2公斤，编制项目发放记录结果确认单，另建议项目单位在今后开展类似项目时均应编制发放确认记录。</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0"/>
        <w:rPr>
          <w:rFonts w:hint="default" w:ascii="黑体" w:hAnsi="黑体" w:eastAsia="黑体" w:cs="黑体"/>
          <w:b w:val="0"/>
          <w:bCs w:val="0"/>
          <w:sz w:val="30"/>
          <w:szCs w:val="30"/>
          <w:lang w:val="en-US" w:eastAsia="zh-CN"/>
        </w:rPr>
      </w:pPr>
      <w:r>
        <w:rPr>
          <w:rFonts w:hint="eastAsia" w:ascii="黑体" w:hAnsi="黑体" w:eastAsia="黑体" w:cs="黑体"/>
          <w:b w:val="0"/>
          <w:bCs w:val="0"/>
          <w:sz w:val="30"/>
          <w:szCs w:val="30"/>
          <w:lang w:val="en-US" w:eastAsia="zh-CN"/>
        </w:rPr>
        <w:t>六、其他需要说明的问题</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1"/>
        <w:rPr>
          <w:rFonts w:hint="default" w:ascii="仿宋" w:hAnsi="仿宋" w:eastAsia="仿宋" w:cs="仿宋"/>
          <w:b w:val="0"/>
          <w:bCs w:val="0"/>
          <w:sz w:val="30"/>
          <w:szCs w:val="30"/>
          <w:lang w:val="en-US" w:eastAsia="zh-CN"/>
        </w:rPr>
      </w:pPr>
      <w:bookmarkStart w:id="33" w:name="_Toc21312"/>
      <w:r>
        <w:rPr>
          <w:rFonts w:hint="eastAsia" w:ascii="楷体" w:hAnsi="楷体" w:eastAsia="楷体" w:cs="楷体"/>
          <w:b w:val="0"/>
          <w:bCs w:val="0"/>
          <w:sz w:val="30"/>
          <w:szCs w:val="30"/>
          <w:lang w:val="en-US" w:eastAsia="zh-CN"/>
        </w:rPr>
        <w:t>（一）本次绩效评价的局限性</w:t>
      </w:r>
      <w:bookmarkEnd w:id="33"/>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lang w:val="en-US" w:eastAsia="zh-CN"/>
        </w:rPr>
        <w:t>由于</w:t>
      </w:r>
      <w:r>
        <w:rPr>
          <w:rFonts w:hint="eastAsia" w:ascii="仿宋" w:hAnsi="仿宋" w:eastAsia="仿宋" w:cs="仿宋"/>
          <w:b w:val="0"/>
          <w:bCs w:val="0"/>
          <w:sz w:val="30"/>
          <w:szCs w:val="30"/>
          <w:highlight w:val="none"/>
          <w:lang w:val="en-US" w:eastAsia="zh-CN"/>
        </w:rPr>
        <w:t>绩效评价工作自身的复杂性，并受到评价手段和方案设计经验等方面的限制，本次绩效评价工作中由于资料、数据、凭证较多，受时间所限。项目绩效评价指标体系在评价权重的分配、指标标杆值的设定以及数据来源的选择等方面还不够完善和充分，可能在公正、公平、科学性方面存在局限。</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highlight w:val="none"/>
          <w:lang w:val="en-US" w:eastAsia="zh-CN"/>
        </w:rPr>
        <w:t>对于定性的指标，我们主要从调查问卷、调查访谈和工程项目档案资料中获取到信息和数据，</w:t>
      </w:r>
      <w:r>
        <w:rPr>
          <w:rFonts w:hint="eastAsia" w:ascii="仿宋" w:hAnsi="仿宋" w:eastAsia="仿宋" w:cs="仿宋"/>
          <w:b w:val="0"/>
          <w:bCs w:val="0"/>
          <w:sz w:val="30"/>
          <w:szCs w:val="30"/>
          <w:lang w:val="en-US" w:eastAsia="zh-CN"/>
        </w:rPr>
        <w:t>由于项目组缺乏与项目受益者直接面谈的机会，调研评价客观性存在一定局限性。无法根据量化的数据评价并得出分数，评议结果主要依据评价小组的职业判断。</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满意度指数来源于随机抽取的样本，因受益者抽样的局限性和样本量限制，我们使用的方法受到一定影响，评价结论可能存在缺陷。</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1"/>
        <w:rPr>
          <w:rFonts w:hint="eastAsia" w:ascii="楷体" w:hAnsi="楷体" w:eastAsia="楷体" w:cs="楷体"/>
          <w:b w:val="0"/>
          <w:bCs w:val="0"/>
          <w:sz w:val="30"/>
          <w:szCs w:val="30"/>
          <w:lang w:val="en-US" w:eastAsia="zh-CN"/>
        </w:rPr>
      </w:pPr>
      <w:bookmarkStart w:id="34" w:name="_Toc17878"/>
      <w:r>
        <w:rPr>
          <w:rFonts w:hint="eastAsia" w:ascii="楷体" w:hAnsi="楷体" w:eastAsia="楷体" w:cs="楷体"/>
          <w:b w:val="0"/>
          <w:bCs w:val="0"/>
          <w:sz w:val="30"/>
          <w:szCs w:val="30"/>
          <w:lang w:val="en-US" w:eastAsia="zh-CN"/>
        </w:rPr>
        <w:t>（二）本报告的使用范围</w:t>
      </w:r>
      <w:bookmarkEnd w:id="34"/>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本报告系第三方机构受阿坝县财政局委托，对项目单位申请财政资金项目进行事前绩效评估后出具，仅作为阿坝县财政局和国家相关部门了解该财政项目支出完成绩效情况之用。</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0"/>
        <w:rPr>
          <w:rFonts w:hint="eastAsia" w:ascii="黑体" w:hAnsi="黑体" w:eastAsia="黑体" w:cs="黑体"/>
          <w:b w:val="0"/>
          <w:bCs w:val="0"/>
          <w:sz w:val="30"/>
          <w:szCs w:val="30"/>
          <w:lang w:val="en-US" w:eastAsia="zh-CN"/>
        </w:rPr>
      </w:pPr>
      <w:bookmarkStart w:id="35" w:name="_Toc10136"/>
      <w:r>
        <w:rPr>
          <w:rFonts w:hint="eastAsia" w:ascii="黑体" w:hAnsi="黑体" w:eastAsia="黑体" w:cs="黑体"/>
          <w:b w:val="0"/>
          <w:bCs w:val="0"/>
          <w:sz w:val="30"/>
          <w:szCs w:val="30"/>
          <w:lang w:val="en-US" w:eastAsia="zh-CN"/>
        </w:rPr>
        <w:t>七、附件</w:t>
      </w:r>
      <w:bookmarkEnd w:id="35"/>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1"/>
        <w:rPr>
          <w:rFonts w:hint="eastAsia" w:ascii="楷体" w:hAnsi="楷体" w:eastAsia="楷体" w:cs="楷体"/>
          <w:b w:val="0"/>
          <w:bCs w:val="0"/>
          <w:sz w:val="30"/>
          <w:szCs w:val="30"/>
          <w:lang w:val="en-US" w:eastAsia="zh-CN"/>
        </w:rPr>
      </w:pPr>
      <w:bookmarkStart w:id="36" w:name="_Toc7347"/>
      <w:r>
        <w:rPr>
          <w:rFonts w:hint="eastAsia" w:ascii="楷体" w:hAnsi="楷体" w:eastAsia="楷体" w:cs="楷体"/>
          <w:b w:val="0"/>
          <w:bCs w:val="0"/>
          <w:sz w:val="30"/>
          <w:szCs w:val="30"/>
          <w:lang w:val="en-US" w:eastAsia="zh-CN"/>
        </w:rPr>
        <w:t>（一）财政项目支出绩效评价体系</w:t>
      </w:r>
      <w:bookmarkEnd w:id="36"/>
      <w:bookmarkStart w:id="37" w:name="_Toc17572"/>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1"/>
        <w:rPr>
          <w:rFonts w:hint="eastAsia" w:ascii="楷体" w:hAnsi="楷体" w:eastAsia="楷体" w:cs="楷体"/>
          <w:b w:val="0"/>
          <w:bCs w:val="0"/>
          <w:sz w:val="30"/>
          <w:szCs w:val="30"/>
          <w:lang w:val="en-US" w:eastAsia="zh-CN"/>
        </w:rPr>
      </w:pPr>
      <w:bookmarkStart w:id="38" w:name="_Toc22896"/>
      <w:r>
        <w:rPr>
          <w:rFonts w:hint="eastAsia" w:ascii="楷体" w:hAnsi="楷体" w:eastAsia="楷体" w:cs="楷体"/>
          <w:b w:val="0"/>
          <w:bCs w:val="0"/>
          <w:sz w:val="30"/>
          <w:szCs w:val="30"/>
          <w:lang w:val="en-US" w:eastAsia="zh-CN"/>
        </w:rPr>
        <w:t>（二）绩效目标完成情况对比表</w:t>
      </w:r>
      <w:bookmarkEnd w:id="37"/>
      <w:bookmarkEnd w:id="38"/>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1"/>
        <w:rPr>
          <w:rFonts w:hint="eastAsia" w:ascii="楷体" w:hAnsi="楷体" w:eastAsia="楷体" w:cs="楷体"/>
          <w:b w:val="0"/>
          <w:bCs w:val="0"/>
          <w:sz w:val="30"/>
          <w:szCs w:val="30"/>
          <w:lang w:val="en-US" w:eastAsia="zh-CN"/>
        </w:rPr>
      </w:pPr>
      <w:bookmarkStart w:id="39" w:name="_Toc29569"/>
      <w:bookmarkStart w:id="40" w:name="_Toc19841"/>
      <w:r>
        <w:rPr>
          <w:rFonts w:hint="eastAsia" w:ascii="楷体" w:hAnsi="楷体" w:eastAsia="楷体" w:cs="楷体"/>
          <w:b w:val="0"/>
          <w:bCs w:val="0"/>
          <w:sz w:val="30"/>
          <w:szCs w:val="30"/>
          <w:lang w:val="en-US" w:eastAsia="zh-CN"/>
        </w:rPr>
        <w:t>（三）评价依据目录</w:t>
      </w:r>
      <w:bookmarkEnd w:id="39"/>
      <w:bookmarkEnd w:id="40"/>
    </w:p>
    <w:p>
      <w:pPr>
        <w:pStyle w:val="4"/>
        <w:keepNext w:val="0"/>
        <w:keepLines w:val="0"/>
        <w:pageBreakBefore w:val="0"/>
        <w:widowControl w:val="0"/>
        <w:kinsoku/>
        <w:wordWrap/>
        <w:overflowPunct/>
        <w:topLinePunct w:val="0"/>
        <w:autoSpaceDE/>
        <w:autoSpaceDN/>
        <w:bidi w:val="0"/>
        <w:adjustRightInd/>
        <w:snapToGrid/>
        <w:spacing w:after="0" w:line="560" w:lineRule="exact"/>
        <w:textAlignment w:val="auto"/>
        <w:rPr>
          <w:rFonts w:hint="eastAsia" w:ascii="仿宋" w:hAnsi="仿宋" w:eastAsia="仿宋" w:cs="仿宋"/>
          <w:b w:val="0"/>
          <w:bCs w:val="0"/>
          <w:sz w:val="30"/>
          <w:szCs w:val="30"/>
          <w:lang w:val="en-US" w:eastAsia="zh-CN"/>
        </w:rPr>
      </w:pPr>
    </w:p>
    <w:p>
      <w:pPr>
        <w:pStyle w:val="4"/>
        <w:keepNext w:val="0"/>
        <w:keepLines w:val="0"/>
        <w:pageBreakBefore w:val="0"/>
        <w:widowControl w:val="0"/>
        <w:kinsoku/>
        <w:wordWrap/>
        <w:overflowPunct/>
        <w:topLinePunct w:val="0"/>
        <w:autoSpaceDE/>
        <w:autoSpaceDN/>
        <w:bidi w:val="0"/>
        <w:adjustRightInd/>
        <w:snapToGrid/>
        <w:spacing w:after="0" w:line="560" w:lineRule="exact"/>
        <w:textAlignment w:val="auto"/>
        <w:rPr>
          <w:rFonts w:hint="eastAsia" w:ascii="仿宋" w:hAnsi="仿宋" w:eastAsia="仿宋" w:cs="仿宋"/>
          <w:b w:val="0"/>
          <w:bCs w:val="0"/>
          <w:sz w:val="30"/>
          <w:szCs w:val="30"/>
          <w:lang w:val="en-US" w:eastAsia="zh-CN"/>
        </w:rPr>
      </w:pPr>
    </w:p>
    <w:p>
      <w:pPr>
        <w:pStyle w:val="4"/>
        <w:keepNext w:val="0"/>
        <w:keepLines w:val="0"/>
        <w:pageBreakBefore w:val="0"/>
        <w:widowControl w:val="0"/>
        <w:kinsoku/>
        <w:wordWrap/>
        <w:overflowPunct/>
        <w:topLinePunct w:val="0"/>
        <w:autoSpaceDE/>
        <w:autoSpaceDN/>
        <w:bidi w:val="0"/>
        <w:adjustRightInd/>
        <w:snapToGrid/>
        <w:spacing w:after="0" w:line="560" w:lineRule="exact"/>
        <w:jc w:val="right"/>
        <w:textAlignment w:val="auto"/>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成都青云致远工程咨询有限公司</w:t>
      </w:r>
    </w:p>
    <w:p>
      <w:pPr>
        <w:pStyle w:val="4"/>
        <w:keepNext w:val="0"/>
        <w:keepLines w:val="0"/>
        <w:pageBreakBefore w:val="0"/>
        <w:widowControl w:val="0"/>
        <w:kinsoku/>
        <w:wordWrap/>
        <w:overflowPunct/>
        <w:topLinePunct w:val="0"/>
        <w:autoSpaceDE/>
        <w:autoSpaceDN/>
        <w:bidi w:val="0"/>
        <w:adjustRightInd/>
        <w:snapToGrid/>
        <w:spacing w:after="0" w:line="560" w:lineRule="exact"/>
        <w:jc w:val="right"/>
        <w:textAlignment w:val="auto"/>
        <w:rPr>
          <w:rFonts w:hint="eastAsia" w:ascii="仿宋" w:hAnsi="仿宋" w:eastAsia="仿宋" w:cs="仿宋"/>
          <w:b w:val="0"/>
          <w:bCs w:val="0"/>
          <w:sz w:val="30"/>
          <w:szCs w:val="30"/>
          <w:lang w:val="en-US" w:eastAsia="zh-CN"/>
        </w:rPr>
        <w:sectPr>
          <w:pgSz w:w="11906" w:h="16838"/>
          <w:pgMar w:top="1440" w:right="1800" w:bottom="1440" w:left="1800" w:header="851" w:footer="992" w:gutter="0"/>
          <w:pgNumType w:fmt="decimal"/>
          <w:cols w:space="425" w:num="1"/>
          <w:docGrid w:type="lines" w:linePitch="312" w:charSpace="0"/>
        </w:sectPr>
      </w:pPr>
      <w:r>
        <w:rPr>
          <w:rFonts w:hint="eastAsia" w:ascii="仿宋" w:hAnsi="仿宋" w:eastAsia="仿宋" w:cs="仿宋"/>
          <w:b w:val="0"/>
          <w:bCs w:val="0"/>
          <w:sz w:val="30"/>
          <w:szCs w:val="30"/>
          <w:lang w:val="en-US" w:eastAsia="zh-CN"/>
        </w:rPr>
        <w:t>2023年11月8日</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left"/>
        <w:textAlignment w:val="auto"/>
        <w:outlineLvl w:val="9"/>
        <w:rPr>
          <w:rFonts w:hint="eastAsia" w:ascii="楷体" w:hAnsi="楷体" w:eastAsia="楷体" w:cs="楷体"/>
          <w:b w:val="0"/>
          <w:bCs w:val="0"/>
          <w:sz w:val="30"/>
          <w:szCs w:val="30"/>
          <w:lang w:val="en-US" w:eastAsia="zh-CN"/>
        </w:rPr>
      </w:pPr>
      <w:r>
        <w:rPr>
          <w:rFonts w:hint="eastAsia" w:ascii="楷体" w:hAnsi="楷体" w:eastAsia="楷体" w:cs="楷体"/>
          <w:b w:val="0"/>
          <w:bCs w:val="0"/>
          <w:sz w:val="30"/>
          <w:szCs w:val="30"/>
          <w:lang w:val="en-US" w:eastAsia="zh-CN"/>
        </w:rPr>
        <w:t>附件（二）：绩效目标完成情况对比表</w:t>
      </w:r>
    </w:p>
    <w:tbl>
      <w:tblPr>
        <w:tblStyle w:val="1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0" w:type="dxa"/>
          <w:left w:w="108" w:type="dxa"/>
          <w:bottom w:w="0" w:type="dxa"/>
          <w:right w:w="108" w:type="dxa"/>
        </w:tblCellMar>
      </w:tblPr>
      <w:tblGrid>
        <w:gridCol w:w="436"/>
        <w:gridCol w:w="534"/>
        <w:gridCol w:w="869"/>
        <w:gridCol w:w="2727"/>
        <w:gridCol w:w="1924"/>
        <w:gridCol w:w="20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600" w:hRule="atLeast"/>
          <w:jc w:val="center"/>
        </w:trPr>
        <w:tc>
          <w:tcPr>
            <w:tcW w:w="8522" w:type="dxa"/>
            <w:gridSpan w:val="6"/>
            <w:shd w:val="clear" w:color="auto" w:fill="auto"/>
            <w:vAlign w:val="center"/>
          </w:tcPr>
          <w:p>
            <w:pPr>
              <w:keepNext w:val="0"/>
              <w:keepLines w:val="0"/>
              <w:widowControl/>
              <w:suppressLineNumbers w:val="0"/>
              <w:spacing w:line="360" w:lineRule="exact"/>
              <w:jc w:val="center"/>
              <w:textAlignment w:val="center"/>
              <w:rPr>
                <w:rFonts w:hint="eastAsia" w:ascii="黑体" w:hAnsi="宋体" w:eastAsia="黑体" w:cs="黑体"/>
                <w:i w:val="0"/>
                <w:iCs w:val="0"/>
                <w:color w:val="000000"/>
                <w:kern w:val="0"/>
                <w:sz w:val="32"/>
                <w:szCs w:val="32"/>
                <w:u w:val="none"/>
                <w:lang w:val="en-US" w:eastAsia="zh-CN" w:bidi="ar"/>
              </w:rPr>
            </w:pPr>
            <w:r>
              <w:rPr>
                <w:rFonts w:hint="eastAsia" w:ascii="黑体" w:hAnsi="宋体" w:eastAsia="黑体" w:cs="黑体"/>
                <w:i w:val="0"/>
                <w:iCs w:val="0"/>
                <w:color w:val="000000"/>
                <w:kern w:val="0"/>
                <w:sz w:val="28"/>
                <w:szCs w:val="28"/>
                <w:u w:val="none"/>
                <w:lang w:val="en-US" w:eastAsia="zh-CN" w:bidi="ar"/>
              </w:rPr>
              <w:t>绩效目标完成情况对比表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15" w:hRule="atLeast"/>
          <w:jc w:val="center"/>
        </w:trPr>
        <w:tc>
          <w:tcPr>
            <w:tcW w:w="1839" w:type="dxa"/>
            <w:gridSpan w:val="3"/>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填报单位</w:t>
            </w:r>
          </w:p>
        </w:tc>
        <w:tc>
          <w:tcPr>
            <w:tcW w:w="6683" w:type="dxa"/>
            <w:gridSpan w:val="3"/>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阿坝县民族宗教局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35" w:hRule="atLeast"/>
          <w:jc w:val="center"/>
        </w:trPr>
        <w:tc>
          <w:tcPr>
            <w:tcW w:w="1839" w:type="dxa"/>
            <w:gridSpan w:val="3"/>
            <w:shd w:val="clear" w:color="auto" w:fill="auto"/>
            <w:vAlign w:val="center"/>
          </w:tcPr>
          <w:p>
            <w:pPr>
              <w:keepNext w:val="0"/>
              <w:keepLines w:val="0"/>
              <w:widowControl/>
              <w:suppressLineNumbers w:val="0"/>
              <w:jc w:val="center"/>
              <w:textAlignment w:val="center"/>
              <w:rPr>
                <w:rFonts w:hint="eastAsia" w:ascii="黑体" w:hAnsi="宋体" w:eastAsia="黑体" w:cs="黑体"/>
                <w:i w:val="0"/>
                <w:iCs w:val="0"/>
                <w:color w:val="000000"/>
                <w:sz w:val="22"/>
                <w:szCs w:val="22"/>
                <w:u w:val="none"/>
              </w:rPr>
            </w:pPr>
            <w:r>
              <w:rPr>
                <w:rFonts w:hint="eastAsia" w:ascii="黑体" w:hAnsi="宋体" w:eastAsia="黑体" w:cs="黑体"/>
                <w:i w:val="0"/>
                <w:iCs w:val="0"/>
                <w:color w:val="000000"/>
                <w:kern w:val="0"/>
                <w:sz w:val="22"/>
                <w:szCs w:val="22"/>
                <w:u w:val="none"/>
                <w:lang w:val="en-US" w:eastAsia="zh-CN" w:bidi="ar"/>
              </w:rPr>
              <w:t>项目名称</w:t>
            </w:r>
          </w:p>
        </w:tc>
        <w:tc>
          <w:tcPr>
            <w:tcW w:w="6683" w:type="dxa"/>
            <w:gridSpan w:val="3"/>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阿坝县民族宗教局健康饮茶“送茶入户”采购项目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jc w:val="center"/>
        </w:trPr>
        <w:tc>
          <w:tcPr>
            <w:tcW w:w="436" w:type="dxa"/>
            <w:vMerge w:val="restart"/>
            <w:shd w:val="clear" w:color="auto" w:fill="auto"/>
            <w:vAlign w:val="center"/>
          </w:tcPr>
          <w:p>
            <w:pPr>
              <w:keepNext w:val="0"/>
              <w:keepLines w:val="0"/>
              <w:widowControl/>
              <w:suppressLineNumbers w:val="0"/>
              <w:jc w:val="center"/>
              <w:textAlignment w:val="center"/>
              <w:rPr>
                <w:rFonts w:hint="eastAsia" w:ascii="黑体" w:hAnsi="宋体" w:eastAsia="黑体" w:cs="黑体"/>
                <w:i w:val="0"/>
                <w:iCs w:val="0"/>
                <w:color w:val="000000"/>
                <w:kern w:val="0"/>
                <w:sz w:val="22"/>
                <w:szCs w:val="22"/>
                <w:u w:val="none"/>
                <w:lang w:val="en-US" w:eastAsia="zh-CN" w:bidi="ar"/>
              </w:rPr>
            </w:pPr>
            <w:r>
              <w:rPr>
                <w:rFonts w:hint="eastAsia" w:ascii="黑体" w:hAnsi="宋体" w:eastAsia="黑体" w:cs="黑体"/>
                <w:i w:val="0"/>
                <w:iCs w:val="0"/>
                <w:color w:val="000000"/>
                <w:kern w:val="0"/>
                <w:sz w:val="22"/>
                <w:szCs w:val="22"/>
                <w:u w:val="none"/>
                <w:lang w:val="en-US" w:eastAsia="zh-CN" w:bidi="ar"/>
              </w:rPr>
              <w:t>绩</w:t>
            </w:r>
          </w:p>
          <w:p>
            <w:pPr>
              <w:keepNext w:val="0"/>
              <w:keepLines w:val="0"/>
              <w:widowControl/>
              <w:suppressLineNumbers w:val="0"/>
              <w:jc w:val="center"/>
              <w:textAlignment w:val="center"/>
              <w:rPr>
                <w:rFonts w:hint="eastAsia" w:ascii="黑体" w:hAnsi="宋体" w:eastAsia="黑体" w:cs="黑体"/>
                <w:i w:val="0"/>
                <w:iCs w:val="0"/>
                <w:color w:val="000000"/>
                <w:kern w:val="0"/>
                <w:sz w:val="22"/>
                <w:szCs w:val="22"/>
                <w:u w:val="none"/>
                <w:lang w:val="en-US" w:eastAsia="zh-CN" w:bidi="ar"/>
              </w:rPr>
            </w:pPr>
            <w:r>
              <w:rPr>
                <w:rFonts w:hint="eastAsia" w:ascii="黑体" w:hAnsi="宋体" w:eastAsia="黑体" w:cs="黑体"/>
                <w:i w:val="0"/>
                <w:iCs w:val="0"/>
                <w:color w:val="000000"/>
                <w:kern w:val="0"/>
                <w:sz w:val="22"/>
                <w:szCs w:val="22"/>
                <w:u w:val="none"/>
                <w:lang w:val="en-US" w:eastAsia="zh-CN" w:bidi="ar"/>
              </w:rPr>
              <w:t>效</w:t>
            </w:r>
          </w:p>
          <w:p>
            <w:pPr>
              <w:keepNext w:val="0"/>
              <w:keepLines w:val="0"/>
              <w:widowControl/>
              <w:suppressLineNumbers w:val="0"/>
              <w:jc w:val="center"/>
              <w:textAlignment w:val="center"/>
              <w:rPr>
                <w:rFonts w:hint="eastAsia" w:ascii="黑体" w:hAnsi="宋体" w:eastAsia="黑体" w:cs="黑体"/>
                <w:i w:val="0"/>
                <w:iCs w:val="0"/>
                <w:color w:val="000000"/>
                <w:kern w:val="0"/>
                <w:sz w:val="22"/>
                <w:szCs w:val="22"/>
                <w:u w:val="none"/>
                <w:lang w:val="en-US" w:eastAsia="zh-CN" w:bidi="ar"/>
              </w:rPr>
            </w:pPr>
            <w:r>
              <w:rPr>
                <w:rFonts w:hint="eastAsia" w:ascii="黑体" w:hAnsi="宋体" w:eastAsia="黑体" w:cs="黑体"/>
                <w:i w:val="0"/>
                <w:iCs w:val="0"/>
                <w:color w:val="000000"/>
                <w:kern w:val="0"/>
                <w:sz w:val="22"/>
                <w:szCs w:val="22"/>
                <w:u w:val="none"/>
                <w:lang w:val="en-US" w:eastAsia="zh-CN" w:bidi="ar"/>
              </w:rPr>
              <w:t>指</w:t>
            </w:r>
          </w:p>
          <w:p>
            <w:pPr>
              <w:keepNext w:val="0"/>
              <w:keepLines w:val="0"/>
              <w:widowControl/>
              <w:suppressLineNumbers w:val="0"/>
              <w:jc w:val="center"/>
              <w:textAlignment w:val="center"/>
              <w:rPr>
                <w:rFonts w:hint="eastAsia" w:ascii="黑体" w:hAnsi="宋体" w:eastAsia="黑体" w:cs="黑体"/>
                <w:i w:val="0"/>
                <w:iCs w:val="0"/>
                <w:color w:val="000000"/>
                <w:sz w:val="22"/>
                <w:szCs w:val="22"/>
                <w:u w:val="none"/>
              </w:rPr>
            </w:pPr>
            <w:r>
              <w:rPr>
                <w:rFonts w:hint="eastAsia" w:ascii="黑体" w:hAnsi="宋体" w:eastAsia="黑体" w:cs="黑体"/>
                <w:i w:val="0"/>
                <w:iCs w:val="0"/>
                <w:color w:val="000000"/>
                <w:kern w:val="0"/>
                <w:sz w:val="22"/>
                <w:szCs w:val="22"/>
                <w:u w:val="none"/>
                <w:lang w:val="en-US" w:eastAsia="zh-CN" w:bidi="ar"/>
              </w:rPr>
              <w:t>标</w:t>
            </w:r>
          </w:p>
        </w:tc>
        <w:tc>
          <w:tcPr>
            <w:tcW w:w="534" w:type="dxa"/>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kern w:val="0"/>
                <w:sz w:val="22"/>
                <w:szCs w:val="22"/>
                <w:u w:val="none"/>
                <w:lang w:val="en-US" w:eastAsia="zh-CN" w:bidi="ar"/>
              </w:rPr>
            </w:pPr>
            <w:r>
              <w:rPr>
                <w:rFonts w:hint="eastAsia" w:ascii="黑体" w:hAnsi="宋体" w:eastAsia="黑体" w:cs="黑体"/>
                <w:b/>
                <w:bCs/>
                <w:i w:val="0"/>
                <w:iCs w:val="0"/>
                <w:color w:val="000000"/>
                <w:kern w:val="0"/>
                <w:sz w:val="22"/>
                <w:szCs w:val="22"/>
                <w:u w:val="none"/>
                <w:lang w:val="en-US" w:eastAsia="zh-CN" w:bidi="ar"/>
              </w:rPr>
              <w:t>一级</w:t>
            </w:r>
          </w:p>
          <w:p>
            <w:pPr>
              <w:keepNext w:val="0"/>
              <w:keepLines w:val="0"/>
              <w:widowControl/>
              <w:suppressLineNumbers w:val="0"/>
              <w:jc w:val="center"/>
              <w:textAlignment w:val="center"/>
              <w:rPr>
                <w:rFonts w:hint="eastAsia" w:ascii="黑体" w:hAnsi="宋体" w:eastAsia="黑体" w:cs="黑体"/>
                <w:b/>
                <w:bCs/>
                <w:i w:val="0"/>
                <w:iCs w:val="0"/>
                <w:color w:val="000000"/>
                <w:sz w:val="22"/>
                <w:szCs w:val="22"/>
                <w:u w:val="none"/>
              </w:rPr>
            </w:pPr>
            <w:r>
              <w:rPr>
                <w:rFonts w:hint="eastAsia" w:ascii="黑体" w:hAnsi="宋体" w:eastAsia="黑体" w:cs="黑体"/>
                <w:b/>
                <w:bCs/>
                <w:i w:val="0"/>
                <w:iCs w:val="0"/>
                <w:color w:val="000000"/>
                <w:kern w:val="0"/>
                <w:sz w:val="22"/>
                <w:szCs w:val="22"/>
                <w:u w:val="none"/>
                <w:lang w:val="en-US" w:eastAsia="zh-CN" w:bidi="ar"/>
              </w:rPr>
              <w:t>指标</w:t>
            </w:r>
          </w:p>
        </w:tc>
        <w:tc>
          <w:tcPr>
            <w:tcW w:w="869" w:type="dxa"/>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22"/>
                <w:szCs w:val="22"/>
                <w:u w:val="none"/>
              </w:rPr>
            </w:pPr>
            <w:r>
              <w:rPr>
                <w:rFonts w:hint="eastAsia" w:ascii="黑体" w:hAnsi="宋体" w:eastAsia="黑体" w:cs="黑体"/>
                <w:b/>
                <w:bCs/>
                <w:i w:val="0"/>
                <w:iCs w:val="0"/>
                <w:color w:val="000000"/>
                <w:kern w:val="0"/>
                <w:sz w:val="22"/>
                <w:szCs w:val="22"/>
                <w:u w:val="none"/>
                <w:lang w:val="en-US" w:eastAsia="zh-CN" w:bidi="ar"/>
              </w:rPr>
              <w:t>二级指标</w:t>
            </w:r>
          </w:p>
        </w:tc>
        <w:tc>
          <w:tcPr>
            <w:tcW w:w="2727" w:type="dxa"/>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22"/>
                <w:szCs w:val="22"/>
                <w:u w:val="none"/>
              </w:rPr>
            </w:pPr>
            <w:r>
              <w:rPr>
                <w:rFonts w:hint="eastAsia" w:ascii="黑体" w:hAnsi="宋体" w:eastAsia="黑体" w:cs="黑体"/>
                <w:b/>
                <w:bCs/>
                <w:i w:val="0"/>
                <w:iCs w:val="0"/>
                <w:color w:val="000000"/>
                <w:kern w:val="0"/>
                <w:sz w:val="22"/>
                <w:szCs w:val="22"/>
                <w:u w:val="none"/>
                <w:lang w:val="en-US" w:eastAsia="zh-CN" w:bidi="ar"/>
              </w:rPr>
              <w:t>三级指标</w:t>
            </w:r>
          </w:p>
        </w:tc>
        <w:tc>
          <w:tcPr>
            <w:tcW w:w="1924" w:type="dxa"/>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22"/>
                <w:szCs w:val="22"/>
                <w:u w:val="none"/>
              </w:rPr>
            </w:pPr>
            <w:r>
              <w:rPr>
                <w:rFonts w:hint="eastAsia" w:ascii="黑体" w:hAnsi="宋体" w:eastAsia="黑体" w:cs="黑体"/>
                <w:b/>
                <w:bCs/>
                <w:i w:val="0"/>
                <w:iCs w:val="0"/>
                <w:color w:val="000000"/>
                <w:kern w:val="0"/>
                <w:sz w:val="22"/>
                <w:szCs w:val="22"/>
                <w:u w:val="none"/>
                <w:lang w:val="en-US" w:eastAsia="zh-CN" w:bidi="ar"/>
              </w:rPr>
              <w:t>指标值</w:t>
            </w:r>
          </w:p>
        </w:tc>
        <w:tc>
          <w:tcPr>
            <w:tcW w:w="2032" w:type="dxa"/>
            <w:shd w:val="clear" w:color="auto" w:fill="auto"/>
            <w:vAlign w:val="center"/>
          </w:tcPr>
          <w:p>
            <w:pPr>
              <w:keepNext w:val="0"/>
              <w:keepLines w:val="0"/>
              <w:widowControl/>
              <w:suppressLineNumbers w:val="0"/>
              <w:jc w:val="center"/>
              <w:textAlignment w:val="center"/>
              <w:rPr>
                <w:rFonts w:hint="default" w:ascii="黑体" w:hAnsi="宋体" w:eastAsia="黑体" w:cs="黑体"/>
                <w:b/>
                <w:bCs/>
                <w:i w:val="0"/>
                <w:iCs w:val="0"/>
                <w:color w:val="000000"/>
                <w:kern w:val="0"/>
                <w:sz w:val="22"/>
                <w:szCs w:val="22"/>
                <w:u w:val="none"/>
                <w:lang w:val="en-US" w:eastAsia="zh-CN" w:bidi="ar"/>
              </w:rPr>
            </w:pPr>
            <w:r>
              <w:rPr>
                <w:rFonts w:hint="eastAsia" w:ascii="黑体" w:hAnsi="宋体" w:eastAsia="黑体" w:cs="黑体"/>
                <w:b/>
                <w:bCs/>
                <w:i w:val="0"/>
                <w:iCs w:val="0"/>
                <w:color w:val="000000"/>
                <w:kern w:val="0"/>
                <w:sz w:val="22"/>
                <w:szCs w:val="22"/>
                <w:u w:val="none"/>
                <w:lang w:val="en-US" w:eastAsia="zh-CN" w:bidi="ar"/>
              </w:rPr>
              <w:t>完成值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40" w:hRule="atLeast"/>
          <w:jc w:val="center"/>
        </w:trPr>
        <w:tc>
          <w:tcPr>
            <w:tcW w:w="436" w:type="dxa"/>
            <w:vMerge w:val="continue"/>
            <w:shd w:val="clear" w:color="auto" w:fill="auto"/>
            <w:vAlign w:val="center"/>
          </w:tcPr>
          <w:p>
            <w:pPr>
              <w:jc w:val="center"/>
              <w:rPr>
                <w:rFonts w:hint="eastAsia" w:ascii="黑体" w:hAnsi="宋体" w:eastAsia="黑体" w:cs="黑体"/>
                <w:i w:val="0"/>
                <w:iCs w:val="0"/>
                <w:color w:val="000000"/>
                <w:sz w:val="22"/>
                <w:szCs w:val="22"/>
                <w:u w:val="none"/>
              </w:rPr>
            </w:pPr>
          </w:p>
        </w:tc>
        <w:tc>
          <w:tcPr>
            <w:tcW w:w="534" w:type="dxa"/>
            <w:vMerge w:val="restart"/>
            <w:shd w:val="clear" w:color="auto" w:fill="auto"/>
            <w:vAlign w:val="center"/>
          </w:tcPr>
          <w:p>
            <w:pPr>
              <w:jc w:val="center"/>
              <w:rPr>
                <w:rFonts w:hint="default" w:ascii="宋体" w:hAnsi="宋体" w:eastAsia="宋体" w:cs="宋体"/>
                <w:i w:val="0"/>
                <w:iCs w:val="0"/>
                <w:color w:val="000000"/>
                <w:sz w:val="22"/>
                <w:szCs w:val="22"/>
                <w:u w:val="none"/>
                <w:lang w:val="en-US" w:eastAsia="zh-CN"/>
              </w:rPr>
            </w:pPr>
            <w:r>
              <w:rPr>
                <w:rFonts w:hint="eastAsia" w:ascii="宋体" w:hAnsi="宋体" w:eastAsia="宋体" w:cs="宋体"/>
                <w:i w:val="0"/>
                <w:iCs w:val="0"/>
                <w:color w:val="000000"/>
                <w:sz w:val="22"/>
                <w:szCs w:val="22"/>
                <w:u w:val="none"/>
                <w:lang w:val="en-US" w:eastAsia="zh-CN"/>
              </w:rPr>
              <w:t>产出指标</w:t>
            </w:r>
          </w:p>
        </w:tc>
        <w:tc>
          <w:tcPr>
            <w:tcW w:w="869"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质量指标</w:t>
            </w:r>
          </w:p>
        </w:tc>
        <w:tc>
          <w:tcPr>
            <w:tcW w:w="2727" w:type="dxa"/>
            <w:shd w:val="clear" w:color="auto" w:fill="auto"/>
            <w:vAlign w:val="center"/>
          </w:tcPr>
          <w:p>
            <w:pPr>
              <w:keepNext w:val="0"/>
              <w:keepLines w:val="0"/>
              <w:widowControl/>
              <w:suppressLineNumbers w:val="0"/>
              <w:jc w:val="left"/>
              <w:textAlignment w:val="center"/>
              <w:rPr>
                <w:rFonts w:hint="default" w:ascii="宋体" w:hAnsi="宋体" w:eastAsia="宋体" w:cs="宋体"/>
                <w:i w:val="0"/>
                <w:iCs w:val="0"/>
                <w:color w:val="000000"/>
                <w:sz w:val="22"/>
                <w:szCs w:val="22"/>
                <w:u w:val="none"/>
                <w:lang w:val="en-US"/>
              </w:rPr>
            </w:pPr>
            <w:r>
              <w:rPr>
                <w:rFonts w:hint="eastAsia" w:ascii="宋体" w:hAnsi="宋体" w:eastAsia="宋体" w:cs="宋体"/>
                <w:i w:val="0"/>
                <w:iCs w:val="0"/>
                <w:color w:val="000000"/>
                <w:kern w:val="0"/>
                <w:sz w:val="22"/>
                <w:szCs w:val="22"/>
                <w:u w:val="none"/>
                <w:lang w:val="en-US" w:eastAsia="zh-CN" w:bidi="ar"/>
              </w:rPr>
              <w:t>指标1：完成指标率达100%</w:t>
            </w:r>
          </w:p>
        </w:tc>
        <w:tc>
          <w:tcPr>
            <w:tcW w:w="1924" w:type="dxa"/>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sz w:val="22"/>
                <w:szCs w:val="22"/>
                <w:u w:val="none"/>
                <w:lang w:val="en-US"/>
              </w:rPr>
            </w:pPr>
            <w:r>
              <w:rPr>
                <w:rFonts w:hint="eastAsia" w:ascii="宋体" w:hAnsi="宋体" w:eastAsia="宋体" w:cs="宋体"/>
                <w:i w:val="0"/>
                <w:iCs w:val="0"/>
                <w:color w:val="000000"/>
                <w:kern w:val="0"/>
                <w:sz w:val="22"/>
                <w:szCs w:val="22"/>
                <w:u w:val="none"/>
                <w:lang w:val="en-US" w:eastAsia="zh-CN" w:bidi="ar"/>
              </w:rPr>
              <w:t>40元/户</w:t>
            </w:r>
          </w:p>
        </w:tc>
        <w:tc>
          <w:tcPr>
            <w:tcW w:w="2032"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40元/户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59" w:hRule="atLeast"/>
          <w:jc w:val="center"/>
        </w:trPr>
        <w:tc>
          <w:tcPr>
            <w:tcW w:w="436" w:type="dxa"/>
            <w:vMerge w:val="continue"/>
            <w:shd w:val="clear" w:color="auto" w:fill="auto"/>
            <w:vAlign w:val="center"/>
          </w:tcPr>
          <w:p>
            <w:pPr>
              <w:jc w:val="center"/>
              <w:rPr>
                <w:rFonts w:hint="eastAsia" w:ascii="黑体" w:hAnsi="宋体" w:eastAsia="黑体" w:cs="黑体"/>
                <w:i w:val="0"/>
                <w:iCs w:val="0"/>
                <w:color w:val="000000"/>
                <w:sz w:val="22"/>
                <w:szCs w:val="22"/>
                <w:u w:val="none"/>
              </w:rPr>
            </w:pPr>
          </w:p>
        </w:tc>
        <w:tc>
          <w:tcPr>
            <w:tcW w:w="534" w:type="dxa"/>
            <w:vMerge w:val="continue"/>
            <w:shd w:val="clear" w:color="auto" w:fill="auto"/>
            <w:vAlign w:val="center"/>
          </w:tcPr>
          <w:p>
            <w:pPr>
              <w:jc w:val="center"/>
              <w:rPr>
                <w:rFonts w:hint="eastAsia" w:ascii="宋体" w:hAnsi="宋体" w:eastAsia="宋体" w:cs="宋体"/>
                <w:i w:val="0"/>
                <w:iCs w:val="0"/>
                <w:color w:val="000000"/>
                <w:sz w:val="22"/>
                <w:szCs w:val="22"/>
                <w:u w:val="none"/>
              </w:rPr>
            </w:pPr>
          </w:p>
        </w:tc>
        <w:tc>
          <w:tcPr>
            <w:tcW w:w="869" w:type="dxa"/>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sz w:val="22"/>
                <w:szCs w:val="22"/>
                <w:u w:val="none"/>
                <w:lang w:val="en-US" w:eastAsia="zh-CN"/>
              </w:rPr>
            </w:pPr>
            <w:r>
              <w:rPr>
                <w:rFonts w:hint="eastAsia" w:ascii="宋体" w:hAnsi="宋体" w:eastAsia="宋体" w:cs="宋体"/>
                <w:i w:val="0"/>
                <w:iCs w:val="0"/>
                <w:color w:val="000000"/>
                <w:sz w:val="22"/>
                <w:szCs w:val="22"/>
                <w:u w:val="none"/>
                <w:lang w:val="en-US" w:eastAsia="zh-CN"/>
              </w:rPr>
              <w:t>成本指标</w:t>
            </w:r>
          </w:p>
        </w:tc>
        <w:tc>
          <w:tcPr>
            <w:tcW w:w="2727" w:type="dxa"/>
            <w:shd w:val="clear" w:color="auto" w:fill="auto"/>
            <w:vAlign w:val="center"/>
          </w:tcPr>
          <w:p>
            <w:pPr>
              <w:keepNext w:val="0"/>
              <w:keepLines w:val="0"/>
              <w:widowControl/>
              <w:suppressLineNumbers w:val="0"/>
              <w:jc w:val="left"/>
              <w:textAlignment w:val="center"/>
              <w:rPr>
                <w:rFonts w:hint="default" w:ascii="宋体" w:hAnsi="宋体" w:eastAsia="宋体" w:cs="宋体"/>
                <w:i w:val="0"/>
                <w:iCs w:val="0"/>
                <w:color w:val="000000"/>
                <w:sz w:val="22"/>
                <w:szCs w:val="22"/>
                <w:u w:val="none"/>
                <w:lang w:val="en-US"/>
              </w:rPr>
            </w:pPr>
            <w:r>
              <w:rPr>
                <w:rFonts w:hint="eastAsia" w:ascii="宋体" w:hAnsi="宋体" w:eastAsia="宋体" w:cs="宋体"/>
                <w:i w:val="0"/>
                <w:iCs w:val="0"/>
                <w:color w:val="000000"/>
                <w:kern w:val="0"/>
                <w:sz w:val="22"/>
                <w:szCs w:val="22"/>
                <w:u w:val="none"/>
                <w:lang w:val="en-US" w:eastAsia="zh-CN" w:bidi="ar"/>
              </w:rPr>
              <w:t>指标1：项目总投资</w:t>
            </w:r>
          </w:p>
        </w:tc>
        <w:tc>
          <w:tcPr>
            <w:tcW w:w="1924" w:type="dxa"/>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sz w:val="22"/>
                <w:szCs w:val="22"/>
                <w:u w:val="none"/>
                <w:lang w:val="en-US" w:eastAsia="zh-CN"/>
              </w:rPr>
            </w:pPr>
            <w:r>
              <w:rPr>
                <w:rFonts w:hint="eastAsia" w:ascii="宋体" w:hAnsi="宋体" w:eastAsia="宋体" w:cs="宋体"/>
                <w:i w:val="0"/>
                <w:iCs w:val="0"/>
                <w:color w:val="000000"/>
                <w:sz w:val="22"/>
                <w:szCs w:val="22"/>
                <w:u w:val="none"/>
                <w:lang w:val="en-US" w:eastAsia="zh-CN"/>
              </w:rPr>
              <w:t>14万元</w:t>
            </w:r>
          </w:p>
        </w:tc>
        <w:tc>
          <w:tcPr>
            <w:tcW w:w="2032"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sz w:val="22"/>
                <w:szCs w:val="22"/>
                <w:u w:val="none"/>
                <w:lang w:val="en-US" w:eastAsia="zh-CN"/>
              </w:rPr>
              <w:t>14万元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700" w:hRule="atLeast"/>
          <w:jc w:val="center"/>
        </w:trPr>
        <w:tc>
          <w:tcPr>
            <w:tcW w:w="436" w:type="dxa"/>
            <w:vMerge w:val="continue"/>
            <w:shd w:val="clear" w:color="auto" w:fill="auto"/>
            <w:vAlign w:val="center"/>
          </w:tcPr>
          <w:p>
            <w:pPr>
              <w:jc w:val="center"/>
              <w:rPr>
                <w:rFonts w:hint="eastAsia" w:ascii="黑体" w:hAnsi="宋体" w:eastAsia="黑体" w:cs="黑体"/>
                <w:i w:val="0"/>
                <w:iCs w:val="0"/>
                <w:color w:val="000000"/>
                <w:sz w:val="22"/>
                <w:szCs w:val="22"/>
                <w:u w:val="none"/>
              </w:rPr>
            </w:pPr>
          </w:p>
        </w:tc>
        <w:tc>
          <w:tcPr>
            <w:tcW w:w="534" w:type="dxa"/>
            <w:vMerge w:val="continue"/>
            <w:shd w:val="clear" w:color="auto" w:fill="auto"/>
            <w:vAlign w:val="center"/>
          </w:tcPr>
          <w:p>
            <w:pPr>
              <w:jc w:val="center"/>
              <w:rPr>
                <w:rFonts w:hint="eastAsia" w:ascii="宋体" w:hAnsi="宋体" w:eastAsia="宋体" w:cs="宋体"/>
                <w:i w:val="0"/>
                <w:iCs w:val="0"/>
                <w:color w:val="000000"/>
                <w:sz w:val="22"/>
                <w:szCs w:val="22"/>
                <w:u w:val="none"/>
              </w:rPr>
            </w:pPr>
          </w:p>
        </w:tc>
        <w:tc>
          <w:tcPr>
            <w:tcW w:w="869" w:type="dxa"/>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sz w:val="22"/>
                <w:szCs w:val="22"/>
                <w:u w:val="none"/>
                <w:lang w:val="en-US" w:eastAsia="zh-CN"/>
              </w:rPr>
            </w:pPr>
            <w:r>
              <w:rPr>
                <w:rFonts w:hint="eastAsia" w:ascii="宋体" w:hAnsi="宋体" w:eastAsia="宋体" w:cs="宋体"/>
                <w:i w:val="0"/>
                <w:iCs w:val="0"/>
                <w:color w:val="000000"/>
                <w:sz w:val="22"/>
                <w:szCs w:val="22"/>
                <w:u w:val="none"/>
                <w:lang w:val="en-US" w:eastAsia="zh-CN"/>
              </w:rPr>
              <w:t>预算执行指标</w:t>
            </w:r>
          </w:p>
        </w:tc>
        <w:tc>
          <w:tcPr>
            <w:tcW w:w="2727" w:type="dxa"/>
            <w:shd w:val="clear" w:color="auto" w:fill="auto"/>
            <w:vAlign w:val="center"/>
          </w:tcPr>
          <w:p>
            <w:pPr>
              <w:keepNext w:val="0"/>
              <w:keepLines w:val="0"/>
              <w:widowControl/>
              <w:suppressLineNumbers w:val="0"/>
              <w:jc w:val="left"/>
              <w:textAlignment w:val="center"/>
              <w:rPr>
                <w:rFonts w:hint="default" w:ascii="宋体" w:hAnsi="宋体" w:eastAsia="宋体" w:cs="宋体"/>
                <w:i w:val="0"/>
                <w:iCs w:val="0"/>
                <w:color w:val="000000"/>
                <w:sz w:val="22"/>
                <w:szCs w:val="22"/>
                <w:u w:val="none"/>
                <w:lang w:val="en-US"/>
              </w:rPr>
            </w:pPr>
            <w:r>
              <w:rPr>
                <w:rFonts w:hint="eastAsia" w:ascii="宋体" w:hAnsi="宋体" w:eastAsia="宋体" w:cs="宋体"/>
                <w:i w:val="0"/>
                <w:iCs w:val="0"/>
                <w:color w:val="000000"/>
                <w:kern w:val="0"/>
                <w:sz w:val="22"/>
                <w:szCs w:val="22"/>
                <w:u w:val="none"/>
                <w:lang w:val="en-US" w:eastAsia="zh-CN" w:bidi="ar"/>
              </w:rPr>
              <w:t>指标1：财政资金</w:t>
            </w:r>
          </w:p>
        </w:tc>
        <w:tc>
          <w:tcPr>
            <w:tcW w:w="1924"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sz w:val="22"/>
                <w:szCs w:val="22"/>
                <w:u w:val="none"/>
                <w:lang w:val="en-US" w:eastAsia="zh-CN"/>
              </w:rPr>
              <w:t>14万元</w:t>
            </w:r>
          </w:p>
        </w:tc>
        <w:tc>
          <w:tcPr>
            <w:tcW w:w="2032"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2"/>
                <w:sz w:val="22"/>
                <w:szCs w:val="22"/>
                <w:u w:val="none"/>
                <w:lang w:val="en-US" w:eastAsia="zh-CN" w:bidi="ar-SA"/>
              </w:rPr>
              <w:t>137,011.22元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50" w:hRule="atLeast"/>
          <w:jc w:val="center"/>
        </w:trPr>
        <w:tc>
          <w:tcPr>
            <w:tcW w:w="436" w:type="dxa"/>
            <w:vMerge w:val="continue"/>
            <w:shd w:val="clear" w:color="auto" w:fill="auto"/>
            <w:vAlign w:val="center"/>
          </w:tcPr>
          <w:p>
            <w:pPr>
              <w:jc w:val="center"/>
              <w:rPr>
                <w:rFonts w:hint="eastAsia" w:ascii="黑体" w:hAnsi="宋体" w:eastAsia="黑体" w:cs="黑体"/>
                <w:i w:val="0"/>
                <w:iCs w:val="0"/>
                <w:color w:val="000000"/>
                <w:sz w:val="22"/>
                <w:szCs w:val="22"/>
                <w:u w:val="none"/>
              </w:rPr>
            </w:pPr>
          </w:p>
        </w:tc>
        <w:tc>
          <w:tcPr>
            <w:tcW w:w="534" w:type="dxa"/>
            <w:vMerge w:val="restart"/>
            <w:shd w:val="clear" w:color="auto" w:fill="auto"/>
            <w:vAlign w:val="center"/>
          </w:tcPr>
          <w:p>
            <w:pPr>
              <w:jc w:val="center"/>
              <w:rPr>
                <w:rFonts w:hint="eastAsia" w:ascii="宋体" w:hAnsi="宋体" w:eastAsia="宋体" w:cs="宋体"/>
                <w:i w:val="0"/>
                <w:iCs w:val="0"/>
                <w:color w:val="000000"/>
                <w:sz w:val="22"/>
                <w:szCs w:val="22"/>
                <w:u w:val="none"/>
                <w:lang w:val="en-US" w:eastAsia="zh-CN"/>
              </w:rPr>
            </w:pPr>
            <w:r>
              <w:rPr>
                <w:rFonts w:hint="eastAsia" w:ascii="宋体" w:hAnsi="宋体" w:eastAsia="宋体" w:cs="宋体"/>
                <w:i w:val="0"/>
                <w:iCs w:val="0"/>
                <w:color w:val="000000"/>
                <w:sz w:val="22"/>
                <w:szCs w:val="22"/>
                <w:u w:val="none"/>
                <w:lang w:val="en-US" w:eastAsia="zh-CN"/>
              </w:rPr>
              <w:t>效益指标</w:t>
            </w:r>
          </w:p>
        </w:tc>
        <w:tc>
          <w:tcPr>
            <w:tcW w:w="869" w:type="dxa"/>
            <w:vMerge w:val="restar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社会效益</w:t>
            </w:r>
          </w:p>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指标</w:t>
            </w:r>
          </w:p>
        </w:tc>
        <w:tc>
          <w:tcPr>
            <w:tcW w:w="2727" w:type="dxa"/>
            <w:shd w:val="clear" w:color="auto" w:fill="auto"/>
            <w:vAlign w:val="center"/>
          </w:tcPr>
          <w:p>
            <w:pPr>
              <w:keepNext w:val="0"/>
              <w:keepLines w:val="0"/>
              <w:widowControl/>
              <w:suppressLineNumbers w:val="0"/>
              <w:jc w:val="left"/>
              <w:textAlignment w:val="center"/>
              <w:rPr>
                <w:rFonts w:hint="default" w:ascii="宋体" w:hAnsi="宋体" w:eastAsia="宋体" w:cs="宋体"/>
                <w:i w:val="0"/>
                <w:iCs w:val="0"/>
                <w:color w:val="000000"/>
                <w:sz w:val="22"/>
                <w:szCs w:val="22"/>
                <w:u w:val="none"/>
                <w:lang w:val="en-US"/>
              </w:rPr>
            </w:pPr>
            <w:r>
              <w:rPr>
                <w:rFonts w:hint="eastAsia" w:ascii="宋体" w:hAnsi="宋体" w:eastAsia="宋体" w:cs="宋体"/>
                <w:i w:val="0"/>
                <w:iCs w:val="0"/>
                <w:color w:val="000000"/>
                <w:kern w:val="0"/>
                <w:sz w:val="22"/>
                <w:szCs w:val="22"/>
                <w:u w:val="none"/>
                <w:lang w:val="en-US" w:eastAsia="zh-CN" w:bidi="ar"/>
              </w:rPr>
              <w:t>指标1：完成指标率达100%</w:t>
            </w:r>
          </w:p>
        </w:tc>
        <w:tc>
          <w:tcPr>
            <w:tcW w:w="1924"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40元/户</w:t>
            </w:r>
          </w:p>
        </w:tc>
        <w:tc>
          <w:tcPr>
            <w:tcW w:w="2032"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40元/户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50" w:hRule="atLeast"/>
          <w:jc w:val="center"/>
        </w:trPr>
        <w:tc>
          <w:tcPr>
            <w:tcW w:w="436" w:type="dxa"/>
            <w:vMerge w:val="continue"/>
            <w:shd w:val="clear" w:color="auto" w:fill="auto"/>
            <w:vAlign w:val="center"/>
          </w:tcPr>
          <w:p>
            <w:pPr>
              <w:jc w:val="center"/>
              <w:rPr>
                <w:rFonts w:hint="eastAsia" w:ascii="黑体" w:hAnsi="宋体" w:eastAsia="黑体" w:cs="黑体"/>
                <w:i w:val="0"/>
                <w:iCs w:val="0"/>
                <w:color w:val="000000"/>
                <w:sz w:val="22"/>
                <w:szCs w:val="22"/>
                <w:u w:val="none"/>
              </w:rPr>
            </w:pPr>
          </w:p>
        </w:tc>
        <w:tc>
          <w:tcPr>
            <w:tcW w:w="534" w:type="dxa"/>
            <w:vMerge w:val="continue"/>
            <w:shd w:val="clear" w:color="auto" w:fill="auto"/>
            <w:vAlign w:val="center"/>
          </w:tcPr>
          <w:p>
            <w:pPr>
              <w:jc w:val="center"/>
              <w:rPr>
                <w:rFonts w:hint="eastAsia" w:ascii="宋体" w:hAnsi="宋体" w:eastAsia="宋体" w:cs="宋体"/>
                <w:i w:val="0"/>
                <w:iCs w:val="0"/>
                <w:color w:val="000000"/>
                <w:sz w:val="22"/>
                <w:szCs w:val="22"/>
                <w:u w:val="none"/>
              </w:rPr>
            </w:pPr>
          </w:p>
        </w:tc>
        <w:tc>
          <w:tcPr>
            <w:tcW w:w="869" w:type="dxa"/>
            <w:vMerge w:val="continue"/>
            <w:shd w:val="clear" w:color="auto" w:fill="auto"/>
            <w:vAlign w:val="center"/>
          </w:tcPr>
          <w:p>
            <w:pPr>
              <w:jc w:val="center"/>
              <w:rPr>
                <w:rFonts w:hint="eastAsia" w:ascii="宋体" w:hAnsi="宋体" w:eastAsia="宋体" w:cs="宋体"/>
                <w:i w:val="0"/>
                <w:iCs w:val="0"/>
                <w:color w:val="000000"/>
                <w:sz w:val="22"/>
                <w:szCs w:val="22"/>
                <w:u w:val="none"/>
              </w:rPr>
            </w:pPr>
          </w:p>
        </w:tc>
        <w:tc>
          <w:tcPr>
            <w:tcW w:w="2727" w:type="dxa"/>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p>
        </w:tc>
        <w:tc>
          <w:tcPr>
            <w:tcW w:w="1924" w:type="dxa"/>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sz w:val="22"/>
                <w:szCs w:val="22"/>
                <w:u w:val="none"/>
                <w:lang w:val="en-US"/>
              </w:rPr>
            </w:pPr>
          </w:p>
        </w:tc>
        <w:tc>
          <w:tcPr>
            <w:tcW w:w="2032" w:type="dxa"/>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kern w:val="2"/>
                <w:sz w:val="22"/>
                <w:szCs w:val="22"/>
                <w:u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50" w:hRule="atLeast"/>
          <w:jc w:val="center"/>
        </w:trPr>
        <w:tc>
          <w:tcPr>
            <w:tcW w:w="436" w:type="dxa"/>
            <w:vMerge w:val="continue"/>
            <w:shd w:val="clear" w:color="auto" w:fill="auto"/>
            <w:vAlign w:val="center"/>
          </w:tcPr>
          <w:p>
            <w:pPr>
              <w:jc w:val="center"/>
              <w:rPr>
                <w:rFonts w:hint="eastAsia" w:ascii="黑体" w:hAnsi="宋体" w:eastAsia="黑体" w:cs="黑体"/>
                <w:i w:val="0"/>
                <w:iCs w:val="0"/>
                <w:color w:val="000000"/>
                <w:sz w:val="22"/>
                <w:szCs w:val="22"/>
                <w:u w:val="none"/>
              </w:rPr>
            </w:pPr>
          </w:p>
        </w:tc>
        <w:tc>
          <w:tcPr>
            <w:tcW w:w="534" w:type="dxa"/>
            <w:vMerge w:val="continue"/>
            <w:shd w:val="clear" w:color="auto" w:fill="auto"/>
            <w:vAlign w:val="center"/>
          </w:tcPr>
          <w:p>
            <w:pPr>
              <w:jc w:val="center"/>
              <w:rPr>
                <w:rFonts w:hint="eastAsia" w:ascii="宋体" w:hAnsi="宋体" w:eastAsia="宋体" w:cs="宋体"/>
                <w:i w:val="0"/>
                <w:iCs w:val="0"/>
                <w:color w:val="000000"/>
                <w:sz w:val="22"/>
                <w:szCs w:val="22"/>
                <w:u w:val="none"/>
              </w:rPr>
            </w:pPr>
          </w:p>
        </w:tc>
        <w:tc>
          <w:tcPr>
            <w:tcW w:w="869"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服务对象</w:t>
            </w:r>
          </w:p>
          <w:p>
            <w:pPr>
              <w:jc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满意度指标</w:t>
            </w:r>
          </w:p>
        </w:tc>
        <w:tc>
          <w:tcPr>
            <w:tcW w:w="2727" w:type="dxa"/>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指标1帮扶对象满意度</w:t>
            </w:r>
          </w:p>
        </w:tc>
        <w:tc>
          <w:tcPr>
            <w:tcW w:w="1924"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10元/户</w:t>
            </w:r>
          </w:p>
        </w:tc>
        <w:tc>
          <w:tcPr>
            <w:tcW w:w="2032" w:type="dxa"/>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被帮扶对象均为满意</w:t>
            </w:r>
          </w:p>
        </w:tc>
      </w:tr>
    </w:tbl>
    <w:p>
      <w:pPr>
        <w:pStyle w:val="4"/>
        <w:keepNext w:val="0"/>
        <w:keepLines w:val="0"/>
        <w:pageBreakBefore w:val="0"/>
        <w:widowControl w:val="0"/>
        <w:kinsoku/>
        <w:wordWrap/>
        <w:overflowPunct/>
        <w:topLinePunct w:val="0"/>
        <w:autoSpaceDE/>
        <w:autoSpaceDN/>
        <w:bidi w:val="0"/>
        <w:adjustRightInd/>
        <w:snapToGrid/>
        <w:spacing w:after="0" w:line="560" w:lineRule="exact"/>
        <w:jc w:val="right"/>
        <w:textAlignment w:val="auto"/>
        <w:rPr>
          <w:rFonts w:hint="eastAsia" w:ascii="仿宋" w:hAnsi="仿宋" w:eastAsia="仿宋" w:cs="仿宋"/>
          <w:b w:val="0"/>
          <w:bCs w:val="0"/>
          <w:sz w:val="30"/>
          <w:szCs w:val="30"/>
          <w:lang w:val="en-US" w:eastAsia="zh-CN"/>
        </w:rPr>
        <w:sectPr>
          <w:footerReference r:id="rId6" w:type="default"/>
          <w:pgSz w:w="11906" w:h="16838"/>
          <w:pgMar w:top="1440" w:right="1800" w:bottom="1440" w:left="1800" w:header="851" w:footer="992" w:gutter="0"/>
          <w:pgNumType w:fmt="decimal"/>
          <w:cols w:space="425" w:num="1"/>
          <w:docGrid w:type="lines" w:linePitch="312" w:charSpace="0"/>
        </w:sectPr>
      </w:pPr>
    </w:p>
    <w:p>
      <w:pPr>
        <w:pStyle w:val="4"/>
        <w:keepNext w:val="0"/>
        <w:keepLines w:val="0"/>
        <w:pageBreakBefore w:val="0"/>
        <w:widowControl w:val="0"/>
        <w:kinsoku/>
        <w:wordWrap/>
        <w:overflowPunct/>
        <w:topLinePunct w:val="0"/>
        <w:autoSpaceDE/>
        <w:autoSpaceDN/>
        <w:bidi w:val="0"/>
        <w:adjustRightInd/>
        <w:snapToGrid/>
        <w:spacing w:after="0" w:line="560" w:lineRule="exact"/>
        <w:ind w:firstLine="600" w:firstLineChars="200"/>
        <w:jc w:val="left"/>
        <w:textAlignment w:val="auto"/>
        <w:rPr>
          <w:rFonts w:hint="eastAsia" w:ascii="楷体" w:hAnsi="楷体" w:eastAsia="楷体" w:cs="楷体"/>
          <w:b w:val="0"/>
          <w:bCs w:val="0"/>
          <w:sz w:val="30"/>
          <w:szCs w:val="30"/>
          <w:lang w:val="en-US" w:eastAsia="zh-CN"/>
        </w:rPr>
      </w:pPr>
      <w:r>
        <w:rPr>
          <w:rFonts w:hint="eastAsia" w:ascii="楷体" w:hAnsi="楷体" w:eastAsia="楷体" w:cs="楷体"/>
          <w:b w:val="0"/>
          <w:bCs w:val="0"/>
          <w:sz w:val="30"/>
          <w:szCs w:val="30"/>
          <w:lang w:val="en-US" w:eastAsia="zh-CN"/>
        </w:rPr>
        <w:t>附件（三）：评价依据目录</w:t>
      </w:r>
    </w:p>
    <w:p>
      <w:pPr>
        <w:pStyle w:val="4"/>
        <w:keepNext w:val="0"/>
        <w:keepLines w:val="0"/>
        <w:pageBreakBefore w:val="0"/>
        <w:widowControl w:val="0"/>
        <w:kinsoku/>
        <w:wordWrap/>
        <w:overflowPunct/>
        <w:topLinePunct w:val="0"/>
        <w:autoSpaceDE/>
        <w:autoSpaceDN/>
        <w:bidi w:val="0"/>
        <w:adjustRightInd/>
        <w:snapToGrid/>
        <w:spacing w:after="0" w:line="560" w:lineRule="exact"/>
        <w:ind w:firstLine="600" w:firstLineChars="200"/>
        <w:jc w:val="left"/>
        <w:textAlignment w:val="auto"/>
        <w:rPr>
          <w:rFonts w:hint="default"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本次绩效评价的依据主要包括：</w:t>
      </w:r>
    </w:p>
    <w:p>
      <w:pPr>
        <w:pStyle w:val="4"/>
        <w:keepNext w:val="0"/>
        <w:keepLines w:val="0"/>
        <w:pageBreakBefore w:val="0"/>
        <w:widowControl w:val="0"/>
        <w:kinsoku/>
        <w:wordWrap/>
        <w:overflowPunct/>
        <w:topLinePunct w:val="0"/>
        <w:autoSpaceDE/>
        <w:autoSpaceDN/>
        <w:bidi w:val="0"/>
        <w:adjustRightInd/>
        <w:snapToGrid/>
        <w:spacing w:after="0" w:line="560" w:lineRule="exact"/>
        <w:ind w:firstLine="600" w:firstLineChars="200"/>
        <w:jc w:val="left"/>
        <w:textAlignment w:val="auto"/>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1、《中华人民共和国预算法》</w:t>
      </w:r>
    </w:p>
    <w:p>
      <w:pPr>
        <w:pStyle w:val="4"/>
        <w:keepNext w:val="0"/>
        <w:keepLines w:val="0"/>
        <w:pageBreakBefore w:val="0"/>
        <w:widowControl w:val="0"/>
        <w:kinsoku/>
        <w:wordWrap/>
        <w:overflowPunct/>
        <w:topLinePunct w:val="0"/>
        <w:autoSpaceDE/>
        <w:autoSpaceDN/>
        <w:bidi w:val="0"/>
        <w:adjustRightInd/>
        <w:snapToGrid/>
        <w:spacing w:after="0" w:line="560" w:lineRule="exact"/>
        <w:ind w:firstLine="600" w:firstLineChars="200"/>
        <w:jc w:val="left"/>
        <w:textAlignment w:val="auto"/>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2、《中华人民共和国预算法实施条例》</w:t>
      </w:r>
    </w:p>
    <w:p>
      <w:pPr>
        <w:pStyle w:val="4"/>
        <w:keepNext w:val="0"/>
        <w:keepLines w:val="0"/>
        <w:pageBreakBefore w:val="0"/>
        <w:widowControl w:val="0"/>
        <w:kinsoku/>
        <w:wordWrap/>
        <w:overflowPunct/>
        <w:topLinePunct w:val="0"/>
        <w:autoSpaceDE/>
        <w:autoSpaceDN/>
        <w:bidi w:val="0"/>
        <w:adjustRightInd/>
        <w:snapToGrid/>
        <w:spacing w:after="0" w:line="560" w:lineRule="exact"/>
        <w:ind w:firstLine="600" w:firstLineChars="200"/>
        <w:jc w:val="left"/>
        <w:textAlignment w:val="auto"/>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3、《中共中央国务院关于全面实施预算绩效管理的意见》</w:t>
      </w:r>
    </w:p>
    <w:p>
      <w:pPr>
        <w:pStyle w:val="4"/>
        <w:keepNext w:val="0"/>
        <w:keepLines w:val="0"/>
        <w:pageBreakBefore w:val="0"/>
        <w:widowControl w:val="0"/>
        <w:kinsoku/>
        <w:wordWrap/>
        <w:overflowPunct/>
        <w:topLinePunct w:val="0"/>
        <w:autoSpaceDE/>
        <w:autoSpaceDN/>
        <w:bidi w:val="0"/>
        <w:adjustRightInd/>
        <w:snapToGrid/>
        <w:spacing w:after="0" w:line="560" w:lineRule="exact"/>
        <w:ind w:firstLine="600" w:firstLineChars="200"/>
        <w:jc w:val="left"/>
        <w:textAlignment w:val="auto"/>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4、《财政部关于贯彻落实〈中共中央国务院关于全面实施预算绩效管理的意见〉的通知》（财预〔2018〕167号）</w:t>
      </w:r>
    </w:p>
    <w:p>
      <w:pPr>
        <w:pStyle w:val="4"/>
        <w:keepNext w:val="0"/>
        <w:keepLines w:val="0"/>
        <w:pageBreakBefore w:val="0"/>
        <w:widowControl w:val="0"/>
        <w:kinsoku/>
        <w:wordWrap/>
        <w:overflowPunct/>
        <w:topLinePunct w:val="0"/>
        <w:autoSpaceDE/>
        <w:autoSpaceDN/>
        <w:bidi w:val="0"/>
        <w:adjustRightInd/>
        <w:snapToGrid/>
        <w:spacing w:after="0" w:line="560" w:lineRule="exact"/>
        <w:ind w:firstLine="600" w:firstLineChars="200"/>
        <w:jc w:val="left"/>
        <w:textAlignment w:val="auto"/>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5、财政部《关于推进预算绩效管理的指导意见》</w:t>
      </w:r>
    </w:p>
    <w:p>
      <w:pPr>
        <w:pStyle w:val="4"/>
        <w:keepNext w:val="0"/>
        <w:keepLines w:val="0"/>
        <w:pageBreakBefore w:val="0"/>
        <w:widowControl w:val="0"/>
        <w:kinsoku/>
        <w:wordWrap/>
        <w:overflowPunct/>
        <w:topLinePunct w:val="0"/>
        <w:autoSpaceDE/>
        <w:autoSpaceDN/>
        <w:bidi w:val="0"/>
        <w:adjustRightInd/>
        <w:snapToGrid/>
        <w:spacing w:after="0" w:line="560" w:lineRule="exact"/>
        <w:ind w:firstLine="600" w:firstLineChars="200"/>
        <w:jc w:val="left"/>
        <w:textAlignment w:val="auto"/>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6、《财政部关于委托第三方机构参与预算绩效管理的指导意见》</w:t>
      </w:r>
    </w:p>
    <w:p>
      <w:pPr>
        <w:pStyle w:val="4"/>
        <w:keepNext w:val="0"/>
        <w:keepLines w:val="0"/>
        <w:pageBreakBefore w:val="0"/>
        <w:widowControl w:val="0"/>
        <w:kinsoku/>
        <w:wordWrap/>
        <w:overflowPunct/>
        <w:topLinePunct w:val="0"/>
        <w:autoSpaceDE/>
        <w:autoSpaceDN/>
        <w:bidi w:val="0"/>
        <w:adjustRightInd/>
        <w:snapToGrid/>
        <w:spacing w:after="0" w:line="560" w:lineRule="exact"/>
        <w:ind w:firstLine="600" w:firstLineChars="200"/>
        <w:jc w:val="left"/>
        <w:textAlignment w:val="auto"/>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7、财政部《关于印发〈项目支出绩效评价管理办法〉的通知》（财预〔2020〕10号）</w:t>
      </w:r>
    </w:p>
    <w:p>
      <w:pPr>
        <w:pStyle w:val="4"/>
        <w:keepNext w:val="0"/>
        <w:keepLines w:val="0"/>
        <w:pageBreakBefore w:val="0"/>
        <w:widowControl w:val="0"/>
        <w:kinsoku/>
        <w:wordWrap/>
        <w:overflowPunct/>
        <w:topLinePunct w:val="0"/>
        <w:autoSpaceDE/>
        <w:autoSpaceDN/>
        <w:bidi w:val="0"/>
        <w:adjustRightInd/>
        <w:snapToGrid/>
        <w:spacing w:after="0" w:line="560" w:lineRule="exact"/>
        <w:ind w:firstLine="600" w:firstLineChars="200"/>
        <w:jc w:val="left"/>
        <w:textAlignment w:val="auto"/>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8、财政部关于印发《财政支出绩效评价管理暂行办法》的通知财预（〔2011〕285号）</w:t>
      </w:r>
    </w:p>
    <w:p>
      <w:pPr>
        <w:pStyle w:val="4"/>
        <w:keepNext w:val="0"/>
        <w:keepLines w:val="0"/>
        <w:pageBreakBefore w:val="0"/>
        <w:widowControl w:val="0"/>
        <w:kinsoku/>
        <w:wordWrap/>
        <w:overflowPunct/>
        <w:topLinePunct w:val="0"/>
        <w:autoSpaceDE/>
        <w:autoSpaceDN/>
        <w:bidi w:val="0"/>
        <w:adjustRightInd/>
        <w:snapToGrid/>
        <w:spacing w:after="0" w:line="560" w:lineRule="exact"/>
        <w:ind w:firstLine="600" w:firstLineChars="200"/>
        <w:jc w:val="left"/>
        <w:textAlignment w:val="auto"/>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9、财政部关于印发《中央部门项目支出核心绩效目标和指标设置及取值指引（试行）》（财预〔2021〕101号）</w:t>
      </w:r>
    </w:p>
    <w:p>
      <w:pPr>
        <w:pStyle w:val="4"/>
        <w:keepNext w:val="0"/>
        <w:keepLines w:val="0"/>
        <w:pageBreakBefore w:val="0"/>
        <w:widowControl w:val="0"/>
        <w:kinsoku/>
        <w:wordWrap/>
        <w:overflowPunct/>
        <w:topLinePunct w:val="0"/>
        <w:autoSpaceDE/>
        <w:autoSpaceDN/>
        <w:bidi w:val="0"/>
        <w:adjustRightInd/>
        <w:snapToGrid/>
        <w:spacing w:after="0" w:line="560" w:lineRule="exact"/>
        <w:ind w:firstLine="600" w:firstLineChars="200"/>
        <w:jc w:val="left"/>
        <w:textAlignment w:val="auto"/>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10、《四川省财政支出绩效评价管理办法》</w:t>
      </w:r>
    </w:p>
    <w:p>
      <w:pPr>
        <w:pStyle w:val="4"/>
        <w:keepNext w:val="0"/>
        <w:keepLines w:val="0"/>
        <w:pageBreakBefore w:val="0"/>
        <w:widowControl w:val="0"/>
        <w:kinsoku/>
        <w:wordWrap/>
        <w:overflowPunct/>
        <w:topLinePunct w:val="0"/>
        <w:autoSpaceDE/>
        <w:autoSpaceDN/>
        <w:bidi w:val="0"/>
        <w:adjustRightInd/>
        <w:snapToGrid/>
        <w:spacing w:after="0" w:line="560" w:lineRule="exact"/>
        <w:ind w:firstLine="600" w:firstLineChars="200"/>
        <w:jc w:val="left"/>
        <w:textAlignment w:val="auto"/>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11、阿坝县相关法律法规、制度，其他与绩效评价工作有关的政策、制度性文件及项目预算批准文件</w:t>
      </w:r>
    </w:p>
    <w:p>
      <w:pPr>
        <w:pStyle w:val="4"/>
        <w:keepNext w:val="0"/>
        <w:keepLines w:val="0"/>
        <w:pageBreakBefore w:val="0"/>
        <w:widowControl w:val="0"/>
        <w:kinsoku/>
        <w:wordWrap/>
        <w:overflowPunct/>
        <w:topLinePunct w:val="0"/>
        <w:autoSpaceDE/>
        <w:autoSpaceDN/>
        <w:bidi w:val="0"/>
        <w:adjustRightInd/>
        <w:snapToGrid/>
        <w:spacing w:after="0" w:line="560" w:lineRule="exact"/>
        <w:ind w:firstLine="600" w:firstLineChars="200"/>
        <w:jc w:val="both"/>
        <w:textAlignment w:val="auto"/>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12、其他与本项目有关的资料等。</w:t>
      </w:r>
    </w:p>
    <w:sectPr>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rPr>
        <w:rFonts w:hint="eastAsia" w:eastAsiaTheme="minorEastAsia"/>
        <w:lang w:val="en-US" w:eastAsia="zh-CN"/>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rPr>
        <w:rFonts w:hint="eastAsia" w:eastAsiaTheme="minorEastAsia"/>
        <w:lang w:val="en-US" w:eastAsia="zh-CN"/>
      </w:rPr>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p>
                    <w:pPr>
                      <w:pStyle w:val="5"/>
                    </w:pPr>
                    <w:r>
                      <w:fldChar w:fldCharType="begin"/>
                    </w:r>
                    <w:r>
                      <w:instrText xml:space="preserve"> PAGE  \* MERGEFORMAT </w:instrText>
                    </w:r>
                    <w:r>
                      <w:fldChar w:fldCharType="separate"/>
                    </w:r>
                    <w:r>
                      <w:t>2</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rPr>
        <w:rFonts w:hint="eastAsia" w:eastAsiaTheme="minorEastAsia"/>
        <w:lang w:val="en-US" w:eastAsia="zh-CN"/>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single" w:color="auto" w:sz="4" w:space="1"/>
      </w:pBdr>
    </w:pPr>
    <w:r>
      <w:rPr>
        <w:rFonts w:hint="eastAsia" w:eastAsia="仿宋_GB2312"/>
        <w:lang w:eastAsia="zh-CN"/>
      </w:rPr>
      <w:drawing>
        <wp:inline distT="0" distB="0" distL="114300" distR="114300">
          <wp:extent cx="1327150" cy="320675"/>
          <wp:effectExtent l="0" t="0" r="635" b="3175"/>
          <wp:docPr id="3" name="图片 3" descr="青云致远"/>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青云致远"/>
                  <pic:cNvPicPr>
                    <a:picLocks noChangeAspect="1"/>
                  </pic:cNvPicPr>
                </pic:nvPicPr>
                <pic:blipFill>
                  <a:blip r:embed="rId1"/>
                  <a:stretch>
                    <a:fillRect/>
                  </a:stretch>
                </pic:blipFill>
                <pic:spPr>
                  <a:xfrm>
                    <a:off x="0" y="0"/>
                    <a:ext cx="1327150" cy="320675"/>
                  </a:xfrm>
                  <a:prstGeom prst="rect">
                    <a:avLst/>
                  </a:prstGeom>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C8BBC3D"/>
    <w:multiLevelType w:val="multilevel"/>
    <w:tmpl w:val="5C8BBC3D"/>
    <w:lvl w:ilvl="0" w:tentative="0">
      <w:start w:val="1"/>
      <w:numFmt w:val="chineseCounting"/>
      <w:suff w:val="nothing"/>
      <w:lvlText w:val="第%1章 "/>
      <w:lvlJc w:val="left"/>
      <w:pPr>
        <w:ind w:left="432" w:hanging="432"/>
      </w:pPr>
      <w:rPr>
        <w:rFonts w:hint="eastAsia"/>
      </w:rPr>
    </w:lvl>
    <w:lvl w:ilvl="1" w:tentative="0">
      <w:start w:val="1"/>
      <w:numFmt w:val="decimal"/>
      <w:isLgl/>
      <w:lvlText w:val="%1.%2."/>
      <w:lvlJc w:val="left"/>
      <w:pPr>
        <w:ind w:left="575" w:hanging="575"/>
      </w:pPr>
      <w:rPr>
        <w:rFonts w:hint="eastAsia"/>
      </w:rPr>
    </w:lvl>
    <w:lvl w:ilvl="2" w:tentative="0">
      <w:start w:val="1"/>
      <w:numFmt w:val="decimal"/>
      <w:isLgl/>
      <w:lvlText w:val="%1.%2.%3."/>
      <w:lvlJc w:val="left"/>
      <w:pPr>
        <w:ind w:left="1000" w:hanging="720"/>
      </w:pPr>
      <w:rPr>
        <w:rFonts w:hint="eastAsia"/>
      </w:rPr>
    </w:lvl>
    <w:lvl w:ilvl="3" w:tentative="0">
      <w:start w:val="1"/>
      <w:numFmt w:val="decimal"/>
      <w:pStyle w:val="3"/>
      <w:isLgl/>
      <w:lvlText w:val="%1.%2.%3.%4."/>
      <w:lvlJc w:val="left"/>
      <w:pPr>
        <w:ind w:left="864" w:hanging="864"/>
      </w:pPr>
      <w:rPr>
        <w:rFonts w:hint="eastAsia"/>
      </w:rPr>
    </w:lvl>
    <w:lvl w:ilvl="4" w:tentative="0">
      <w:start w:val="1"/>
      <w:numFmt w:val="decimal"/>
      <w:isLgl/>
      <w:lvlText w:val="%1.%2.%3.%4.%5."/>
      <w:lvlJc w:val="left"/>
      <w:pPr>
        <w:ind w:left="1008" w:hanging="1008"/>
      </w:pPr>
      <w:rPr>
        <w:rFonts w:hint="eastAsia"/>
      </w:rPr>
    </w:lvl>
    <w:lvl w:ilvl="5" w:tentative="0">
      <w:start w:val="1"/>
      <w:numFmt w:val="decimal"/>
      <w:isLgl/>
      <w:lvlText w:val="%1.%2.%3.%4.%5.%6."/>
      <w:lvlJc w:val="left"/>
      <w:pPr>
        <w:ind w:left="1151" w:hanging="1151"/>
      </w:pPr>
      <w:rPr>
        <w:rFonts w:hint="eastAsia"/>
      </w:rPr>
    </w:lvl>
    <w:lvl w:ilvl="6" w:tentative="0">
      <w:start w:val="1"/>
      <w:numFmt w:val="decimal"/>
      <w:isLgl/>
      <w:lvlText w:val="%1.%2.%3.%4.%5.%6.%7."/>
      <w:lvlJc w:val="left"/>
      <w:pPr>
        <w:ind w:left="1296" w:hanging="1296"/>
      </w:pPr>
      <w:rPr>
        <w:rFonts w:hint="eastAsia"/>
      </w:rPr>
    </w:lvl>
    <w:lvl w:ilvl="7" w:tentative="0">
      <w:start w:val="1"/>
      <w:numFmt w:val="decimal"/>
      <w:isLgl/>
      <w:lvlText w:val="%1.%2.%3.%4.%5.%6.%7.%8."/>
      <w:lvlJc w:val="left"/>
      <w:pPr>
        <w:ind w:left="1440" w:hanging="1440"/>
      </w:pPr>
      <w:rPr>
        <w:rFonts w:hint="eastAsia"/>
      </w:rPr>
    </w:lvl>
    <w:lvl w:ilvl="8" w:tentative="0">
      <w:start w:val="1"/>
      <w:numFmt w:val="decimal"/>
      <w:isLgl/>
      <w:lvlText w:val="%1.%2.%3.%4.%5.%6.%7.%8.%9."/>
      <w:lvlJc w:val="left"/>
      <w:pPr>
        <w:ind w:left="1583" w:hanging="1583"/>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JiZGUzYzJlMzUwZmIzYTg1ZDNhMjVmZjI3NzYwMTUifQ=="/>
  </w:docVars>
  <w:rsids>
    <w:rsidRoot w:val="3B8D2047"/>
    <w:rsid w:val="02DA533C"/>
    <w:rsid w:val="05F92191"/>
    <w:rsid w:val="0BB13CA2"/>
    <w:rsid w:val="0F3958A9"/>
    <w:rsid w:val="0FE6636B"/>
    <w:rsid w:val="10DD5867"/>
    <w:rsid w:val="1EFE189D"/>
    <w:rsid w:val="1F8B59A1"/>
    <w:rsid w:val="23466422"/>
    <w:rsid w:val="26A4689B"/>
    <w:rsid w:val="28F42F92"/>
    <w:rsid w:val="3042199C"/>
    <w:rsid w:val="327A2455"/>
    <w:rsid w:val="342104FD"/>
    <w:rsid w:val="38A31D7D"/>
    <w:rsid w:val="390300B7"/>
    <w:rsid w:val="39D90CC7"/>
    <w:rsid w:val="39E94459"/>
    <w:rsid w:val="3A3B5BEB"/>
    <w:rsid w:val="3B8D2047"/>
    <w:rsid w:val="3C5E7FC0"/>
    <w:rsid w:val="3C683A70"/>
    <w:rsid w:val="3DAC2446"/>
    <w:rsid w:val="456A7941"/>
    <w:rsid w:val="467513C6"/>
    <w:rsid w:val="4A096D61"/>
    <w:rsid w:val="4D180A77"/>
    <w:rsid w:val="4FF97A1B"/>
    <w:rsid w:val="511059C3"/>
    <w:rsid w:val="54E57286"/>
    <w:rsid w:val="55E9494E"/>
    <w:rsid w:val="55F5089E"/>
    <w:rsid w:val="5EB71960"/>
    <w:rsid w:val="60DF1D6B"/>
    <w:rsid w:val="65821E83"/>
    <w:rsid w:val="66205F7D"/>
    <w:rsid w:val="6ACD73B0"/>
    <w:rsid w:val="6B9F3430"/>
    <w:rsid w:val="6D8E771F"/>
    <w:rsid w:val="6E7445B1"/>
    <w:rsid w:val="71B23794"/>
    <w:rsid w:val="74BC73A8"/>
    <w:rsid w:val="75B91D0B"/>
    <w:rsid w:val="75C073B9"/>
    <w:rsid w:val="75F55735"/>
    <w:rsid w:val="796B5189"/>
    <w:rsid w:val="7DCD67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qFormat="1"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4"/>
    <w:basedOn w:val="1"/>
    <w:next w:val="1"/>
    <w:unhideWhenUsed/>
    <w:qFormat/>
    <w:uiPriority w:val="0"/>
    <w:pPr>
      <w:numPr>
        <w:ilvl w:val="3"/>
        <w:numId w:val="1"/>
      </w:numPr>
      <w:spacing w:after="50" w:line="240" w:lineRule="auto"/>
      <w:ind w:left="864" w:hanging="864" w:firstLineChars="0"/>
      <w:jc w:val="center"/>
      <w:outlineLvl w:val="3"/>
    </w:pPr>
    <w:rPr>
      <w:rFonts w:ascii="Arial" w:hAnsi="Arial"/>
      <w:b/>
      <w:bCs/>
      <w:sz w:val="21"/>
      <w:szCs w:val="28"/>
    </w:rPr>
  </w:style>
  <w:style w:type="character" w:default="1" w:styleId="13">
    <w:name w:val="Default Paragraph Font"/>
    <w:semiHidden/>
    <w:qFormat/>
    <w:uiPriority w:val="0"/>
  </w:style>
  <w:style w:type="table" w:default="1" w:styleId="11">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spacing w:line="324" w:lineRule="auto"/>
      <w:ind w:firstLine="504"/>
    </w:pPr>
    <w:rPr>
      <w:snapToGrid w:val="0"/>
      <w:spacing w:val="6"/>
      <w:kern w:val="28"/>
    </w:rPr>
  </w:style>
  <w:style w:type="paragraph" w:styleId="4">
    <w:name w:val="Body Text"/>
    <w:basedOn w:val="1"/>
    <w:autoRedefine/>
    <w:qFormat/>
    <w:uiPriority w:val="0"/>
    <w:pPr>
      <w:spacing w:after="120" w:afterLines="0" w:afterAutospacing="0"/>
    </w:pPr>
  </w:style>
  <w:style w:type="paragraph" w:styleId="5">
    <w:name w:val="footer"/>
    <w:basedOn w:val="1"/>
    <w:autoRedefine/>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toc 1"/>
    <w:basedOn w:val="1"/>
    <w:next w:val="1"/>
    <w:qFormat/>
    <w:uiPriority w:val="0"/>
  </w:style>
  <w:style w:type="paragraph" w:styleId="8">
    <w:name w:val="table of figures"/>
    <w:basedOn w:val="1"/>
    <w:next w:val="1"/>
    <w:autoRedefine/>
    <w:unhideWhenUsed/>
    <w:qFormat/>
    <w:uiPriority w:val="0"/>
    <w:pPr>
      <w:spacing w:line="360" w:lineRule="auto"/>
      <w:ind w:left="720" w:hanging="720"/>
    </w:pPr>
    <w:rPr>
      <w:rFonts w:eastAsia="黑体"/>
      <w:smallCaps/>
      <w:sz w:val="20"/>
    </w:rPr>
  </w:style>
  <w:style w:type="paragraph" w:styleId="9">
    <w:name w:val="toc 2"/>
    <w:basedOn w:val="1"/>
    <w:next w:val="1"/>
    <w:autoRedefine/>
    <w:qFormat/>
    <w:uiPriority w:val="0"/>
    <w:pPr>
      <w:ind w:left="420" w:leftChars="200"/>
    </w:pPr>
  </w:style>
  <w:style w:type="paragraph" w:styleId="10">
    <w:name w:val="Normal (Web)"/>
    <w:basedOn w:val="1"/>
    <w:autoRedefine/>
    <w:qFormat/>
    <w:uiPriority w:val="0"/>
    <w:pPr>
      <w:spacing w:before="0" w:beforeAutospacing="1" w:after="0" w:afterAutospacing="1"/>
      <w:ind w:left="0" w:right="0"/>
      <w:jc w:val="left"/>
    </w:pPr>
    <w:rPr>
      <w:kern w:val="0"/>
      <w:sz w:val="24"/>
      <w:lang w:val="en-US" w:eastAsia="zh-CN" w:bidi="ar"/>
    </w:rPr>
  </w:style>
  <w:style w:type="table" w:styleId="12">
    <w:name w:val="Table Grid"/>
    <w:basedOn w:val="11"/>
    <w:autoRedefine/>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4">
    <w:name w:val="WPSOffice手动目录 1"/>
    <w:autoRedefine/>
    <w:qFormat/>
    <w:uiPriority w:val="0"/>
    <w:pPr>
      <w:ind w:leftChars="0"/>
    </w:pPr>
    <w:rPr>
      <w:rFonts w:ascii="Times New Roman" w:hAnsi="Times New Roman" w:eastAsia="宋体" w:cs="Times New Roman"/>
      <w:sz w:val="20"/>
      <w:szCs w:val="20"/>
    </w:rPr>
  </w:style>
  <w:style w:type="paragraph" w:customStyle="1" w:styleId="15">
    <w:name w:val="WPSOffice手动目录 2"/>
    <w:autoRedefine/>
    <w:qFormat/>
    <w:uiPriority w:val="0"/>
    <w:pPr>
      <w:ind w:leftChars="20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34</Pages>
  <Words>17395</Words>
  <Characters>18199</Characters>
  <Lines>0</Lines>
  <Paragraphs>0</Paragraphs>
  <TotalTime>2</TotalTime>
  <ScaleCrop>false</ScaleCrop>
  <LinksUpToDate>false</LinksUpToDate>
  <CharactersWithSpaces>18327</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2023-04-05T07:58:00Z</dcterms:created>
  <dc:creator>城外风雨</dc:creator>
  <cp:lastModifiedBy>城外风雨</cp:lastModifiedBy>
  <dcterms:modified xsi:type="dcterms:W3CDTF">2024-01-09T07:02:34Z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02484781AB254DE0B3621FFAFEA866CE_13</vt:lpwstr>
  </property>
</Properties>
</file>