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left="0" w:leftChars="0" w:firstLine="0" w:firstLineChars="0"/>
        <w:jc w:val="both"/>
        <w:rPr>
          <w:rFonts w:ascii="Times New Roman" w:hAnsi="Times New Roman" w:cs="Times New Roman"/>
          <w:sz w:val="20"/>
        </w:rPr>
      </w:pPr>
      <w:bookmarkStart w:id="95" w:name="_GoBack"/>
      <w:bookmarkEnd w:id="95"/>
      <w:r>
        <mc:AlternateContent>
          <mc:Choice Requires="wps">
            <w:drawing>
              <wp:anchor distT="0" distB="0" distL="114300" distR="114300" simplePos="0" relativeHeight="251660288" behindDoc="0" locked="0" layoutInCell="1" allowOverlap="1">
                <wp:simplePos x="0" y="0"/>
                <wp:positionH relativeFrom="column">
                  <wp:posOffset>1178560</wp:posOffset>
                </wp:positionH>
                <wp:positionV relativeFrom="paragraph">
                  <wp:posOffset>-43180</wp:posOffset>
                </wp:positionV>
                <wp:extent cx="540385" cy="1064260"/>
                <wp:effectExtent l="0" t="0" r="0" b="0"/>
                <wp:wrapNone/>
                <wp:docPr id="8" name="矩形 8"/>
                <wp:cNvGraphicFramePr/>
                <a:graphic xmlns:a="http://schemas.openxmlformats.org/drawingml/2006/main">
                  <a:graphicData uri="http://schemas.microsoft.com/office/word/2010/wordprocessingShape">
                    <wps:wsp>
                      <wps:cNvSpPr/>
                      <wps:spPr>
                        <a:xfrm flipH="1">
                          <a:off x="0" y="0"/>
                          <a:ext cx="540385" cy="1064260"/>
                        </a:xfrm>
                        <a:prstGeom prst="rect">
                          <a:avLst/>
                        </a:prstGeom>
                        <a:noFill/>
                        <a:ln>
                          <a:noFill/>
                        </a:ln>
                      </wps:spPr>
                      <wps:txbx>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wps:txbx>
                      <wps:bodyPr anchor="ctr" anchorCtr="0" upright="1">
                        <a:spAutoFit/>
                      </wps:bodyPr>
                    </wps:wsp>
                  </a:graphicData>
                </a:graphic>
              </wp:anchor>
            </w:drawing>
          </mc:Choice>
          <mc:Fallback>
            <w:pict>
              <v:rect id="_x0000_s1026" o:spid="_x0000_s1026" o:spt="1" style="position:absolute;left:0pt;flip:x;margin-left:92.8pt;margin-top:-3.4pt;height:83.8pt;width:42.55pt;z-index:251660288;v-text-anchor:middle;mso-width-relative:page;mso-height-relative:page;" filled="f" stroked="f" coordsize="21600,21600" o:gfxdata="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CC5HZm1gAAAAoBAAAPAAAAAAAAAAEAIAAAADgAAABkcnMvZG93bnJldi54bWxQSwEC&#10;FAAUAAAACACHTuJAGEKVlacBAAAyAwAADgAAAAAAAAABACAAAAA7AQAAZHJzL2Uyb0RvYy54bWxQ&#10;SwUGAAAAAAYABgBZAQAAVAUAAAAA&#10;">
                <v:fill on="f" focussize="0,0"/>
                <v:stroke on="f"/>
                <v:imagedata o:title=""/>
                <o:lock v:ext="edit" aspectratio="f"/>
                <v:textbox style="mso-fit-shape-to-text:t;">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v:textbox>
              </v:rect>
            </w:pict>
          </mc:Fallback>
        </mc:AlternateContent>
      </w:r>
      <w:r>
        <w:drawing>
          <wp:inline distT="0" distB="0" distL="114300" distR="114300">
            <wp:extent cx="1209040" cy="1215390"/>
            <wp:effectExtent l="0" t="0" r="10160" b="3810"/>
            <wp:docPr id="9" name="图片 1" descr="40298525532955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402985255329551457"/>
                    <pic:cNvPicPr>
                      <a:picLocks noChangeAspect="1"/>
                    </pic:cNvPicPr>
                  </pic:nvPicPr>
                  <pic:blipFill>
                    <a:blip r:embed="rId12"/>
                    <a:stretch>
                      <a:fillRect/>
                    </a:stretch>
                  </pic:blipFill>
                  <pic:spPr>
                    <a:xfrm>
                      <a:off x="0" y="0"/>
                      <a:ext cx="1209040" cy="1215390"/>
                    </a:xfrm>
                    <a:prstGeom prst="rect">
                      <a:avLst/>
                    </a:prstGeom>
                    <a:solidFill>
                      <a:srgbClr val="FFFFFF"/>
                    </a:solidFill>
                    <a:ln>
                      <a:noFill/>
                    </a:ln>
                  </pic:spPr>
                </pic:pic>
              </a:graphicData>
            </a:graphic>
          </wp:inline>
        </w:drawing>
      </w:r>
    </w:p>
    <w:p>
      <w:pPr>
        <w:widowControl/>
        <w:spacing w:after="172" w:line="259" w:lineRule="auto"/>
        <w:ind w:firstLine="0" w:firstLineChars="0"/>
        <w:jc w:val="both"/>
        <w:rPr>
          <w:rFonts w:hint="default" w:ascii="Times New Roman" w:hAnsi="Times New Roman" w:cs="Times New Roman"/>
          <w:b/>
          <w:bCs/>
          <w:sz w:val="32"/>
          <w:szCs w:val="32"/>
          <w:lang w:eastAsia="zh-CN"/>
        </w:rPr>
      </w:pPr>
    </w:p>
    <w:p>
      <w:pPr>
        <w:pStyle w:val="34"/>
        <w:rPr>
          <w:rFonts w:hint="default" w:ascii="Times New Roman" w:hAnsi="Times New Roman" w:cs="Times New Roman"/>
          <w:b/>
          <w:bCs/>
          <w:sz w:val="32"/>
          <w:szCs w:val="32"/>
          <w:lang w:eastAsia="zh-CN"/>
        </w:rPr>
      </w:pPr>
    </w:p>
    <w:p>
      <w:pPr>
        <w:rPr>
          <w:rFonts w:hint="default" w:ascii="Times New Roman" w:hAnsi="Times New Roman" w:cs="Times New Roman"/>
          <w:b/>
          <w:bCs/>
          <w:sz w:val="32"/>
          <w:szCs w:val="32"/>
          <w:lang w:eastAsia="zh-CN"/>
        </w:rPr>
      </w:pPr>
    </w:p>
    <w:p>
      <w:pPr>
        <w:pStyle w:val="12"/>
        <w:rPr>
          <w:rFonts w:hint="default" w:ascii="Times New Roman" w:hAnsi="Times New Roman" w:cs="Times New Roman"/>
          <w:b/>
          <w:bCs/>
          <w:sz w:val="32"/>
          <w:szCs w:val="32"/>
          <w:lang w:eastAsia="zh-CN"/>
        </w:rPr>
      </w:pPr>
    </w:p>
    <w:p>
      <w:pPr>
        <w:rPr>
          <w:rFonts w:hint="default"/>
          <w:lang w:eastAsia="zh-CN"/>
        </w:rPr>
      </w:pPr>
    </w:p>
    <w:p>
      <w:pPr>
        <w:pStyle w:val="34"/>
        <w:rPr>
          <w:rFonts w:hint="default" w:ascii="Times New Roman" w:hAnsi="Times New Roman" w:cs="Times New Roman"/>
          <w:b/>
          <w:bCs/>
          <w:sz w:val="32"/>
          <w:szCs w:val="32"/>
          <w:lang w:eastAsia="zh-CN"/>
        </w:rPr>
      </w:pPr>
    </w:p>
    <w:p>
      <w:pPr>
        <w:jc w:val="center"/>
        <w:rPr>
          <w:rFonts w:hint="default"/>
          <w:sz w:val="32"/>
          <w:szCs w:val="32"/>
          <w:lang w:eastAsia="zh-CN"/>
        </w:rPr>
      </w:pPr>
    </w:p>
    <w:p>
      <w:pPr>
        <w:pStyle w:val="24"/>
        <w:autoSpaceDE w:val="0"/>
        <w:autoSpaceDN w:val="0"/>
        <w:spacing w:line="600" w:lineRule="exact"/>
        <w:ind w:firstLine="0" w:firstLineChars="0"/>
        <w:jc w:val="center"/>
        <w:rPr>
          <w:rFonts w:hint="eastAsia" w:ascii="Times New Roman" w:hAnsi="Times New Roman" w:eastAsia="方正小标宋简体" w:cs="Times New Roman"/>
          <w:b w:val="0"/>
          <w:bCs w:val="0"/>
          <w:kern w:val="0"/>
          <w:sz w:val="44"/>
          <w:szCs w:val="44"/>
          <w:lang w:val="en-US" w:eastAsia="zh-CN" w:bidi="zh-CN"/>
        </w:rPr>
      </w:pPr>
      <w:r>
        <w:rPr>
          <w:rFonts w:hint="eastAsia" w:ascii="Times New Roman" w:hAnsi="Times New Roman" w:eastAsia="方正小标宋简体" w:cs="Times New Roman"/>
          <w:b w:val="0"/>
          <w:bCs w:val="0"/>
          <w:kern w:val="0"/>
          <w:sz w:val="44"/>
          <w:szCs w:val="44"/>
          <w:lang w:val="en-US" w:eastAsia="zh-CN" w:bidi="zh-CN"/>
        </w:rPr>
        <w:t>阿坝县审计局</w:t>
      </w:r>
    </w:p>
    <w:p>
      <w:pPr>
        <w:pStyle w:val="24"/>
        <w:autoSpaceDE w:val="0"/>
        <w:autoSpaceDN w:val="0"/>
        <w:spacing w:line="600" w:lineRule="exact"/>
        <w:ind w:firstLine="0" w:firstLineChars="0"/>
        <w:jc w:val="center"/>
        <w:rPr>
          <w:rFonts w:hint="eastAsia" w:ascii="Times New Roman" w:hAnsi="Times New Roman" w:eastAsia="方正小标宋简体" w:cs="Times New Roman"/>
          <w:b w:val="0"/>
          <w:bCs w:val="0"/>
          <w:kern w:val="0"/>
          <w:sz w:val="44"/>
          <w:szCs w:val="44"/>
          <w:lang w:bidi="zh-CN"/>
        </w:rPr>
      </w:pPr>
      <w:r>
        <w:rPr>
          <w:rFonts w:hint="eastAsia" w:ascii="Times New Roman" w:hAnsi="Times New Roman" w:eastAsia="方正小标宋简体" w:cs="Times New Roman"/>
          <w:b w:val="0"/>
          <w:bCs w:val="0"/>
          <w:kern w:val="0"/>
          <w:sz w:val="44"/>
          <w:szCs w:val="44"/>
          <w:lang w:val="en-US" w:eastAsia="zh-CN" w:bidi="zh-CN"/>
        </w:rPr>
        <w:t>2022年部门整体支出</w:t>
      </w:r>
      <w:r>
        <w:rPr>
          <w:rFonts w:hint="eastAsia" w:ascii="Times New Roman" w:hAnsi="Times New Roman" w:eastAsia="方正小标宋简体" w:cs="Times New Roman"/>
          <w:b w:val="0"/>
          <w:bCs w:val="0"/>
          <w:kern w:val="0"/>
          <w:sz w:val="44"/>
          <w:szCs w:val="44"/>
          <w:lang w:bidi="zh-CN"/>
        </w:rPr>
        <w:t>绩效评价报告</w:t>
      </w:r>
    </w:p>
    <w:p>
      <w:pPr>
        <w:spacing w:after="0" w:line="240" w:lineRule="auto"/>
        <w:ind w:left="0" w:leftChars="0" w:firstLine="0" w:firstLineChars="0"/>
        <w:jc w:val="center"/>
        <w:rPr>
          <w:rFonts w:hint="default" w:ascii="黑体" w:hAnsi="黑体" w:eastAsia="黑体" w:cs="Times New Roman"/>
          <w:b/>
          <w:sz w:val="32"/>
          <w:szCs w:val="32"/>
        </w:rPr>
      </w:pPr>
      <w:r>
        <w:rPr>
          <w:rFonts w:hint="default" w:ascii="黑体" w:hAnsi="黑体" w:eastAsia="黑体" w:cs="Times New Roman"/>
          <w:b/>
          <w:sz w:val="32"/>
          <w:szCs w:val="32"/>
        </w:rPr>
        <w:t>川</w:t>
      </w:r>
      <w:r>
        <w:rPr>
          <w:rFonts w:hint="default" w:ascii="黑体" w:hAnsi="黑体" w:eastAsia="黑体" w:cs="Times New Roman"/>
          <w:b/>
          <w:sz w:val="32"/>
          <w:szCs w:val="32"/>
          <w:lang w:val="en-US" w:eastAsia="zh-CN"/>
        </w:rPr>
        <w:t>融策</w:t>
      </w:r>
      <w:r>
        <w:rPr>
          <w:rFonts w:hint="default" w:ascii="黑体" w:hAnsi="黑体" w:eastAsia="黑体" w:cs="Times New Roman"/>
          <w:b/>
          <w:sz w:val="32"/>
          <w:szCs w:val="32"/>
        </w:rPr>
        <w:t>绩评〔202</w:t>
      </w:r>
      <w:r>
        <w:rPr>
          <w:rFonts w:hint="default" w:ascii="黑体" w:hAnsi="黑体" w:eastAsia="黑体" w:cs="Times New Roman"/>
          <w:b/>
          <w:sz w:val="32"/>
          <w:szCs w:val="32"/>
          <w:lang w:val="en-US" w:eastAsia="zh-CN"/>
        </w:rPr>
        <w:t>3</w:t>
      </w:r>
      <w:r>
        <w:rPr>
          <w:rFonts w:hint="default" w:ascii="黑体" w:hAnsi="黑体" w:eastAsia="黑体" w:cs="Times New Roman"/>
          <w:b/>
          <w:sz w:val="32"/>
          <w:szCs w:val="32"/>
        </w:rPr>
        <w:t>〕第</w:t>
      </w:r>
      <w:r>
        <w:rPr>
          <w:rFonts w:hint="eastAsia" w:ascii="黑体" w:hAnsi="黑体" w:eastAsia="黑体" w:cs="Times New Roman"/>
          <w:b/>
          <w:sz w:val="32"/>
          <w:szCs w:val="32"/>
          <w:lang w:val="en-US" w:eastAsia="zh-CN"/>
        </w:rPr>
        <w:t>× ×</w:t>
      </w:r>
      <w:r>
        <w:rPr>
          <w:rFonts w:hint="default" w:ascii="黑体" w:hAnsi="黑体" w:eastAsia="黑体" w:cs="Times New Roman"/>
          <w:b/>
          <w:sz w:val="32"/>
          <w:szCs w:val="32"/>
        </w:rPr>
        <w:t>号</w:t>
      </w:r>
    </w:p>
    <w:p>
      <w:pPr>
        <w:pStyle w:val="24"/>
        <w:rPr>
          <w:rFonts w:hint="default" w:ascii="Times New Roman" w:hAnsi="Times New Roman" w:cs="Times New Roman"/>
          <w:sz w:val="32"/>
          <w:szCs w:val="32"/>
        </w:rPr>
      </w:pPr>
    </w:p>
    <w:p>
      <w:pPr>
        <w:pStyle w:val="24"/>
        <w:rPr>
          <w:rFonts w:hint="default" w:ascii="Times New Roman" w:hAnsi="Times New Roman" w:cs="Times New Roman"/>
          <w:sz w:val="32"/>
          <w:szCs w:val="32"/>
        </w:rPr>
      </w:pPr>
    </w:p>
    <w:p>
      <w:pPr>
        <w:pStyle w:val="24"/>
        <w:ind w:left="0" w:leftChars="0" w:firstLine="0" w:firstLineChars="0"/>
        <w:rPr>
          <w:rFonts w:hint="default" w:ascii="Times New Roman" w:hAnsi="Times New Roman" w:cs="Times New Roman"/>
          <w:sz w:val="32"/>
          <w:szCs w:val="32"/>
        </w:rPr>
      </w:pPr>
    </w:p>
    <w:p>
      <w:pPr>
        <w:autoSpaceDE w:val="0"/>
        <w:autoSpaceDN w:val="0"/>
        <w:spacing w:line="600" w:lineRule="exact"/>
        <w:ind w:firstLine="0" w:firstLineChars="0"/>
        <w:jc w:val="center"/>
        <w:rPr>
          <w:rFonts w:ascii="Times New Roman" w:hAnsi="Times New Roman" w:eastAsia="黑体" w:cs="Times New Roman"/>
          <w:b/>
          <w:bCs/>
          <w:color w:val="000000"/>
          <w:w w:val="90"/>
          <w:kern w:val="0"/>
          <w:sz w:val="44"/>
          <w:szCs w:val="44"/>
          <w:lang w:val="zh-CN" w:bidi="zh-CN"/>
        </w:rPr>
      </w:pPr>
      <w:r>
        <w:rPr>
          <w:rFonts w:ascii="Times New Roman" w:hAnsi="Times New Roman" w:eastAsia="黑体" w:cs="Times New Roman"/>
          <w:b/>
          <w:bCs/>
          <w:color w:val="000000"/>
          <w:w w:val="90"/>
          <w:kern w:val="0"/>
          <w:sz w:val="44"/>
          <w:szCs w:val="44"/>
          <w:lang w:val="zh-CN" w:bidi="zh-CN"/>
        </w:rPr>
        <w:t>四 川 融 策 会 计 师 事 务 所 有 限 公 司</w:t>
      </w:r>
    </w:p>
    <w:p>
      <w:pPr>
        <w:spacing w:line="600" w:lineRule="exact"/>
        <w:ind w:firstLine="0" w:firstLineChars="0"/>
        <w:jc w:val="center"/>
        <w:rPr>
          <w:rFonts w:ascii="Times New Roman" w:hAnsi="Times New Roman" w:eastAsia="黑体" w:cs="Times New Roman"/>
          <w:b/>
          <w:bCs/>
          <w:color w:val="000000"/>
          <w:sz w:val="44"/>
          <w:szCs w:val="44"/>
          <w:lang w:val="en-US"/>
        </w:rPr>
      </w:pPr>
      <w:r>
        <w:rPr>
          <w:rFonts w:ascii="Times New Roman" w:hAnsi="Times New Roman" w:eastAsia="黑体" w:cs="Times New Roman"/>
          <w:b/>
          <w:bCs/>
          <w:color w:val="000000"/>
          <w:sz w:val="44"/>
          <w:szCs w:val="44"/>
          <w:lang w:val="en-US"/>
        </w:rPr>
        <w:t>Sichuan Rongce Accounting Firm Co</w:t>
      </w:r>
      <w:r>
        <w:rPr>
          <w:rFonts w:hint="eastAsia" w:ascii="Times New Roman" w:hAnsi="Times New Roman" w:eastAsia="黑体" w:cs="Times New Roman"/>
          <w:b/>
          <w:bCs/>
          <w:color w:val="000000"/>
          <w:sz w:val="44"/>
          <w:szCs w:val="44"/>
          <w:lang w:val="en-US"/>
        </w:rPr>
        <w:t>.</w:t>
      </w:r>
      <w:r>
        <w:rPr>
          <w:rFonts w:ascii="Times New Roman" w:hAnsi="Times New Roman" w:eastAsia="黑体" w:cs="Times New Roman"/>
          <w:b/>
          <w:bCs/>
          <w:color w:val="000000"/>
          <w:sz w:val="44"/>
          <w:szCs w:val="44"/>
          <w:lang w:val="en-US"/>
        </w:rPr>
        <w:t xml:space="preserve"> Ltd</w:t>
      </w:r>
    </w:p>
    <w:p>
      <w:pPr>
        <w:spacing w:line="240" w:lineRule="auto"/>
        <w:ind w:firstLine="0" w:firstLineChars="0"/>
        <w:jc w:val="center"/>
        <w:rPr>
          <w:rFonts w:hint="eastAsia" w:ascii="Times New Roman" w:hAnsi="Times New Roman" w:eastAsia="黑体" w:cs="Times New Roman"/>
          <w:b/>
          <w:bCs/>
          <w:color w:val="000000"/>
          <w:sz w:val="44"/>
          <w:szCs w:val="44"/>
        </w:rPr>
      </w:pPr>
      <w:r>
        <w:rPr>
          <w:rFonts w:ascii="Times New Roman" w:hAnsi="Times New Roman" w:eastAsia="黑体" w:cs="Times New Roman"/>
          <w:b/>
          <w:bCs/>
          <w:color w:val="000000"/>
          <w:sz w:val="44"/>
          <w:szCs w:val="44"/>
        </w:rPr>
        <w:t>202</w:t>
      </w:r>
      <w:r>
        <w:rPr>
          <w:rFonts w:hint="eastAsia" w:ascii="Times New Roman" w:hAnsi="Times New Roman" w:eastAsia="黑体" w:cs="Times New Roman"/>
          <w:b/>
          <w:bCs/>
          <w:color w:val="000000"/>
          <w:sz w:val="44"/>
          <w:szCs w:val="44"/>
          <w:lang w:val="en-US"/>
        </w:rPr>
        <w:t>3</w:t>
      </w:r>
      <w:r>
        <w:rPr>
          <w:rFonts w:ascii="Times New Roman" w:hAnsi="Times New Roman" w:eastAsia="黑体" w:cs="Times New Roman"/>
          <w:b/>
          <w:bCs/>
          <w:color w:val="000000"/>
          <w:sz w:val="44"/>
          <w:szCs w:val="44"/>
        </w:rPr>
        <w:t>年</w:t>
      </w:r>
      <w:r>
        <w:rPr>
          <w:rFonts w:hint="eastAsia" w:ascii="Times New Roman" w:hAnsi="Times New Roman" w:eastAsia="黑体" w:cs="Times New Roman"/>
          <w:b/>
          <w:bCs/>
          <w:color w:val="000000"/>
          <w:sz w:val="44"/>
          <w:szCs w:val="44"/>
          <w:lang w:val="en-US" w:eastAsia="zh-CN"/>
        </w:rPr>
        <w:t>11</w:t>
      </w:r>
      <w:r>
        <w:rPr>
          <w:rFonts w:ascii="Times New Roman" w:hAnsi="Times New Roman" w:eastAsia="黑体" w:cs="Times New Roman"/>
          <w:b/>
          <w:bCs/>
          <w:color w:val="000000"/>
          <w:sz w:val="44"/>
          <w:szCs w:val="44"/>
        </w:rPr>
        <w:t>月</w:t>
      </w:r>
      <w:r>
        <w:rPr>
          <w:rFonts w:hint="eastAsia" w:eastAsia="黑体" w:cs="Times New Roman"/>
          <w:b/>
          <w:bCs/>
          <w:color w:val="000000"/>
          <w:sz w:val="44"/>
          <w:szCs w:val="44"/>
          <w:lang w:val="en-US" w:eastAsia="zh-CN"/>
        </w:rPr>
        <w:t>30</w:t>
      </w:r>
      <w:r>
        <w:rPr>
          <w:rFonts w:ascii="Times New Roman" w:hAnsi="Times New Roman" w:eastAsia="黑体" w:cs="Times New Roman"/>
          <w:b/>
          <w:bCs/>
          <w:color w:val="000000"/>
          <w:sz w:val="44"/>
          <w:szCs w:val="44"/>
        </w:rPr>
        <w:t>日</w:t>
      </w:r>
    </w:p>
    <w:p>
      <w:pPr>
        <w:spacing w:line="240" w:lineRule="auto"/>
        <w:ind w:firstLine="0" w:firstLineChars="0"/>
        <w:jc w:val="center"/>
        <w:rPr>
          <w:rFonts w:hint="eastAsia" w:ascii="Times New Roman" w:hAnsi="Times New Roman" w:eastAsia="黑体" w:cs="Times New Roman"/>
          <w:b/>
          <w:bCs/>
          <w:color w:val="000000"/>
          <w:sz w:val="44"/>
          <w:szCs w:val="44"/>
        </w:rPr>
        <w:sectPr>
          <w:headerReference r:id="rId5" w:type="default"/>
          <w:footerReference r:id="rId6" w:type="default"/>
          <w:footerReference r:id="rId7" w:type="even"/>
          <w:type w:val="continuous"/>
          <w:pgSz w:w="11906" w:h="16838"/>
          <w:pgMar w:top="1417" w:right="1417" w:bottom="1417" w:left="1417" w:header="851" w:footer="992" w:gutter="283"/>
          <w:pgBorders>
            <w:top w:val="none" w:sz="0" w:space="0"/>
            <w:left w:val="none" w:sz="0" w:space="0"/>
            <w:bottom w:val="none" w:sz="0" w:space="0"/>
            <w:right w:val="none" w:sz="0" w:space="0"/>
          </w:pgBorders>
          <w:cols w:space="720" w:num="1"/>
          <w:docGrid w:type="lines" w:linePitch="318" w:charSpace="0"/>
        </w:sectPr>
      </w:pPr>
    </w:p>
    <w:p>
      <w:pPr>
        <w:keepNext w:val="0"/>
        <w:keepLines w:val="0"/>
        <w:pageBreakBefore w:val="0"/>
        <w:widowControl/>
        <w:tabs>
          <w:tab w:val="right" w:leader="dot" w:pos="8786"/>
        </w:tabs>
        <w:kinsoku/>
        <w:wordWrap/>
        <w:overflowPunct/>
        <w:topLinePunct w:val="0"/>
        <w:autoSpaceDE/>
        <w:autoSpaceDN/>
        <w:bidi w:val="0"/>
        <w:adjustRightInd/>
        <w:snapToGrid w:val="0"/>
        <w:spacing w:line="600" w:lineRule="atLeast"/>
        <w:ind w:firstLine="0" w:firstLineChars="0"/>
        <w:jc w:val="center"/>
        <w:textAlignment w:val="auto"/>
        <w:rPr>
          <w:rFonts w:hint="eastAsia" w:ascii="仿宋_GB2312" w:hAnsi="仿宋_GB2312" w:eastAsia="仿宋_GB2312" w:cs="仿宋_GB2312"/>
          <w:bCs w:val="0"/>
          <w:kern w:val="2"/>
          <w:sz w:val="24"/>
          <w:szCs w:val="28"/>
          <w:lang w:val="en-US" w:eastAsia="zh-CN" w:bidi="ar-SA"/>
        </w:rPr>
      </w:pPr>
      <w:r>
        <w:rPr>
          <w:rFonts w:hint="default" w:ascii="Times New Roman" w:hAnsi="Times New Roman" w:eastAsia="黑体" w:cs="Times New Roman"/>
          <w:b/>
          <w:bCs w:val="0"/>
          <w:sz w:val="36"/>
          <w:szCs w:val="36"/>
        </w:rPr>
        <w:t>目  录</w:t>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TOC \o "1-4" \h \z \u </w:instrText>
      </w:r>
      <w:r>
        <w:rPr>
          <w:rFonts w:hint="eastAsia" w:ascii="仿宋_GB2312" w:hAnsi="仿宋_GB2312" w:eastAsia="仿宋_GB2312" w:cs="仿宋_GB2312"/>
          <w:b w:val="0"/>
          <w:bCs w:val="0"/>
          <w:sz w:val="28"/>
          <w:szCs w:val="28"/>
        </w:rPr>
        <w:fldChar w:fldCharType="separate"/>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_Toc11092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摘  要</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_Toc11092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_Toc19395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一、部门概况</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_Toc19395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_Toc13650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（一）部门机构设置、编制、职责</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_Toc13650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_Toc14084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部门机构设置</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_Toc14084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_Toc23041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lang w:val="en-US" w:eastAsia="zh-CN"/>
        </w:rPr>
        <w:t>2</w:t>
      </w:r>
      <w:r>
        <w:rPr>
          <w:rFonts w:hint="eastAsia" w:ascii="仿宋_GB2312" w:hAnsi="仿宋_GB2312" w:eastAsia="仿宋_GB2312" w:cs="仿宋_GB2312"/>
          <w:bCs/>
          <w:sz w:val="28"/>
          <w:szCs w:val="28"/>
          <w:highlight w:val="none"/>
        </w:rPr>
        <w:t>、部门编制</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_Toc23041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_Toc3904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3、部门职能</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_Toc3904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4</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_Toc4493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lang w:val="en-US" w:eastAsia="zh-CN"/>
        </w:rPr>
        <w:t>（二）部门预算</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_Toc4493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7</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_Toc28282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w:t>
      </w:r>
      <w:r>
        <w:rPr>
          <w:rFonts w:hint="eastAsia" w:ascii="仿宋_GB2312" w:hAnsi="仿宋_GB2312" w:eastAsia="仿宋_GB2312" w:cs="仿宋_GB2312"/>
          <w:bCs/>
          <w:kern w:val="0"/>
          <w:sz w:val="28"/>
          <w:szCs w:val="28"/>
          <w:highlight w:val="none"/>
          <w:lang w:val="en-US" w:eastAsia="zh-CN" w:bidi="ar"/>
        </w:rPr>
        <w:t>近三年</w:t>
      </w:r>
      <w:r>
        <w:rPr>
          <w:rFonts w:hint="eastAsia" w:ascii="仿宋_GB2312" w:hAnsi="仿宋_GB2312" w:eastAsia="仿宋_GB2312" w:cs="仿宋_GB2312"/>
          <w:bCs/>
          <w:sz w:val="28"/>
          <w:szCs w:val="28"/>
          <w:highlight w:val="none"/>
          <w:lang w:eastAsia="zh-CN"/>
        </w:rPr>
        <w:t>阿坝县审计局</w:t>
      </w:r>
      <w:r>
        <w:rPr>
          <w:rFonts w:hint="eastAsia" w:ascii="仿宋_GB2312" w:hAnsi="仿宋_GB2312" w:eastAsia="仿宋_GB2312" w:cs="仿宋_GB2312"/>
          <w:bCs/>
          <w:sz w:val="28"/>
          <w:szCs w:val="28"/>
          <w:highlight w:val="none"/>
        </w:rPr>
        <w:t>整体支出预算及使用情况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_Toc28282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_Toc3689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eastAsia="zh-CN"/>
        </w:rPr>
        <w:t>2022</w:t>
      </w:r>
      <w:r>
        <w:rPr>
          <w:rFonts w:hint="eastAsia" w:ascii="仿宋_GB2312" w:hAnsi="仿宋_GB2312" w:eastAsia="仿宋_GB2312" w:cs="仿宋_GB2312"/>
          <w:bCs/>
          <w:sz w:val="28"/>
          <w:szCs w:val="28"/>
          <w:highlight w:val="none"/>
        </w:rPr>
        <w:t>年</w:t>
      </w:r>
      <w:r>
        <w:rPr>
          <w:rFonts w:hint="eastAsia" w:ascii="仿宋_GB2312" w:hAnsi="仿宋_GB2312" w:eastAsia="仿宋_GB2312" w:cs="仿宋_GB2312"/>
          <w:bCs/>
          <w:sz w:val="28"/>
          <w:szCs w:val="28"/>
          <w:highlight w:val="none"/>
          <w:lang w:eastAsia="zh-CN"/>
        </w:rPr>
        <w:t>阿坝县审计局</w:t>
      </w:r>
      <w:r>
        <w:rPr>
          <w:rFonts w:hint="eastAsia" w:ascii="仿宋_GB2312" w:hAnsi="仿宋_GB2312" w:eastAsia="仿宋_GB2312" w:cs="仿宋_GB2312"/>
          <w:bCs/>
          <w:sz w:val="28"/>
          <w:szCs w:val="28"/>
          <w:highlight w:val="none"/>
        </w:rPr>
        <w:t>预算及支出情况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_Toc3689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8</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_Toc9190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lang w:val="en-US" w:eastAsia="zh-CN"/>
        </w:rPr>
        <w:t>（三）部门固定资产</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_Toc9190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8</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_Toc30530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（四）部门管理</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_Toc30530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9</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_Toc9889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1、决策管理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_Toc9889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9</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_Toc11612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2、财务管理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_Toc11612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9</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_Toc26387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rPr>
        <w:t>3、资产管理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_Toc26387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11</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_Toc27369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rPr>
        <w:t>（五）</w:t>
      </w:r>
      <w:r>
        <w:rPr>
          <w:rFonts w:hint="eastAsia" w:ascii="仿宋_GB2312" w:hAnsi="仿宋_GB2312" w:eastAsia="仿宋_GB2312" w:cs="仿宋_GB2312"/>
          <w:b w:val="0"/>
          <w:sz w:val="28"/>
          <w:szCs w:val="28"/>
          <w:highlight w:val="none"/>
          <w:lang w:eastAsia="zh-CN"/>
        </w:rPr>
        <w:t>阿坝县审计局2022</w:t>
      </w:r>
      <w:r>
        <w:rPr>
          <w:rFonts w:hint="eastAsia" w:ascii="仿宋_GB2312" w:hAnsi="仿宋_GB2312" w:eastAsia="仿宋_GB2312" w:cs="仿宋_GB2312"/>
          <w:b w:val="0"/>
          <w:sz w:val="28"/>
          <w:szCs w:val="28"/>
          <w:highlight w:val="none"/>
          <w:lang w:val="en-US" w:eastAsia="zh-CN"/>
        </w:rPr>
        <w:t>年</w:t>
      </w:r>
      <w:r>
        <w:rPr>
          <w:rFonts w:hint="eastAsia" w:ascii="仿宋_GB2312" w:hAnsi="仿宋_GB2312" w:eastAsia="仿宋_GB2312" w:cs="仿宋_GB2312"/>
          <w:b w:val="0"/>
          <w:sz w:val="28"/>
          <w:szCs w:val="28"/>
          <w:highlight w:val="none"/>
        </w:rPr>
        <w:t>重点工作</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_Toc27369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_Toc15462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二、评价思路和实施过程</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_Toc15462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_Toc8484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（一）评价目的</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_Toc8484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_Toc22204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（二）评价方法</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_Toc22204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_Toc31793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（三）数据采集方法及过程</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_Toc31793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_Toc9222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三、评价结论及绩效分析</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_Toc9222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_Toc25365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（一）评价结论</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_Toc25365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_Toc17584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（二）绩效分析</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_Toc17584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_Toc15418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rPr>
        <w:t>1、部门预算管理情况分析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_Toc15418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14</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_Toc22134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专项预算管理情况分析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_Toc22134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19</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_Toc17253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3、绩效结果应用</w:t>
      </w:r>
      <w:r>
        <w:rPr>
          <w:rFonts w:hint="eastAsia" w:ascii="仿宋_GB2312" w:hAnsi="仿宋_GB2312" w:eastAsia="仿宋_GB2312" w:cs="仿宋_GB2312"/>
          <w:bCs/>
          <w:sz w:val="28"/>
          <w:szCs w:val="28"/>
        </w:rPr>
        <w:t>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_Toc17253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20</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_Toc20257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4、自评质量情况</w:t>
      </w:r>
      <w:r>
        <w:rPr>
          <w:rFonts w:hint="eastAsia" w:ascii="仿宋_GB2312" w:hAnsi="仿宋_GB2312" w:eastAsia="仿宋_GB2312" w:cs="仿宋_GB2312"/>
          <w:bCs/>
          <w:sz w:val="28"/>
          <w:szCs w:val="28"/>
        </w:rPr>
        <w:t>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_Toc20257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21</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_Toc25605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lang w:val="en-US" w:eastAsia="zh-CN"/>
        </w:rPr>
        <w:t>四</w:t>
      </w:r>
      <w:r>
        <w:rPr>
          <w:rFonts w:hint="eastAsia" w:ascii="仿宋_GB2312" w:hAnsi="仿宋_GB2312" w:eastAsia="仿宋_GB2312" w:cs="仿宋_GB2312"/>
          <w:b w:val="0"/>
          <w:sz w:val="28"/>
          <w:szCs w:val="28"/>
        </w:rPr>
        <w:t>、评价发现的主要问题</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_Toc25605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_Toc11778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1、多报销差旅费</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_Toc11778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_Toc25406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2、审批不规范</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_Toc25406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23</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26"/>
        <w:keepNext w:val="0"/>
        <w:keepLines w:val="0"/>
        <w:pageBreakBefore w:val="0"/>
        <w:widowControl/>
        <w:tabs>
          <w:tab w:val="right" w:leader="dot" w:pos="8786"/>
        </w:tabs>
        <w:kinsoku/>
        <w:wordWrap/>
        <w:overflowPunct/>
        <w:topLinePunct w:val="0"/>
        <w:autoSpaceDE/>
        <w:autoSpaceDN/>
        <w:bidi w:val="0"/>
        <w:adjustRightInd/>
        <w:snapToGrid/>
        <w:spacing w:line="600" w:lineRule="exact"/>
        <w:ind w:firstLine="560" w:firstLineChars="0"/>
        <w:jc w:val="center"/>
        <w:textAlignment w:val="auto"/>
        <w:rPr>
          <w:rFonts w:hint="eastAsia" w:ascii="仿宋_GB2312" w:hAnsi="仿宋_GB2312" w:eastAsia="仿宋_GB2312" w:cs="仿宋_GB2312"/>
          <w:bCs w:val="0"/>
          <w:szCs w:val="28"/>
        </w:rPr>
      </w:pPr>
      <w:r>
        <w:rPr>
          <w:rFonts w:hint="eastAsia" w:ascii="仿宋_GB2312" w:hAnsi="仿宋_GB2312" w:eastAsia="仿宋_GB2312" w:cs="仿宋_GB2312"/>
          <w:bCs w:val="0"/>
          <w:szCs w:val="28"/>
        </w:rPr>
        <w:fldChar w:fldCharType="end"/>
      </w:r>
      <w:bookmarkStart w:id="0" w:name="_Toc149"/>
      <w:bookmarkStart w:id="1" w:name="_Toc15798"/>
    </w:p>
    <w:p>
      <w:pPr>
        <w:rPr>
          <w:rFonts w:hint="default"/>
        </w:rPr>
      </w:pPr>
      <w:r>
        <w:rPr>
          <w:rFonts w:hint="eastAsia" w:ascii="仿宋_GB2312" w:hAnsi="仿宋_GB2312" w:eastAsia="仿宋_GB2312" w:cs="仿宋_GB2312"/>
          <w:bCs w:val="0"/>
          <w:szCs w:val="28"/>
        </w:rPr>
        <w:br w:type="page"/>
      </w:r>
    </w:p>
    <w:p>
      <w:pPr>
        <w:pStyle w:val="2"/>
        <w:spacing w:before="156" w:after="156"/>
        <w:ind w:firstLine="640"/>
        <w:jc w:val="center"/>
        <w:rPr>
          <w:rFonts w:hint="default" w:ascii="Times New Roman" w:hAnsi="Times New Roman" w:eastAsia="微软雅黑" w:cs="Times New Roman"/>
          <w:sz w:val="32"/>
          <w:szCs w:val="32"/>
        </w:rPr>
      </w:pPr>
      <w:bookmarkStart w:id="2" w:name="_Toc17924"/>
      <w:bookmarkStart w:id="3" w:name="_Toc20468"/>
      <w:bookmarkStart w:id="4" w:name="_Toc16510"/>
      <w:bookmarkStart w:id="5" w:name="_Toc11092"/>
      <w:r>
        <w:rPr>
          <w:rFonts w:hint="default" w:ascii="Times New Roman" w:hAnsi="Times New Roman" w:eastAsia="微软雅黑" w:cs="Times New Roman"/>
          <w:sz w:val="32"/>
        </w:rPr>
        <w:t>摘  要</w:t>
      </w:r>
      <w:bookmarkEnd w:id="0"/>
      <w:bookmarkEnd w:id="1"/>
      <w:bookmarkEnd w:id="2"/>
      <w:bookmarkEnd w:id="3"/>
      <w:bookmarkEnd w:id="4"/>
      <w:bookmarkEnd w:id="5"/>
    </w:p>
    <w:p>
      <w:pPr>
        <w:numPr>
          <w:ilvl w:val="0"/>
          <w:numId w:val="1"/>
        </w:num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rPr>
      </w:pPr>
      <w:r>
        <w:rPr>
          <w:rFonts w:hint="default" w:ascii="Times New Roman" w:hAnsi="Times New Roman" w:eastAsia="黑体" w:cs="Times New Roman"/>
          <w:b/>
          <w:bCs/>
          <w:sz w:val="30"/>
          <w:szCs w:val="30"/>
        </w:rPr>
        <w:t>概述</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审计局（简称县审计局）是阿坝县人民政府工作部门。阿坝县审计局下设综合股、经济责任审计和固定资产投资审计股、财政金融行政事业审计股，阿坝县审计局下属二级单位1个，其中事业单位1个为审计中心。</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根据《阿坝县机构改革方案》（阿县委发〔2019〕2号）和《关于&lt;阿坝县机构改革方案&gt;的实施意见》（阿县机改〔2019〕 1 号），阿坝县审计局为行政单位，行政编制7名。其中：局长1名，副局长2名，县经济责任审计工作联席会议办公室主任1名（副科级）；股级领导职数3名。机关工勤人员事业编制1名。</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截至绩效评价日，</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在</w:t>
      </w:r>
      <w:r>
        <w:rPr>
          <w:rFonts w:hint="default" w:ascii="Times New Roman" w:hAnsi="Times New Roman" w:eastAsia="仿宋_GB2312" w:cs="Times New Roman"/>
          <w:color w:val="auto"/>
          <w:kern w:val="0"/>
          <w:sz w:val="32"/>
          <w:szCs w:val="32"/>
          <w:highlight w:val="none"/>
          <w:shd w:val="clear" w:color="auto" w:fill="FFFFFF"/>
          <w:lang w:val="en-US" w:eastAsia="zh-CN" w:bidi="ar-SA"/>
        </w:rPr>
        <w:t>编人员共计</w:t>
      </w:r>
      <w:r>
        <w:rPr>
          <w:rFonts w:hint="eastAsia" w:eastAsia="仿宋_GB2312" w:cs="Times New Roman"/>
          <w:color w:val="auto"/>
          <w:kern w:val="0"/>
          <w:sz w:val="32"/>
          <w:szCs w:val="32"/>
          <w:highlight w:val="none"/>
          <w:shd w:val="clear" w:color="auto" w:fill="FFFFFF"/>
          <w:lang w:val="en-US" w:eastAsia="zh-CN" w:bidi="ar-SA"/>
        </w:rPr>
        <w:t>21</w:t>
      </w:r>
      <w:r>
        <w:rPr>
          <w:rFonts w:hint="default" w:ascii="Times New Roman" w:hAnsi="Times New Roman" w:eastAsia="仿宋_GB2312" w:cs="Times New Roman"/>
          <w:color w:val="auto"/>
          <w:kern w:val="0"/>
          <w:sz w:val="32"/>
          <w:szCs w:val="32"/>
          <w:highlight w:val="none"/>
          <w:shd w:val="clear" w:color="auto" w:fill="FFFFFF"/>
          <w:lang w:val="en-US" w:eastAsia="zh-CN" w:bidi="ar-SA"/>
        </w:rPr>
        <w:t>名</w:t>
      </w:r>
      <w:r>
        <w:rPr>
          <w:rFonts w:hint="eastAsia" w:eastAsia="仿宋_GB2312" w:cs="Times New Roman"/>
          <w:color w:val="auto"/>
          <w:kern w:val="0"/>
          <w:sz w:val="32"/>
          <w:szCs w:val="32"/>
          <w:highlight w:val="none"/>
          <w:shd w:val="clear" w:color="auto" w:fill="FFFFFF"/>
          <w:lang w:val="en-US" w:eastAsia="zh-CN" w:bidi="ar-SA"/>
        </w:rPr>
        <w:t>，其中行政编制7人、事业编制14人</w:t>
      </w:r>
      <w:r>
        <w:rPr>
          <w:rFonts w:hint="eastAsia" w:ascii="Times New Roman" w:hAnsi="Times New Roman" w:eastAsia="仿宋_GB2312" w:cs="Times New Roman"/>
          <w:b w:val="0"/>
          <w:bCs w:val="0"/>
          <w:color w:val="000000"/>
          <w:kern w:val="0"/>
          <w:sz w:val="32"/>
          <w:szCs w:val="32"/>
          <w:highlight w:val="none"/>
          <w:lang w:val="en-US" w:eastAsia="zh-CN" w:bidi="ar"/>
        </w:rPr>
        <w:t>。</w:t>
      </w:r>
    </w:p>
    <w:p>
      <w:p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二、评价结论和绩效分析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2022年1月-2022年12月</w:t>
      </w:r>
      <w:r>
        <w:rPr>
          <w:rFonts w:hint="eastAsia" w:eastAsia="仿宋_GB2312" w:cs="Times New Roman"/>
          <w:color w:val="000000"/>
          <w:kern w:val="0"/>
          <w:sz w:val="32"/>
          <w:szCs w:val="32"/>
          <w:highlight w:val="none"/>
          <w:lang w:val="en-US" w:eastAsia="zh-CN" w:bidi="ar"/>
        </w:rPr>
        <w:t>阿坝县审计局</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53.96</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得分</w:t>
      </w:r>
      <w:r>
        <w:rPr>
          <w:rFonts w:hint="eastAsia" w:eastAsia="仿宋_GB2312" w:cs="Times New Roman"/>
          <w:color w:val="auto"/>
          <w:kern w:val="0"/>
          <w:sz w:val="32"/>
          <w:szCs w:val="32"/>
          <w:highlight w:val="none"/>
          <w:shd w:val="clear" w:color="auto" w:fill="FFFFFF"/>
          <w:lang w:val="en-US" w:eastAsia="zh-CN" w:bidi="ar-SA"/>
        </w:rPr>
        <w:t>71</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ascii="Times New Roman" w:hAnsi="Times New Roman"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4"/>
        <w:gridCol w:w="1122"/>
        <w:gridCol w:w="1334"/>
        <w:gridCol w:w="1744"/>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部门预算项目绩效管理</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60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44</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34.16</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112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17.80</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w:t>
            </w:r>
            <w:r>
              <w:rPr>
                <w:rFonts w:hint="default" w:ascii="Times New Roman" w:hAnsi="Times New Roman" w:eastAsia="仿宋_GB2312" w:cs="Times New Roman"/>
                <w:color w:val="000000"/>
                <w:kern w:val="0"/>
                <w:highlight w:val="none"/>
                <w:lang w:val="en-US" w:eastAsia="zh-CN" w:bidi="ar"/>
              </w:rPr>
              <w:t>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10</w:t>
            </w:r>
          </w:p>
        </w:tc>
        <w:tc>
          <w:tcPr>
            <w:tcW w:w="13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100</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76</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53.96</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6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71</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bidi="ar"/>
              </w:rPr>
            </w:pPr>
            <w:r>
              <w:rPr>
                <w:rFonts w:hint="eastAsia" w:eastAsia="仿宋_GB2312" w:cs="Times New Roman"/>
                <w:b/>
                <w:bCs/>
                <w:color w:val="000000"/>
                <w:kern w:val="0"/>
                <w:highlight w:val="none"/>
                <w:lang w:val="en-US" w:eastAsia="zh-CN" w:bidi="ar"/>
              </w:rPr>
              <w:t>71%</w:t>
            </w:r>
          </w:p>
        </w:tc>
      </w:tr>
    </w:tbl>
    <w:p>
      <w:pPr>
        <w:snapToGrid w:val="0"/>
        <w:spacing w:line="600" w:lineRule="atLeast"/>
        <w:ind w:left="0" w:leftChars="0" w:firstLine="0" w:firstLineChars="0"/>
        <w:jc w:val="left"/>
        <w:rPr>
          <w:rFonts w:hint="default" w:ascii="Times New Roman" w:hAnsi="Times New Roman" w:eastAsia="仿宋" w:cs="Times New Roman"/>
          <w:b/>
          <w:sz w:val="36"/>
          <w:szCs w:val="44"/>
          <w:lang w:eastAsia="zh-CN"/>
        </w:rPr>
        <w:sectPr>
          <w:headerReference r:id="rId8" w:type="default"/>
          <w:footerReference r:id="rId9"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p>
    <w:p>
      <w:pPr>
        <w:snapToGrid w:val="0"/>
        <w:spacing w:line="600" w:lineRule="atLeast"/>
        <w:ind w:left="0" w:leftChars="0" w:firstLine="0" w:firstLineChars="0"/>
        <w:jc w:val="left"/>
        <w:rPr>
          <w:rFonts w:hint="default" w:ascii="Times New Roman" w:hAnsi="Times New Roman" w:eastAsia="仿宋" w:cs="Times New Roman"/>
          <w:b/>
          <w:sz w:val="36"/>
          <w:szCs w:val="44"/>
          <w:lang w:eastAsia="zh-CN"/>
        </w:rPr>
      </w:pPr>
      <w:r>
        <w:rPr>
          <w:rFonts w:hint="eastAsia"/>
          <w:b/>
          <w:sz w:val="44"/>
          <w:szCs w:val="44"/>
          <w:u w:val="single"/>
          <w:shd w:val="clear" w:color="auto" w:fill="FFFFFF"/>
        </w:rPr>
        <w:drawing>
          <wp:inline distT="0" distB="0" distL="114300" distR="114300">
            <wp:extent cx="5481320" cy="1125220"/>
            <wp:effectExtent l="0" t="0" r="5080" b="5080"/>
            <wp:docPr id="1" name="图片 1" descr="113e0fc710a5a4f3d65bc20155a4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3e0fc710a5a4f3d65bc20155a406f"/>
                    <pic:cNvPicPr>
                      <a:picLocks noChangeAspect="1"/>
                    </pic:cNvPicPr>
                  </pic:nvPicPr>
                  <pic:blipFill>
                    <a:blip r:embed="rId13"/>
                    <a:stretch>
                      <a:fillRect/>
                    </a:stretch>
                  </pic:blipFill>
                  <pic:spPr>
                    <a:xfrm>
                      <a:off x="0" y="0"/>
                      <a:ext cx="5481320" cy="1125220"/>
                    </a:xfrm>
                    <a:prstGeom prst="rect">
                      <a:avLst/>
                    </a:prstGeom>
                    <a:noFill/>
                    <a:ln>
                      <a:noFill/>
                    </a:ln>
                  </pic:spPr>
                </pic:pic>
              </a:graphicData>
            </a:graphic>
          </wp:inline>
        </w:drawing>
      </w:r>
    </w:p>
    <w:p>
      <w:pPr>
        <w:snapToGrid w:val="0"/>
        <w:spacing w:line="600" w:lineRule="atLeast"/>
        <w:ind w:firstLine="723"/>
        <w:jc w:val="center"/>
        <w:rPr>
          <w:rFonts w:hint="default" w:ascii="Times New Roman" w:hAnsi="Times New Roman" w:eastAsia="黑体" w:cs="Times New Roman"/>
          <w:b/>
          <w:sz w:val="36"/>
          <w:szCs w:val="36"/>
          <w:lang w:val="en-US" w:eastAsia="zh-CN"/>
        </w:rPr>
      </w:pPr>
      <w:r>
        <w:rPr>
          <w:rFonts w:hint="default" w:ascii="Times New Roman" w:hAnsi="Times New Roman" w:eastAsia="仿宋" w:cs="Times New Roman"/>
          <w:b/>
          <w:sz w:val="36"/>
          <w:szCs w:val="44"/>
          <w:lang w:val="en-US" w:eastAsia="zh-CN"/>
        </w:rPr>
        <w:t xml:space="preserve">                 </w:t>
      </w:r>
      <w:r>
        <w:rPr>
          <w:rFonts w:hint="default" w:ascii="Times New Roman" w:hAnsi="Times New Roman" w:eastAsia="黑体" w:cs="Times New Roman"/>
          <w:b/>
          <w:sz w:val="32"/>
          <w:szCs w:val="32"/>
          <w:lang w:val="en-US" w:eastAsia="zh-CN"/>
        </w:rPr>
        <w:t>川融策绩评〔2023〕第</w:t>
      </w:r>
      <w:r>
        <w:rPr>
          <w:rFonts w:hint="eastAsia" w:eastAsia="黑体" w:cs="Times New Roman"/>
          <w:b/>
          <w:sz w:val="32"/>
          <w:szCs w:val="32"/>
          <w:lang w:val="en-US" w:eastAsia="zh-CN"/>
        </w:rPr>
        <w:t>××</w:t>
      </w:r>
      <w:r>
        <w:rPr>
          <w:rFonts w:hint="default" w:ascii="Times New Roman" w:hAnsi="Times New Roman" w:eastAsia="黑体" w:cs="Times New Roman"/>
          <w:b/>
          <w:sz w:val="32"/>
          <w:szCs w:val="32"/>
          <w:lang w:val="en-US" w:eastAsia="zh-CN"/>
        </w:rPr>
        <w:t>号</w:t>
      </w:r>
    </w:p>
    <w:p>
      <w:pPr>
        <w:ind w:firstLine="0" w:firstLineChars="0"/>
        <w:jc w:val="center"/>
        <w:rPr>
          <w:rFonts w:hint="default" w:ascii="Times New Roman" w:hAnsi="Times New Roman" w:cs="Times New Roman"/>
          <w:b/>
          <w:bCs/>
          <w:spacing w:val="-14"/>
          <w:sz w:val="36"/>
          <w:szCs w:val="36"/>
          <w:lang w:val="en-US" w:eastAsia="zh-CN"/>
        </w:rPr>
      </w:pP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val="en-US" w:eastAsia="zh-CN" w:bidi="zh-CN"/>
        </w:rPr>
      </w:pPr>
      <w:r>
        <w:rPr>
          <w:rFonts w:hint="eastAsia" w:eastAsia="方正小标宋简体" w:cs="Times New Roman"/>
          <w:b w:val="0"/>
          <w:bCs w:val="0"/>
          <w:spacing w:val="0"/>
          <w:kern w:val="0"/>
          <w:sz w:val="44"/>
          <w:szCs w:val="44"/>
          <w:lang w:val="en-US" w:eastAsia="zh-CN" w:bidi="zh-CN"/>
        </w:rPr>
        <w:t>阿坝县审计局</w:t>
      </w: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bidi="zh-CN"/>
        </w:rPr>
      </w:pPr>
      <w:r>
        <w:rPr>
          <w:rFonts w:hint="eastAsia" w:eastAsia="方正小标宋简体" w:cs="Times New Roman"/>
          <w:b w:val="0"/>
          <w:bCs w:val="0"/>
          <w:spacing w:val="0"/>
          <w:kern w:val="0"/>
          <w:sz w:val="44"/>
          <w:szCs w:val="44"/>
          <w:lang w:val="en-US" w:eastAsia="zh-CN" w:bidi="zh-CN"/>
        </w:rPr>
        <w:t>2022</w:t>
      </w:r>
      <w:r>
        <w:rPr>
          <w:rFonts w:hint="eastAsia" w:ascii="Times New Roman" w:hAnsi="Times New Roman" w:eastAsia="方正小标宋简体" w:cs="Times New Roman"/>
          <w:b w:val="0"/>
          <w:bCs w:val="0"/>
          <w:spacing w:val="0"/>
          <w:kern w:val="0"/>
          <w:sz w:val="44"/>
          <w:szCs w:val="44"/>
          <w:lang w:val="en-US" w:eastAsia="zh-CN" w:bidi="zh-CN"/>
        </w:rPr>
        <w:t>年部门整体支出</w:t>
      </w:r>
      <w:r>
        <w:rPr>
          <w:rFonts w:hint="eastAsia" w:ascii="Times New Roman" w:hAnsi="Times New Roman" w:eastAsia="方正小标宋简体" w:cs="Times New Roman"/>
          <w:b w:val="0"/>
          <w:bCs w:val="0"/>
          <w:spacing w:val="0"/>
          <w:kern w:val="0"/>
          <w:sz w:val="44"/>
          <w:szCs w:val="44"/>
          <w:lang w:bidi="zh-CN"/>
        </w:rPr>
        <w:t>绩效评价报告</w:t>
      </w: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bidi="zh-CN"/>
        </w:rPr>
      </w:pPr>
    </w:p>
    <w:p>
      <w:pPr>
        <w:spacing w:line="520" w:lineRule="exact"/>
        <w:ind w:firstLine="0" w:firstLineChars="0"/>
        <w:rPr>
          <w:rFonts w:hint="eastAsia" w:ascii="黑体" w:hAnsi="黑体" w:eastAsia="黑体" w:cs="黑体"/>
          <w:b/>
          <w:bCs w:val="0"/>
          <w:sz w:val="32"/>
          <w:szCs w:val="32"/>
          <w:lang w:val="en-US"/>
        </w:rPr>
      </w:pPr>
      <w:r>
        <w:rPr>
          <w:rFonts w:hint="eastAsia" w:ascii="黑体" w:hAnsi="黑体" w:eastAsia="黑体" w:cs="黑体"/>
          <w:b/>
          <w:bCs w:val="0"/>
          <w:sz w:val="32"/>
          <w:szCs w:val="32"/>
          <w:lang w:val="en-US" w:eastAsia="zh-CN"/>
        </w:rPr>
        <w:t>阿坝县财政局</w:t>
      </w:r>
      <w:r>
        <w:rPr>
          <w:rFonts w:hint="eastAsia" w:ascii="黑体" w:hAnsi="黑体" w:eastAsia="黑体" w:cs="黑体"/>
          <w:b/>
          <w:bCs w:val="0"/>
          <w:sz w:val="32"/>
          <w:szCs w:val="32"/>
          <w:lang w:val="en-US"/>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我们接受委托，于</w:t>
      </w:r>
      <w:r>
        <w:rPr>
          <w:rFonts w:hint="default"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10</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22</w:t>
      </w:r>
      <w:r>
        <w:rPr>
          <w:rFonts w:hint="eastAsia" w:ascii="Times New Roman" w:hAnsi="Times New Roman" w:eastAsia="仿宋_GB2312" w:cs="Times New Roman"/>
          <w:color w:val="auto"/>
          <w:kern w:val="0"/>
          <w:sz w:val="32"/>
          <w:szCs w:val="32"/>
          <w:highlight w:val="none"/>
          <w:shd w:val="clear" w:color="auto" w:fill="FFFFFF"/>
          <w:lang w:val="en-US" w:eastAsia="zh-CN"/>
        </w:rPr>
        <w:t>日-202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11</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w:t>
      </w:r>
      <w:r>
        <w:rPr>
          <w:rFonts w:hint="eastAsia" w:ascii="Times New Roman" w:hAnsi="Times New Roman" w:eastAsia="仿宋_GB2312" w:cs="Times New Roman"/>
          <w:color w:val="000000"/>
          <w:kern w:val="0"/>
          <w:sz w:val="32"/>
          <w:szCs w:val="32"/>
          <w:highlight w:val="none"/>
          <w:lang w:val="en-US" w:eastAsia="zh-CN" w:bidi="ar"/>
        </w:rPr>
        <w:t>对“</w:t>
      </w:r>
      <w:r>
        <w:rPr>
          <w:rFonts w:hint="eastAsia" w:eastAsia="仿宋_GB2312" w:cs="Times New Roman"/>
          <w:color w:val="000000"/>
          <w:kern w:val="0"/>
          <w:sz w:val="32"/>
          <w:szCs w:val="32"/>
          <w:highlight w:val="none"/>
          <w:lang w:val="en-US" w:eastAsia="zh-CN" w:bidi="ar"/>
        </w:rPr>
        <w:t>阿坝县审计局2022</w:t>
      </w:r>
      <w:r>
        <w:rPr>
          <w:rFonts w:hint="eastAsia" w:ascii="Times New Roman" w:hAnsi="Times New Roman" w:eastAsia="仿宋_GB2312" w:cs="Times New Roman"/>
          <w:color w:val="000000"/>
          <w:kern w:val="0"/>
          <w:sz w:val="32"/>
          <w:szCs w:val="32"/>
          <w:highlight w:val="none"/>
          <w:lang w:val="en-US" w:eastAsia="zh-CN" w:bidi="ar"/>
        </w:rPr>
        <w:t>年部门整体”财政支出进行绩效评价。</w:t>
      </w:r>
      <w:r>
        <w:rPr>
          <w:rFonts w:hint="eastAsia" w:eastAsia="仿宋_GB2312" w:cs="Times New Roman"/>
          <w:color w:val="000000"/>
          <w:kern w:val="0"/>
          <w:sz w:val="32"/>
          <w:szCs w:val="32"/>
          <w:highlight w:val="none"/>
          <w:lang w:val="en-US" w:eastAsia="zh-CN" w:bidi="ar"/>
        </w:rPr>
        <w:t>阿坝县审计局</w:t>
      </w:r>
      <w:r>
        <w:rPr>
          <w:rFonts w:hint="eastAsia" w:ascii="Times New Roman" w:hAnsi="Times New Roman" w:eastAsia="仿宋_GB2312" w:cs="Times New Roman"/>
          <w:color w:val="000000"/>
          <w:kern w:val="0"/>
          <w:sz w:val="32"/>
          <w:szCs w:val="32"/>
          <w:highlight w:val="none"/>
          <w:lang w:val="en-US" w:eastAsia="zh-CN" w:bidi="ar"/>
        </w:rPr>
        <w:t>作为被评价单位，提供了与本次部门整体支出绩效评价相关的资料，并对这些资料的真实性、合法性和完整性负责。我们的责任是依据被评价单位提供的评价基础资料，根据《国务院关于深化预算管理制度改革的决定》（国发〔2014〕45号）、《预算法》以及《四川省财政支出绩效评价管理办法》的规定，按照《中共四川省委 四川省人民政府关于全面实施预算绩效管理的实施意见》（川委发〔2019〕8号）</w:t>
      </w:r>
      <w:r>
        <w:rPr>
          <w:rFonts w:hint="eastAsia" w:ascii="Times New Roman" w:hAnsi="Times New Roman" w:eastAsia="仿宋_GB2312" w:cs="Times New Roman"/>
          <w:color w:val="auto"/>
          <w:kern w:val="0"/>
          <w:sz w:val="32"/>
          <w:szCs w:val="32"/>
          <w:highlight w:val="none"/>
          <w:shd w:val="clear" w:color="auto" w:fill="FFFFFF"/>
          <w:lang w:val="en-US" w:eastAsia="zh-CN"/>
        </w:rPr>
        <w:t>和《阿坝州财政局关于做好财政厅2023年政策和项目支出绩效评价工作的通知》（阿州财监绩〔2023〕21号）</w:t>
      </w:r>
      <w:r>
        <w:rPr>
          <w:rFonts w:hint="eastAsia" w:eastAsia="仿宋_GB2312" w:cs="Times New Roman"/>
          <w:color w:val="auto"/>
          <w:kern w:val="0"/>
          <w:sz w:val="32"/>
          <w:szCs w:val="32"/>
          <w:highlight w:val="none"/>
          <w:shd w:val="clear" w:color="auto" w:fill="FFFFFF"/>
          <w:lang w:val="en-US" w:eastAsia="zh-CN"/>
        </w:rPr>
        <w:t>《阿坝县财政局关于开展2023年部门、政策和项目支出绩效评价工作的通知》（阿县财监绩〔2023〕30号）</w:t>
      </w:r>
      <w:r>
        <w:rPr>
          <w:rFonts w:hint="eastAsia" w:ascii="Times New Roman" w:hAnsi="Times New Roman" w:eastAsia="仿宋_GB2312" w:cs="Times New Roman"/>
          <w:color w:val="000000"/>
          <w:kern w:val="0"/>
          <w:sz w:val="32"/>
          <w:szCs w:val="32"/>
          <w:highlight w:val="none"/>
          <w:lang w:val="en-US" w:eastAsia="zh-CN" w:bidi="ar"/>
        </w:rPr>
        <w:t>的相关要求，遵循科学性、规范性、客观性和公正性的原则，对“</w:t>
      </w:r>
      <w:r>
        <w:rPr>
          <w:rFonts w:hint="eastAsia" w:eastAsia="仿宋_GB2312" w:cs="Times New Roman"/>
          <w:color w:val="000000"/>
          <w:kern w:val="0"/>
          <w:sz w:val="32"/>
          <w:szCs w:val="32"/>
          <w:highlight w:val="none"/>
          <w:lang w:val="en-US" w:eastAsia="zh-CN" w:bidi="ar"/>
        </w:rPr>
        <w:t>阿坝县审计局2022</w:t>
      </w:r>
      <w:r>
        <w:rPr>
          <w:rFonts w:hint="eastAsia" w:ascii="Times New Roman" w:hAnsi="Times New Roman" w:eastAsia="仿宋_GB2312" w:cs="Times New Roman"/>
          <w:color w:val="000000"/>
          <w:kern w:val="0"/>
          <w:sz w:val="32"/>
          <w:szCs w:val="32"/>
          <w:highlight w:val="none"/>
          <w:lang w:val="en-US" w:eastAsia="zh-CN" w:bidi="ar"/>
        </w:rPr>
        <w:t>年部门整体支出”财政支出绩效实施了评价，形成本评价报告。我们相信，我们的评价工作为发表意见提供了合理的基础。本次评价具体情况如下：</w:t>
      </w:r>
    </w:p>
    <w:p>
      <w:pPr>
        <w:pStyle w:val="2"/>
        <w:spacing w:before="156" w:after="156" w:line="600" w:lineRule="exact"/>
        <w:ind w:firstLine="602"/>
        <w:rPr>
          <w:rFonts w:hint="default" w:ascii="Times New Roman" w:hAnsi="Times New Roman" w:cs="Times New Roman"/>
          <w:sz w:val="30"/>
          <w:szCs w:val="30"/>
        </w:rPr>
      </w:pPr>
      <w:bookmarkStart w:id="6" w:name="_Toc16362"/>
      <w:bookmarkStart w:id="7" w:name="_Toc17236"/>
      <w:bookmarkStart w:id="8" w:name="_Toc19395"/>
      <w:bookmarkStart w:id="9" w:name="_Toc8512"/>
      <w:bookmarkStart w:id="10" w:name="_Toc8760"/>
      <w:r>
        <w:rPr>
          <w:rFonts w:hint="default" w:ascii="Times New Roman" w:hAnsi="Times New Roman" w:cs="Times New Roman"/>
          <w:sz w:val="30"/>
          <w:szCs w:val="30"/>
        </w:rPr>
        <w:t>一、</w:t>
      </w:r>
      <w:bookmarkEnd w:id="6"/>
      <w:r>
        <w:rPr>
          <w:rFonts w:hint="default" w:ascii="Times New Roman" w:hAnsi="Times New Roman" w:cs="Times New Roman"/>
          <w:sz w:val="30"/>
          <w:szCs w:val="30"/>
        </w:rPr>
        <w:t>部门概况</w:t>
      </w:r>
      <w:bookmarkEnd w:id="7"/>
      <w:bookmarkEnd w:id="8"/>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11" w:name="_Toc13650"/>
      <w:bookmarkStart w:id="12" w:name="_Toc14621"/>
      <w:r>
        <w:rPr>
          <w:rFonts w:hint="default" w:ascii="Times New Roman" w:hAnsi="Times New Roman" w:eastAsia="楷体_GB2312" w:cs="Times New Roman"/>
          <w:color w:val="auto"/>
          <w:sz w:val="32"/>
        </w:rPr>
        <w:t>（一）部门机构设置、编制、职责</w:t>
      </w:r>
      <w:bookmarkEnd w:id="11"/>
      <w:bookmarkEnd w:id="12"/>
    </w:p>
    <w:p>
      <w:pPr>
        <w:pStyle w:val="4"/>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rPr>
      </w:pPr>
      <w:bookmarkStart w:id="13" w:name="_Toc10250"/>
      <w:bookmarkStart w:id="14" w:name="_Toc55586766"/>
      <w:bookmarkStart w:id="15" w:name="_Toc14084"/>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部门机构设置</w:t>
      </w:r>
      <w:bookmarkEnd w:id="13"/>
      <w:bookmarkEnd w:id="14"/>
      <w:bookmarkEnd w:id="15"/>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yellow"/>
          <w:lang w:val="en-US" w:eastAsia="zh-CN" w:bidi="ar"/>
        </w:rPr>
      </w:pPr>
      <w:r>
        <w:rPr>
          <w:rFonts w:hint="eastAsia" w:eastAsia="仿宋_GB2312" w:cs="Times New Roman"/>
          <w:color w:val="auto"/>
          <w:kern w:val="0"/>
          <w:sz w:val="32"/>
          <w:szCs w:val="32"/>
          <w:highlight w:val="none"/>
          <w:shd w:val="clear" w:color="auto" w:fill="FFFFFF"/>
          <w:lang w:val="en-US" w:eastAsia="zh-CN" w:bidi="ar-SA"/>
        </w:rPr>
        <w:t>阿坝县审计局（简称县审计局）是阿坝县人民政府工作部门。阿坝县审计局下设综合股、经济责任审计和固定资产投资审计股、财政金融行政事业审计股，阿坝县审计局下属二级单位1个，其中事业单位1个为审计中心。</w:t>
      </w:r>
    </w:p>
    <w:p>
      <w:pPr>
        <w:pStyle w:val="4"/>
        <w:spacing w:line="600" w:lineRule="exact"/>
        <w:rPr>
          <w:rFonts w:hint="default" w:ascii="Times New Roman" w:hAnsi="Times New Roman" w:eastAsia="仿宋_GB2312" w:cs="Times New Roman"/>
          <w:kern w:val="0"/>
          <w:sz w:val="32"/>
          <w:szCs w:val="32"/>
          <w:highlight w:val="none"/>
          <w:shd w:val="clear" w:color="auto" w:fill="FFFFFF"/>
        </w:rPr>
      </w:pPr>
      <w:bookmarkStart w:id="16" w:name="_Toc24087"/>
      <w:bookmarkStart w:id="17" w:name="_Toc23041"/>
      <w:bookmarkStart w:id="18" w:name="_Toc55586767"/>
      <w:r>
        <w:rPr>
          <w:rFonts w:hint="default" w:ascii="Times New Roman" w:hAnsi="Times New Roman" w:eastAsia="仿宋_GB2312" w:cs="Times New Roman"/>
          <w:highlight w:val="none"/>
          <w:lang w:val="en-US" w:eastAsia="zh-CN"/>
        </w:rPr>
        <w:t>2</w:t>
      </w:r>
      <w:r>
        <w:rPr>
          <w:rFonts w:hint="default" w:ascii="Times New Roman" w:hAnsi="Times New Roman" w:eastAsia="仿宋_GB2312" w:cs="Times New Roman"/>
          <w:highlight w:val="none"/>
        </w:rPr>
        <w:t>、部门编制</w:t>
      </w:r>
      <w:bookmarkEnd w:id="16"/>
      <w:bookmarkEnd w:id="17"/>
      <w:bookmarkEnd w:id="18"/>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28"/>
          <w:szCs w:val="28"/>
          <w:shd w:val="clear" w:color="auto" w:fill="FFFFFF"/>
          <w:lang w:val="en-US" w:eastAsia="zh-CN"/>
        </w:rPr>
      </w:pPr>
      <w:r>
        <w:rPr>
          <w:rFonts w:hint="default" w:ascii="Times New Roman" w:hAnsi="Times New Roman" w:eastAsia="仿宋_GB2312" w:cs="Times New Roman"/>
          <w:b/>
          <w:bCs/>
          <w:kern w:val="2"/>
          <w:sz w:val="32"/>
          <w:szCs w:val="32"/>
          <w:lang w:val="en-US" w:eastAsia="zh-CN" w:bidi="ar-SA"/>
        </w:rPr>
        <w:t>（1）人员配备</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000000"/>
          <w:kern w:val="0"/>
          <w:sz w:val="32"/>
          <w:szCs w:val="32"/>
          <w:highlight w:val="none"/>
          <w:lang w:val="en-US" w:eastAsia="zh-CN" w:bidi="ar"/>
        </w:rPr>
        <w:t>根据《阿坝县机构改革方案》（阿县委发〔2019〕2号）和《关于&lt;阿坝县机构改革方案&gt;的实施意见》（阿县机改〔2019〕 1 号），</w:t>
      </w:r>
      <w:r>
        <w:rPr>
          <w:rFonts w:hint="eastAsia" w:eastAsia="仿宋_GB2312" w:cs="Times New Roman"/>
          <w:color w:val="000000"/>
          <w:kern w:val="0"/>
          <w:sz w:val="32"/>
          <w:szCs w:val="32"/>
          <w:highlight w:val="none"/>
          <w:lang w:val="en-US" w:eastAsia="zh-CN" w:bidi="ar"/>
        </w:rPr>
        <w:t>阿坝县审计局</w:t>
      </w:r>
      <w:r>
        <w:rPr>
          <w:rFonts w:hint="eastAsia" w:ascii="Times New Roman" w:hAnsi="Times New Roman" w:eastAsia="仿宋_GB2312" w:cs="Times New Roman"/>
          <w:color w:val="000000"/>
          <w:kern w:val="0"/>
          <w:sz w:val="32"/>
          <w:szCs w:val="32"/>
          <w:highlight w:val="none"/>
          <w:lang w:val="en-US" w:eastAsia="zh-CN" w:bidi="ar"/>
        </w:rPr>
        <w:t>为行政单位，行政编制</w:t>
      </w:r>
      <w:r>
        <w:rPr>
          <w:rFonts w:hint="eastAsia" w:eastAsia="仿宋_GB2312" w:cs="Times New Roman"/>
          <w:color w:val="000000"/>
          <w:kern w:val="0"/>
          <w:sz w:val="32"/>
          <w:szCs w:val="32"/>
          <w:highlight w:val="none"/>
          <w:lang w:val="en-US" w:eastAsia="zh-CN" w:bidi="ar"/>
        </w:rPr>
        <w:t>7</w:t>
      </w:r>
      <w:r>
        <w:rPr>
          <w:rFonts w:hint="eastAsia" w:ascii="Times New Roman" w:hAnsi="Times New Roman" w:eastAsia="仿宋_GB2312" w:cs="Times New Roman"/>
          <w:color w:val="000000"/>
          <w:kern w:val="0"/>
          <w:sz w:val="32"/>
          <w:szCs w:val="32"/>
          <w:highlight w:val="none"/>
          <w:lang w:val="en-US" w:eastAsia="zh-CN" w:bidi="ar"/>
        </w:rPr>
        <w:t>名。</w:t>
      </w:r>
      <w:r>
        <w:rPr>
          <w:rFonts w:hint="eastAsia" w:eastAsia="仿宋_GB2312" w:cs="Times New Roman"/>
          <w:color w:val="auto"/>
          <w:kern w:val="0"/>
          <w:sz w:val="32"/>
          <w:szCs w:val="32"/>
          <w:highlight w:val="none"/>
          <w:shd w:val="clear" w:color="auto" w:fill="FFFFFF"/>
          <w:lang w:val="en-US" w:eastAsia="zh-CN" w:bidi="ar-SA"/>
        </w:rPr>
        <w:t>其中：局长1名，副局长2名，县经济责任审计工作联席会议办公室主任1名（副科级）；股级领导职数3名。机关工勤人员事业编制1名。</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截至绩效评价日，</w:t>
      </w:r>
      <w:r>
        <w:rPr>
          <w:rFonts w:hint="eastAsia" w:eastAsia="仿宋_GB2312" w:cs="Times New Roman"/>
          <w:color w:val="000000"/>
          <w:kern w:val="0"/>
          <w:sz w:val="32"/>
          <w:szCs w:val="32"/>
          <w:highlight w:val="none"/>
          <w:lang w:val="en-US" w:eastAsia="zh-CN" w:bidi="ar"/>
        </w:rPr>
        <w:t>阿坝县审计局</w:t>
      </w:r>
      <w:r>
        <w:rPr>
          <w:rFonts w:hint="eastAsia" w:ascii="Times New Roman" w:hAnsi="Times New Roman" w:eastAsia="仿宋_GB2312" w:cs="Times New Roman"/>
          <w:color w:val="000000"/>
          <w:kern w:val="0"/>
          <w:sz w:val="32"/>
          <w:szCs w:val="32"/>
          <w:highlight w:val="none"/>
          <w:lang w:val="en-US" w:eastAsia="zh-CN" w:bidi="ar"/>
        </w:rPr>
        <w:t>在</w:t>
      </w:r>
      <w:r>
        <w:rPr>
          <w:rFonts w:hint="default" w:ascii="Times New Roman" w:hAnsi="Times New Roman" w:eastAsia="仿宋_GB2312" w:cs="Times New Roman"/>
          <w:color w:val="000000"/>
          <w:kern w:val="0"/>
          <w:sz w:val="32"/>
          <w:szCs w:val="32"/>
          <w:highlight w:val="none"/>
          <w:lang w:val="en-US" w:eastAsia="zh-CN" w:bidi="ar"/>
        </w:rPr>
        <w:t>编人员共计</w:t>
      </w:r>
      <w:r>
        <w:rPr>
          <w:rFonts w:hint="eastAsia" w:eastAsia="仿宋_GB2312" w:cs="Times New Roman"/>
          <w:color w:val="000000"/>
          <w:kern w:val="0"/>
          <w:sz w:val="32"/>
          <w:szCs w:val="32"/>
          <w:highlight w:val="none"/>
          <w:lang w:val="en-US" w:eastAsia="zh-CN" w:bidi="ar"/>
        </w:rPr>
        <w:t>21</w:t>
      </w:r>
      <w:r>
        <w:rPr>
          <w:rFonts w:hint="default" w:ascii="Times New Roman" w:hAnsi="Times New Roman" w:eastAsia="仿宋_GB2312" w:cs="Times New Roman"/>
          <w:color w:val="000000"/>
          <w:kern w:val="0"/>
          <w:sz w:val="32"/>
          <w:szCs w:val="32"/>
          <w:highlight w:val="none"/>
          <w:lang w:val="en-US" w:eastAsia="zh-CN" w:bidi="ar"/>
        </w:rPr>
        <w:t>名</w:t>
      </w:r>
      <w:r>
        <w:rPr>
          <w:rFonts w:hint="eastAsia" w:ascii="Times New Roman" w:hAnsi="Times New Roman" w:eastAsia="仿宋_GB2312" w:cs="Times New Roman"/>
          <w:color w:val="000000"/>
          <w:kern w:val="0"/>
          <w:sz w:val="32"/>
          <w:szCs w:val="32"/>
          <w:highlight w:val="none"/>
          <w:lang w:val="en-US" w:eastAsia="zh-CN" w:bidi="ar"/>
        </w:rPr>
        <w:t>，其中</w:t>
      </w:r>
      <w:r>
        <w:rPr>
          <w:rFonts w:hint="eastAsia" w:eastAsia="仿宋_GB2312" w:cs="Times New Roman"/>
          <w:color w:val="000000"/>
          <w:kern w:val="0"/>
          <w:sz w:val="32"/>
          <w:szCs w:val="32"/>
          <w:highlight w:val="none"/>
          <w:lang w:val="en-US" w:eastAsia="zh-CN" w:bidi="ar"/>
        </w:rPr>
        <w:t>行政编制7</w:t>
      </w:r>
      <w:r>
        <w:rPr>
          <w:rFonts w:hint="eastAsia" w:ascii="Times New Roman" w:hAnsi="Times New Roman" w:eastAsia="仿宋_GB2312" w:cs="Times New Roman"/>
          <w:color w:val="000000"/>
          <w:kern w:val="0"/>
          <w:sz w:val="32"/>
          <w:szCs w:val="32"/>
          <w:highlight w:val="none"/>
          <w:lang w:val="en-US" w:eastAsia="zh-CN" w:bidi="ar"/>
        </w:rPr>
        <w:t>人</w:t>
      </w:r>
      <w:r>
        <w:rPr>
          <w:rFonts w:hint="eastAsia" w:eastAsia="仿宋_GB2312" w:cs="Times New Roman"/>
          <w:color w:val="000000"/>
          <w:kern w:val="0"/>
          <w:sz w:val="32"/>
          <w:szCs w:val="32"/>
          <w:highlight w:val="none"/>
          <w:lang w:val="en-US" w:eastAsia="zh-CN" w:bidi="ar"/>
        </w:rPr>
        <w:t>、事业编制14人</w:t>
      </w:r>
      <w:r>
        <w:rPr>
          <w:rFonts w:hint="eastAsia" w:ascii="Times New Roman" w:hAnsi="Times New Roman" w:eastAsia="仿宋_GB2312" w:cs="Times New Roman"/>
          <w:color w:val="000000"/>
          <w:kern w:val="0"/>
          <w:sz w:val="32"/>
          <w:szCs w:val="32"/>
          <w:highlight w:val="none"/>
          <w:lang w:val="en-US" w:eastAsia="zh-CN" w:bidi="ar"/>
        </w:rPr>
        <w:t>。</w:t>
      </w:r>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32"/>
          <w:szCs w:val="32"/>
          <w:shd w:val="clear" w:color="auto" w:fill="FFFFFF"/>
          <w:lang w:val="en-US" w:eastAsia="zh-CN"/>
        </w:rPr>
      </w:pPr>
      <w:r>
        <w:rPr>
          <w:rFonts w:hint="default" w:ascii="Times New Roman" w:hAnsi="Times New Roman" w:eastAsia="仿宋_GB2312" w:cs="Times New Roman"/>
          <w:b/>
          <w:bCs/>
          <w:kern w:val="2"/>
          <w:sz w:val="32"/>
          <w:szCs w:val="32"/>
          <w:lang w:val="en-US" w:eastAsia="zh-CN" w:bidi="ar-SA"/>
        </w:rPr>
        <w:t>（2）人员结构</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rPr>
      </w:pPr>
      <w:r>
        <w:rPr>
          <w:rFonts w:hint="eastAsia" w:eastAsia="仿宋_GB2312" w:cs="Times New Roman"/>
          <w:color w:val="000000"/>
          <w:kern w:val="0"/>
          <w:sz w:val="32"/>
          <w:szCs w:val="32"/>
          <w:highlight w:val="none"/>
          <w:lang w:val="en-US" w:eastAsia="zh-CN" w:bidi="ar"/>
        </w:rPr>
        <w:t>阿坝县审计局</w:t>
      </w:r>
      <w:r>
        <w:rPr>
          <w:rFonts w:hint="default" w:ascii="Times New Roman" w:hAnsi="Times New Roman" w:eastAsia="仿宋_GB2312" w:cs="Times New Roman"/>
          <w:color w:val="000000"/>
          <w:kern w:val="0"/>
          <w:sz w:val="32"/>
          <w:szCs w:val="32"/>
          <w:highlight w:val="none"/>
          <w:lang w:val="en-US" w:eastAsia="zh-CN" w:bidi="ar"/>
        </w:rPr>
        <w:t>在岗编制人员男性</w:t>
      </w:r>
      <w:r>
        <w:rPr>
          <w:rFonts w:hint="eastAsia" w:eastAsia="仿宋_GB2312" w:cs="Times New Roman"/>
          <w:color w:val="000000"/>
          <w:kern w:val="0"/>
          <w:sz w:val="32"/>
          <w:szCs w:val="32"/>
          <w:highlight w:val="none"/>
          <w:lang w:val="en-US" w:eastAsia="zh-CN" w:bidi="ar"/>
        </w:rPr>
        <w:t>10</w:t>
      </w:r>
      <w:r>
        <w:rPr>
          <w:rFonts w:hint="default" w:ascii="Times New Roman" w:hAnsi="Times New Roman" w:eastAsia="仿宋_GB2312" w:cs="Times New Roman"/>
          <w:color w:val="000000"/>
          <w:kern w:val="0"/>
          <w:sz w:val="32"/>
          <w:szCs w:val="32"/>
          <w:highlight w:val="none"/>
          <w:lang w:val="en-US" w:eastAsia="zh-CN" w:bidi="ar"/>
        </w:rPr>
        <w:t>人，女性</w:t>
      </w:r>
      <w:r>
        <w:rPr>
          <w:rFonts w:hint="eastAsia" w:ascii="Times New Roman" w:hAnsi="Times New Roman" w:eastAsia="仿宋_GB2312" w:cs="Times New Roman"/>
          <w:color w:val="000000"/>
          <w:kern w:val="0"/>
          <w:sz w:val="32"/>
          <w:szCs w:val="32"/>
          <w:highlight w:val="none"/>
          <w:lang w:val="en-US" w:eastAsia="zh-CN" w:bidi="ar"/>
        </w:rPr>
        <w:t>11</w:t>
      </w:r>
      <w:r>
        <w:rPr>
          <w:rFonts w:hint="default" w:ascii="Times New Roman" w:hAnsi="Times New Roman" w:eastAsia="仿宋_GB2312" w:cs="Times New Roman"/>
          <w:color w:val="000000"/>
          <w:kern w:val="0"/>
          <w:sz w:val="32"/>
          <w:szCs w:val="32"/>
          <w:highlight w:val="none"/>
          <w:lang w:val="en-US" w:eastAsia="zh-CN" w:bidi="ar"/>
        </w:rPr>
        <w:t>人，男女比例为</w:t>
      </w:r>
      <w:r>
        <w:rPr>
          <w:rFonts w:hint="eastAsia" w:eastAsia="仿宋_GB2312" w:cs="Times New Roman"/>
          <w:color w:val="000000"/>
          <w:kern w:val="0"/>
          <w:sz w:val="32"/>
          <w:szCs w:val="32"/>
          <w:highlight w:val="none"/>
          <w:lang w:val="en-US" w:eastAsia="zh-CN" w:bidi="ar"/>
        </w:rPr>
        <w:t>10</w:t>
      </w:r>
      <w:r>
        <w:rPr>
          <w:rFonts w:hint="eastAsia" w:ascii="Times New Roman" w:hAnsi="Times New Roman" w:eastAsia="仿宋_GB2312" w:cs="Times New Roman"/>
          <w:color w:val="000000"/>
          <w:kern w:val="0"/>
          <w:sz w:val="32"/>
          <w:szCs w:val="32"/>
          <w:highlight w:val="none"/>
          <w:lang w:val="en-US" w:eastAsia="zh-CN" w:bidi="ar"/>
        </w:rPr>
        <w:t>：11</w:t>
      </w:r>
      <w:r>
        <w:rPr>
          <w:rFonts w:hint="default" w:ascii="Times New Roman" w:hAnsi="Times New Roman" w:eastAsia="仿宋_GB2312" w:cs="Times New Roman"/>
          <w:color w:val="000000"/>
          <w:kern w:val="0"/>
          <w:sz w:val="32"/>
          <w:szCs w:val="32"/>
          <w:highlight w:val="none"/>
          <w:lang w:val="en-US" w:eastAsia="zh-CN" w:bidi="ar"/>
        </w:rPr>
        <w:t>；平均年龄为</w:t>
      </w:r>
      <w:r>
        <w:rPr>
          <w:rFonts w:hint="eastAsia" w:ascii="Times New Roman" w:hAnsi="Times New Roman" w:eastAsia="仿宋_GB2312" w:cs="Times New Roman"/>
          <w:color w:val="000000"/>
          <w:kern w:val="0"/>
          <w:sz w:val="32"/>
          <w:szCs w:val="32"/>
          <w:highlight w:val="none"/>
          <w:lang w:val="en-US" w:eastAsia="zh-CN" w:bidi="ar"/>
        </w:rPr>
        <w:t>3</w:t>
      </w:r>
      <w:r>
        <w:rPr>
          <w:rFonts w:hint="eastAsia" w:eastAsia="仿宋_GB2312" w:cs="Times New Roman"/>
          <w:color w:val="000000"/>
          <w:kern w:val="0"/>
          <w:sz w:val="32"/>
          <w:szCs w:val="32"/>
          <w:highlight w:val="none"/>
          <w:lang w:val="en-US" w:eastAsia="zh-CN" w:bidi="ar"/>
        </w:rPr>
        <w:t>7.52</w:t>
      </w:r>
      <w:r>
        <w:rPr>
          <w:rFonts w:hint="default" w:ascii="Times New Roman" w:hAnsi="Times New Roman" w:eastAsia="仿宋_GB2312" w:cs="Times New Roman"/>
          <w:color w:val="000000"/>
          <w:kern w:val="0"/>
          <w:sz w:val="32"/>
          <w:szCs w:val="32"/>
          <w:highlight w:val="none"/>
          <w:lang w:val="en-US" w:eastAsia="zh-CN" w:bidi="ar"/>
        </w:rPr>
        <w:t>岁，其中</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人，占总数的</w:t>
      </w:r>
      <w:r>
        <w:rPr>
          <w:rFonts w:hint="eastAsia" w:eastAsia="仿宋_GB2312" w:cs="Times New Roman"/>
          <w:color w:val="000000"/>
          <w:kern w:val="0"/>
          <w:sz w:val="32"/>
          <w:szCs w:val="32"/>
          <w:highlight w:val="none"/>
          <w:lang w:val="en-US" w:eastAsia="zh-CN" w:bidi="ar"/>
        </w:rPr>
        <w:t>28.57</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38.09</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19.05</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；50-59岁共计3人，</w:t>
      </w:r>
      <w:r>
        <w:rPr>
          <w:rFonts w:hint="default" w:ascii="Times New Roman" w:hAnsi="Times New Roman" w:eastAsia="仿宋_GB2312" w:cs="Times New Roman"/>
          <w:color w:val="000000"/>
          <w:kern w:val="0"/>
          <w:sz w:val="32"/>
          <w:szCs w:val="32"/>
          <w:highlight w:val="none"/>
          <w:lang w:val="en-US" w:eastAsia="zh-CN" w:bidi="ar"/>
        </w:rPr>
        <w:t>占总人数</w:t>
      </w:r>
      <w:r>
        <w:rPr>
          <w:rFonts w:hint="eastAsia" w:ascii="Times New Roman" w:hAnsi="Times New Roman"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%（如图1-1所示）。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图1-1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年人员年龄结构图</w:t>
      </w:r>
    </w:p>
    <w:p>
      <w:pPr>
        <w:spacing w:line="360" w:lineRule="auto"/>
        <w:ind w:left="0" w:leftChars="0" w:firstLine="0" w:firstLineChars="0"/>
        <w:jc w:val="center"/>
        <w:rPr>
          <w:rFonts w:hint="eastAsia" w:ascii="Times New Roman" w:hAnsi="Times New Roman" w:eastAsia="仿宋_GB2312" w:cs="Times New Roman"/>
          <w:sz w:val="32"/>
          <w:szCs w:val="32"/>
          <w:highlight w:val="none"/>
          <w:lang w:eastAsia="zh-CN"/>
        </w:rPr>
      </w:pPr>
      <w:r>
        <w:drawing>
          <wp:inline distT="0" distB="0" distL="114300" distR="114300">
            <wp:extent cx="2025650" cy="1733550"/>
            <wp:effectExtent l="0" t="0" r="635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4"/>
                    <a:stretch>
                      <a:fillRect/>
                    </a:stretch>
                  </pic:blipFill>
                  <pic:spPr>
                    <a:xfrm>
                      <a:off x="0" y="0"/>
                      <a:ext cx="2025650" cy="1733550"/>
                    </a:xfrm>
                    <a:prstGeom prst="rect">
                      <a:avLst/>
                    </a:prstGeom>
                    <a:noFill/>
                    <a:ln>
                      <a:noFill/>
                    </a:ln>
                  </pic:spPr>
                </pic:pic>
              </a:graphicData>
            </a:graphic>
          </wp:inline>
        </w:drawing>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在岗编制人员平均工龄为</w:t>
      </w:r>
      <w:r>
        <w:rPr>
          <w:rFonts w:hint="eastAsia" w:eastAsia="仿宋_GB2312" w:cs="Times New Roman"/>
          <w:color w:val="000000"/>
          <w:kern w:val="0"/>
          <w:sz w:val="32"/>
          <w:szCs w:val="32"/>
          <w:highlight w:val="none"/>
          <w:lang w:val="en-US" w:eastAsia="zh-CN" w:bidi="ar"/>
        </w:rPr>
        <w:t>13.04</w:t>
      </w:r>
      <w:r>
        <w:rPr>
          <w:rFonts w:hint="default" w:ascii="Times New Roman" w:hAnsi="Times New Roman" w:eastAsia="仿宋_GB2312" w:cs="Times New Roman"/>
          <w:color w:val="000000"/>
          <w:kern w:val="0"/>
          <w:sz w:val="32"/>
          <w:szCs w:val="32"/>
          <w:highlight w:val="none"/>
          <w:lang w:val="en-US" w:eastAsia="zh-CN" w:bidi="ar"/>
        </w:rPr>
        <w:t>年，其中工龄为0-9年共计</w:t>
      </w:r>
      <w:r>
        <w:rPr>
          <w:rFonts w:hint="eastAsia"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42.85</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28.57</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；30</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（如图1-2所示）。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bidi="ar-SA"/>
        </w:rPr>
      </w:pP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图1-2  202</w:t>
      </w:r>
      <w:r>
        <w:rPr>
          <w:rFonts w:hint="eastAsia" w:ascii="Times New Roman" w:hAnsi="Times New Roman" w:eastAsia="仿宋_GB2312" w:cs="Times New Roman"/>
          <w:b/>
          <w:bCs/>
          <w:color w:val="000000"/>
          <w:kern w:val="0"/>
          <w:sz w:val="24"/>
          <w:szCs w:val="24"/>
          <w:highlight w:val="none"/>
          <w:shd w:val="clear" w:color="auto" w:fill="FFFFFF"/>
          <w:lang w:val="en-US" w:eastAsia="zh-CN" w:bidi="ar-SA"/>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年人员工龄结构图</w:t>
      </w:r>
    </w:p>
    <w:p>
      <w:pPr>
        <w:spacing w:line="360" w:lineRule="auto"/>
        <w:ind w:left="0" w:leftChars="0" w:firstLine="0" w:firstLineChars="0"/>
        <w:jc w:val="center"/>
        <w:rPr>
          <w:rFonts w:hint="default" w:ascii="Times New Roman" w:hAnsi="Times New Roman" w:eastAsia="仿宋_GB2312" w:cs="Times New Roman"/>
          <w:b/>
          <w:bCs/>
          <w:color w:val="000000"/>
          <w:kern w:val="0"/>
          <w:sz w:val="24"/>
          <w:szCs w:val="24"/>
          <w:highlight w:val="none"/>
          <w:shd w:val="clear" w:color="auto" w:fill="FFFFFF"/>
          <w:lang w:val="en-US" w:eastAsia="zh-CN"/>
        </w:rPr>
      </w:pPr>
      <w:r>
        <w:drawing>
          <wp:inline distT="0" distB="0" distL="114300" distR="114300">
            <wp:extent cx="2057400" cy="15875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5"/>
                    <a:stretch>
                      <a:fillRect/>
                    </a:stretch>
                  </pic:blipFill>
                  <pic:spPr>
                    <a:xfrm>
                      <a:off x="0" y="0"/>
                      <a:ext cx="2057400" cy="1587500"/>
                    </a:xfrm>
                    <a:prstGeom prst="rect">
                      <a:avLst/>
                    </a:prstGeom>
                    <a:noFill/>
                    <a:ln>
                      <a:noFill/>
                    </a:ln>
                  </pic:spPr>
                </pic:pic>
              </a:graphicData>
            </a:graphic>
          </wp:inline>
        </w:drawing>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在岗编制人员学历分别为本科</w:t>
      </w:r>
      <w:r>
        <w:rPr>
          <w:rFonts w:hint="eastAsia" w:ascii="Times New Roman" w:hAnsi="Times New Roman" w:eastAsia="仿宋_GB2312" w:cs="Times New Roman"/>
          <w:color w:val="000000"/>
          <w:kern w:val="0"/>
          <w:sz w:val="32"/>
          <w:szCs w:val="32"/>
          <w:highlight w:val="none"/>
          <w:lang w:val="en-US" w:eastAsia="zh-CN" w:bidi="ar"/>
        </w:rPr>
        <w:t>、大专、高中</w:t>
      </w:r>
      <w:r>
        <w:rPr>
          <w:rFonts w:hint="eastAsia" w:eastAsia="仿宋_GB2312" w:cs="Times New Roman"/>
          <w:color w:val="000000"/>
          <w:kern w:val="0"/>
          <w:sz w:val="32"/>
          <w:szCs w:val="32"/>
          <w:highlight w:val="none"/>
          <w:lang w:val="en-US" w:eastAsia="zh-CN" w:bidi="ar"/>
        </w:rPr>
        <w:t>、中专</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其中本科</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28.57</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；大专</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23.81</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高中</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人，占比</w:t>
      </w:r>
      <w:r>
        <w:rPr>
          <w:rFonts w:hint="eastAsia" w:eastAsia="仿宋_GB2312" w:cs="Times New Roman"/>
          <w:color w:val="000000"/>
          <w:kern w:val="0"/>
          <w:sz w:val="32"/>
          <w:szCs w:val="32"/>
          <w:highlight w:val="none"/>
          <w:lang w:val="en-US" w:eastAsia="zh-CN" w:bidi="ar"/>
        </w:rPr>
        <w:t>9.53</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；中专7人，</w:t>
      </w:r>
      <w:r>
        <w:rPr>
          <w:rFonts w:hint="default" w:ascii="Times New Roman" w:hAnsi="Times New Roman" w:eastAsia="仿宋_GB2312" w:cs="Times New Roman"/>
          <w:color w:val="000000"/>
          <w:kern w:val="0"/>
          <w:sz w:val="32"/>
          <w:szCs w:val="32"/>
          <w:highlight w:val="none"/>
          <w:lang w:val="en-US" w:eastAsia="zh-CN" w:bidi="ar"/>
        </w:rPr>
        <w:t>占总人数</w:t>
      </w:r>
      <w:r>
        <w:rPr>
          <w:rFonts w:hint="eastAsia" w:eastAsia="仿宋_GB2312" w:cs="Times New Roman"/>
          <w:color w:val="000000"/>
          <w:kern w:val="0"/>
          <w:sz w:val="32"/>
          <w:szCs w:val="32"/>
          <w:highlight w:val="none"/>
          <w:lang w:val="en-US" w:eastAsia="zh-CN" w:bidi="ar"/>
        </w:rPr>
        <w:t>33.33</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初中1人</w:t>
      </w:r>
      <w:r>
        <w:rPr>
          <w:rFonts w:hint="default" w:ascii="Times New Roman" w:hAnsi="Times New Roman" w:eastAsia="仿宋_GB2312" w:cs="Times New Roman"/>
          <w:color w:val="000000"/>
          <w:kern w:val="0"/>
          <w:sz w:val="32"/>
          <w:szCs w:val="32"/>
          <w:highlight w:val="none"/>
          <w:lang w:val="en-US" w:eastAsia="zh-CN" w:bidi="ar"/>
        </w:rPr>
        <w:t>占总人数</w:t>
      </w:r>
      <w:r>
        <w:rPr>
          <w:rFonts w:hint="eastAsia" w:eastAsia="仿宋_GB2312" w:cs="Times New Roman"/>
          <w:color w:val="000000"/>
          <w:kern w:val="0"/>
          <w:sz w:val="32"/>
          <w:szCs w:val="32"/>
          <w:highlight w:val="none"/>
          <w:lang w:val="en-US" w:eastAsia="zh-CN" w:bidi="ar"/>
        </w:rPr>
        <w:t>4.76</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（如图1-3所示）。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bidi="ar-SA"/>
        </w:rPr>
      </w:pP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图1-3  202</w:t>
      </w:r>
      <w:r>
        <w:rPr>
          <w:rFonts w:hint="eastAsia" w:ascii="Times New Roman" w:hAnsi="Times New Roman" w:eastAsia="仿宋_GB2312" w:cs="Times New Roman"/>
          <w:b/>
          <w:bCs/>
          <w:color w:val="000000"/>
          <w:kern w:val="0"/>
          <w:sz w:val="24"/>
          <w:szCs w:val="24"/>
          <w:highlight w:val="none"/>
          <w:shd w:val="clear" w:color="auto" w:fill="FFFFFF"/>
          <w:lang w:val="en-US" w:eastAsia="zh-CN" w:bidi="ar-SA"/>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年人员学历结构图</w:t>
      </w:r>
    </w:p>
    <w:p>
      <w:pPr>
        <w:spacing w:line="360" w:lineRule="auto"/>
        <w:ind w:left="0" w:leftChars="0" w:firstLine="0" w:firstLineChars="0"/>
        <w:jc w:val="center"/>
        <w:rPr>
          <w:rFonts w:hint="eastAsia" w:ascii="Times New Roman" w:hAnsi="Times New Roman" w:eastAsia="宋体" w:cs="Times New Roman"/>
          <w:sz w:val="24"/>
          <w:szCs w:val="24"/>
          <w:lang w:val="en-US" w:eastAsia="zh-CN"/>
        </w:rPr>
      </w:pPr>
      <w:r>
        <w:drawing>
          <wp:inline distT="0" distB="0" distL="114300" distR="114300">
            <wp:extent cx="2305050" cy="2228850"/>
            <wp:effectExtent l="0" t="0" r="635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6"/>
                    <a:stretch>
                      <a:fillRect/>
                    </a:stretch>
                  </pic:blipFill>
                  <pic:spPr>
                    <a:xfrm>
                      <a:off x="0" y="0"/>
                      <a:ext cx="2305050" cy="2228850"/>
                    </a:xfrm>
                    <a:prstGeom prst="rect">
                      <a:avLst/>
                    </a:prstGeom>
                    <a:noFill/>
                    <a:ln>
                      <a:noFill/>
                    </a:ln>
                  </pic:spPr>
                </pic:pic>
              </a:graphicData>
            </a:graphic>
          </wp:inline>
        </w:drawing>
      </w:r>
    </w:p>
    <w:p>
      <w:pPr>
        <w:pStyle w:val="4"/>
        <w:spacing w:line="600" w:lineRule="exact"/>
        <w:ind w:firstLine="640"/>
        <w:rPr>
          <w:rFonts w:hint="default" w:ascii="Times New Roman" w:hAnsi="Times New Roman" w:eastAsia="仿宋_GB2312" w:cs="Times New Roman"/>
          <w:lang w:val="en-US" w:eastAsia="zh-CN"/>
        </w:rPr>
      </w:pPr>
      <w:bookmarkStart w:id="19" w:name="_Toc55586768"/>
      <w:bookmarkStart w:id="20" w:name="_Toc3904"/>
      <w:bookmarkStart w:id="21" w:name="_Toc6244"/>
      <w:r>
        <w:rPr>
          <w:rFonts w:hint="default" w:ascii="Times New Roman" w:hAnsi="Times New Roman" w:eastAsia="仿宋_GB2312" w:cs="Times New Roman"/>
          <w:lang w:val="en-US" w:eastAsia="zh-CN"/>
        </w:rPr>
        <w:t>3、部门职能</w:t>
      </w:r>
      <w:bookmarkEnd w:id="19"/>
      <w:bookmarkEnd w:id="20"/>
      <w:bookmarkEnd w:id="21"/>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主管全县审计工作。负责对县级财政收支和法律法规规定属于审计监督范围的财务收支的真实、合法和效益进行审计监督，对公共资金、国有资产、国有资源和领导干部履行经济责任情况实行审计全覆盖</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对领导干部实行自然资源资产离任审计</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对国家和省、州、县有关重大政策措施贯彻落实情况进行跟踪审计</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对审计、专项审计调查和核查社会审计机构相关审计报告的结果承担责任，并负有督促被审计单位整改的责任</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履行重大项月稽察及国有企业领导干部经济责任审计和国有企业监事会</w:t>
      </w:r>
      <w:r>
        <w:rPr>
          <w:rFonts w:hint="eastAsia" w:eastAsia="仿宋_GB2312" w:cs="Times New Roman"/>
          <w:color w:val="auto"/>
          <w:kern w:val="0"/>
          <w:sz w:val="32"/>
          <w:szCs w:val="32"/>
          <w:highlight w:val="none"/>
          <w:shd w:val="clear" w:color="auto" w:fill="FFFFFF"/>
          <w:lang w:val="en-US" w:eastAsia="zh-CN" w:bidi="ar-SA"/>
        </w:rPr>
        <w:t>职责。</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贯彻执行国家和省、州、县审计方针政策和法律法规。起草审计规范性文件草案。提出制定和完善有关政策法规、宏观调控措施的建议。全面实施全县专业领域审计工作规划。对直接审计、调查和核查的事项依法进行审计评价，做出审计决定或提出审计建议。</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向县委审计委员会提出年度县级预算执行和其他财政支出情况审计报告。向县政府和州审计局提出年度县级预算执行及其他财政收支情况的审计结果报告。受县政府委托向县人大常委会提出县级预算执行和其他财政收支情况的审计工作报告、审计查出问题整改情况报告</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向县委、县政府报告对其他事项的审计和专项审计调查情况及结果。依法向社会公布审计结果。向县级有关部门和乡</w:t>
      </w:r>
      <w:r>
        <w:rPr>
          <w:rFonts w:hint="eastAsia" w:eastAsia="仿宋_GB2312" w:cs="Times New Roman"/>
          <w:color w:val="auto"/>
          <w:kern w:val="0"/>
          <w:sz w:val="32"/>
          <w:szCs w:val="32"/>
          <w:highlight w:val="none"/>
          <w:shd w:val="clear" w:color="auto" w:fill="FFFFFF"/>
          <w:lang w:val="en-US" w:eastAsia="zh-CN" w:bidi="ar-SA"/>
        </w:rPr>
        <w:t>（镇）</w:t>
      </w:r>
      <w:r>
        <w:rPr>
          <w:rFonts w:hint="eastAsia" w:ascii="Times New Roman" w:hAnsi="Times New Roman" w:eastAsia="仿宋_GB2312" w:cs="Times New Roman"/>
          <w:color w:val="auto"/>
          <w:kern w:val="0"/>
          <w:sz w:val="32"/>
          <w:szCs w:val="32"/>
          <w:highlight w:val="none"/>
          <w:shd w:val="clear" w:color="auto" w:fill="FFFFFF"/>
          <w:lang w:val="en-US" w:eastAsia="zh-CN" w:bidi="ar-SA"/>
        </w:rPr>
        <w:t>党委、政府通报审计情况和审计结果。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直接审计下列事项，出具审计报告，在法定职权范围内做出审计决定，包括国家和省、州、县有关重大政策措施贯彻落实情况。县级财政预算执行情况和其他财政财务收支。县级各部门、事业单位和下属单位预算执行情况、决算和其他财政收支县级财政转移支付资金。使用县级财政资金的事业单位和社会团体的财务收支。县级政府投资和以县级政府投资为主的建设项目</w:t>
      </w:r>
      <w:r>
        <w:rPr>
          <w:rFonts w:hint="eastAsia" w:eastAsia="仿宋_GB2312" w:cs="Times New Roman"/>
          <w:color w:val="auto"/>
          <w:kern w:val="0"/>
          <w:sz w:val="32"/>
          <w:szCs w:val="32"/>
          <w:highlight w:val="none"/>
          <w:shd w:val="clear" w:color="auto" w:fill="FFFFFF"/>
          <w:lang w:val="en-US" w:eastAsia="zh-CN" w:bidi="ar-SA"/>
        </w:rPr>
        <w:t>的预</w:t>
      </w:r>
      <w:r>
        <w:rPr>
          <w:rFonts w:hint="eastAsia" w:ascii="Times New Roman" w:hAnsi="Times New Roman" w:eastAsia="仿宋_GB2312" w:cs="Times New Roman"/>
          <w:color w:val="auto"/>
          <w:kern w:val="0"/>
          <w:sz w:val="32"/>
          <w:szCs w:val="32"/>
          <w:highlight w:val="none"/>
          <w:shd w:val="clear" w:color="auto" w:fill="FFFFFF"/>
          <w:lang w:val="en-US" w:eastAsia="zh-CN" w:bidi="ar-SA"/>
        </w:rPr>
        <w:t>算执行情况和决算，县级重大公共工程项目的</w:t>
      </w:r>
      <w:r>
        <w:rPr>
          <w:rFonts w:hint="eastAsia" w:eastAsia="仿宋_GB2312" w:cs="Times New Roman"/>
          <w:color w:val="auto"/>
          <w:kern w:val="0"/>
          <w:sz w:val="32"/>
          <w:szCs w:val="32"/>
          <w:highlight w:val="none"/>
          <w:shd w:val="clear" w:color="auto" w:fill="FFFFFF"/>
          <w:lang w:val="en-US" w:eastAsia="zh-CN" w:bidi="ar-SA"/>
        </w:rPr>
        <w:t>资</w:t>
      </w:r>
      <w:r>
        <w:rPr>
          <w:rFonts w:hint="eastAsia" w:ascii="Times New Roman" w:hAnsi="Times New Roman" w:eastAsia="仿宋_GB2312" w:cs="Times New Roman"/>
          <w:color w:val="auto"/>
          <w:kern w:val="0"/>
          <w:sz w:val="32"/>
          <w:szCs w:val="32"/>
          <w:highlight w:val="none"/>
          <w:shd w:val="clear" w:color="auto" w:fill="FFFFFF"/>
          <w:lang w:val="en-US" w:eastAsia="zh-CN" w:bidi="ar-SA"/>
        </w:rPr>
        <w:t>金管理使用</w:t>
      </w:r>
      <w:r>
        <w:rPr>
          <w:rFonts w:hint="eastAsia" w:eastAsia="仿宋_GB2312" w:cs="Times New Roman"/>
          <w:color w:val="auto"/>
          <w:kern w:val="0"/>
          <w:sz w:val="32"/>
          <w:szCs w:val="32"/>
          <w:highlight w:val="none"/>
          <w:shd w:val="clear" w:color="auto" w:fill="FFFFFF"/>
          <w:lang w:val="en-US" w:eastAsia="zh-CN" w:bidi="ar-SA"/>
        </w:rPr>
        <w:t>和</w:t>
      </w:r>
      <w:r>
        <w:rPr>
          <w:rFonts w:hint="eastAsia" w:ascii="Times New Roman" w:hAnsi="Times New Roman" w:eastAsia="仿宋_GB2312" w:cs="Times New Roman"/>
          <w:color w:val="auto"/>
          <w:kern w:val="0"/>
          <w:sz w:val="32"/>
          <w:szCs w:val="32"/>
          <w:highlight w:val="none"/>
          <w:shd w:val="clear" w:color="auto" w:fill="FFFFFF"/>
          <w:lang w:val="en-US" w:eastAsia="zh-CN" w:bidi="ar-SA"/>
        </w:rPr>
        <w:t>建设</w:t>
      </w:r>
      <w:r>
        <w:rPr>
          <w:rFonts w:hint="eastAsia" w:eastAsia="仿宋_GB2312" w:cs="Times New Roman"/>
          <w:color w:val="auto"/>
          <w:kern w:val="0"/>
          <w:sz w:val="32"/>
          <w:szCs w:val="32"/>
          <w:highlight w:val="none"/>
          <w:shd w:val="clear" w:color="auto" w:fill="FFFFFF"/>
          <w:lang w:val="en-US" w:eastAsia="zh-CN" w:bidi="ar-SA"/>
        </w:rPr>
        <w:t>运营</w:t>
      </w:r>
      <w:r>
        <w:rPr>
          <w:rFonts w:hint="eastAsia" w:ascii="Times New Roman" w:hAnsi="Times New Roman" w:eastAsia="仿宋_GB2312" w:cs="Times New Roman"/>
          <w:color w:val="auto"/>
          <w:kern w:val="0"/>
          <w:sz w:val="32"/>
          <w:szCs w:val="32"/>
          <w:highlight w:val="none"/>
          <w:shd w:val="clear" w:color="auto" w:fill="FFFFFF"/>
          <w:lang w:val="en-US" w:eastAsia="zh-CN" w:bidi="ar-SA"/>
        </w:rPr>
        <w:t>情况。自然资源管理、污染防治和生态保护与修复情</w:t>
      </w:r>
      <w:r>
        <w:rPr>
          <w:rFonts w:hint="eastAsia" w:eastAsia="仿宋_GB2312" w:cs="Times New Roman"/>
          <w:color w:val="auto"/>
          <w:kern w:val="0"/>
          <w:sz w:val="32"/>
          <w:szCs w:val="32"/>
          <w:highlight w:val="none"/>
          <w:shd w:val="clear" w:color="auto" w:fill="FFFFFF"/>
          <w:lang w:val="en-US" w:eastAsia="zh-CN" w:bidi="ar-SA"/>
        </w:rPr>
        <w:t>况</w:t>
      </w:r>
      <w:r>
        <w:rPr>
          <w:rFonts w:hint="eastAsia" w:ascii="Times New Roman" w:hAnsi="Times New Roman" w:eastAsia="仿宋_GB2312" w:cs="Times New Roman"/>
          <w:color w:val="auto"/>
          <w:kern w:val="0"/>
          <w:sz w:val="32"/>
          <w:szCs w:val="32"/>
          <w:highlight w:val="none"/>
          <w:shd w:val="clear" w:color="auto" w:fill="FFFFFF"/>
          <w:lang w:val="en-US" w:eastAsia="zh-CN" w:bidi="ar-SA"/>
        </w:rPr>
        <w:t>。县属国有企业、经济实体的财务收支及其经济效益和国有</w:t>
      </w:r>
      <w:r>
        <w:rPr>
          <w:rFonts w:hint="eastAsia" w:eastAsia="仿宋_GB2312" w:cs="Times New Roman"/>
          <w:color w:val="auto"/>
          <w:kern w:val="0"/>
          <w:sz w:val="32"/>
          <w:szCs w:val="32"/>
          <w:highlight w:val="none"/>
          <w:shd w:val="clear" w:color="auto" w:fill="FFFFFF"/>
          <w:lang w:val="en-US" w:eastAsia="zh-CN" w:bidi="ar-SA"/>
        </w:rPr>
        <w:t>资产</w:t>
      </w:r>
      <w:r>
        <w:rPr>
          <w:rFonts w:hint="eastAsia" w:ascii="Times New Roman" w:hAnsi="Times New Roman" w:eastAsia="仿宋_GB2312" w:cs="Times New Roman"/>
          <w:color w:val="auto"/>
          <w:kern w:val="0"/>
          <w:sz w:val="32"/>
          <w:szCs w:val="32"/>
          <w:highlight w:val="none"/>
          <w:shd w:val="clear" w:color="auto" w:fill="FFFFFF"/>
          <w:lang w:val="en-US" w:eastAsia="zh-CN" w:bidi="ar-SA"/>
        </w:rPr>
        <w:t>的保值、增值。县本级重点工程建设项目的预算执行情况和决</w:t>
      </w:r>
      <w:r>
        <w:rPr>
          <w:rFonts w:hint="eastAsia" w:eastAsia="仿宋_GB2312" w:cs="Times New Roman"/>
          <w:color w:val="auto"/>
          <w:kern w:val="0"/>
          <w:sz w:val="32"/>
          <w:szCs w:val="32"/>
          <w:highlight w:val="none"/>
          <w:shd w:val="clear" w:color="auto" w:fill="FFFFFF"/>
          <w:lang w:val="en-US" w:eastAsia="zh-CN" w:bidi="ar-SA"/>
        </w:rPr>
        <w:t>算；</w:t>
      </w:r>
      <w:r>
        <w:rPr>
          <w:rFonts w:hint="eastAsia" w:ascii="Times New Roman" w:hAnsi="Times New Roman" w:eastAsia="仿宋_GB2312" w:cs="Times New Roman"/>
          <w:color w:val="auto"/>
          <w:kern w:val="0"/>
          <w:sz w:val="32"/>
          <w:szCs w:val="32"/>
          <w:highlight w:val="none"/>
          <w:shd w:val="clear" w:color="auto" w:fill="FFFFFF"/>
          <w:lang w:val="en-US" w:eastAsia="zh-CN" w:bidi="ar-SA"/>
        </w:rPr>
        <w:t>乡</w:t>
      </w:r>
      <w:r>
        <w:rPr>
          <w:rFonts w:hint="eastAsia" w:eastAsia="仿宋_GB2312" w:cs="Times New Roman"/>
          <w:color w:val="auto"/>
          <w:kern w:val="0"/>
          <w:sz w:val="32"/>
          <w:szCs w:val="32"/>
          <w:highlight w:val="none"/>
          <w:shd w:val="clear" w:color="auto" w:fill="FFFFFF"/>
          <w:lang w:val="en-US" w:eastAsia="zh-CN" w:bidi="ar-SA"/>
        </w:rPr>
        <w:t>（镇）</w:t>
      </w:r>
      <w:r>
        <w:rPr>
          <w:rFonts w:hint="eastAsia" w:ascii="Times New Roman" w:hAnsi="Times New Roman" w:eastAsia="仿宋_GB2312" w:cs="Times New Roman"/>
          <w:color w:val="auto"/>
          <w:kern w:val="0"/>
          <w:sz w:val="32"/>
          <w:szCs w:val="32"/>
          <w:highlight w:val="none"/>
          <w:shd w:val="clear" w:color="auto" w:fill="FFFFFF"/>
          <w:lang w:val="en-US" w:eastAsia="zh-CN" w:bidi="ar-SA"/>
        </w:rPr>
        <w:t>人民政府的预算执行情况、决算情况、其他财政收专以及预算外资金的管理和使用情况。县属地方金融、保险机构和非银行金融机构的资产、负债、损益情况和信贷计划及执行</w:t>
      </w:r>
      <w:r>
        <w:rPr>
          <w:rFonts w:hint="eastAsia" w:eastAsia="仿宋_GB2312" w:cs="Times New Roman"/>
          <w:color w:val="auto"/>
          <w:kern w:val="0"/>
          <w:sz w:val="32"/>
          <w:szCs w:val="32"/>
          <w:highlight w:val="none"/>
          <w:shd w:val="clear" w:color="auto" w:fill="FFFFFF"/>
          <w:lang w:val="en-US" w:eastAsia="zh-CN" w:bidi="ar-SA"/>
        </w:rPr>
        <w:t>结果</w:t>
      </w:r>
      <w:r>
        <w:rPr>
          <w:rFonts w:hint="eastAsia" w:ascii="Times New Roman" w:hAnsi="Times New Roman" w:eastAsia="仿宋_GB2312" w:cs="Times New Roman"/>
          <w:color w:val="auto"/>
          <w:kern w:val="0"/>
          <w:sz w:val="32"/>
          <w:szCs w:val="32"/>
          <w:highlight w:val="none"/>
          <w:shd w:val="clear" w:color="auto" w:fill="FFFFFF"/>
          <w:lang w:val="en-US" w:eastAsia="zh-CN" w:bidi="ar-SA"/>
        </w:rPr>
        <w:t>。县人民政府部门管理的和社会团体受县人民政府委托管理的社会保障基金、社会捐赠资金、安全生产、环境保护资金和职业</w:t>
      </w:r>
      <w:r>
        <w:rPr>
          <w:rFonts w:hint="eastAsia" w:eastAsia="仿宋_GB2312" w:cs="Times New Roman"/>
          <w:color w:val="auto"/>
          <w:kern w:val="0"/>
          <w:sz w:val="32"/>
          <w:szCs w:val="32"/>
          <w:highlight w:val="none"/>
          <w:shd w:val="clear" w:color="auto" w:fill="FFFFFF"/>
          <w:lang w:val="en-US" w:eastAsia="zh-CN" w:bidi="ar-SA"/>
        </w:rPr>
        <w:t>健康</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财政资金及其他有关基金、资金的财政财务收支。县固定资产投资项目的资金来源、使用情况和投资效益。县政府授权的计划、金融部门以及证券主管部门对社会集资、债券发行的审批情况和证券经营单位的金融活动情况。法律法规规定的其他事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按规定对县管党政主要领导干部及其他单位主要负责人实施经济责任审计和自然资源资产离任审计。</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组织实施对国家财经法律法规、规章、政策和宏观调控措施执行情况、财政预算管理及国有资产管理使用等与县级财政收支有关的特定事项进行专项审计调查。</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依法检查审计决定执行情况，督促整改审计查出的问题，依法办理被审计单位对审计决定提请行政复议、行政诉讼或县政府裁决中的有关事项，协助配合有关部门查处相关重大案件</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指导和监督内部审计工作，核查社会审计机构对依法属于审计监督对象的单位出具的相关审计报告。</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组织开展审计领域内的交流与合作，指导和组织开展信息技术在审计领域的应用。</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负责实施范围内的安全生产和职业健康、生态环境保护、审批服务便民化等工作。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完成县委、县政府交办的其他任务。</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职能转变。进一步完善审计管理体制，加强全县审计工作统筹，明晰县级审计职能定位，理顺内部职责关系，优化审计资源配置，充实加强审计力量，构建集中统一、全面覆盖、权威高效的审计监督体系。优化审计工作机制，坚持科技强审，完善业务流程，改进工作方式，加强与有关部门的沟通协调，充分调动内部审计和社会审计力量，增强监督合力。</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lang w:val="en-US"/>
        </w:rPr>
      </w:pPr>
      <w:bookmarkStart w:id="22" w:name="_Toc25941"/>
      <w:bookmarkStart w:id="23" w:name="_Toc4493"/>
      <w:r>
        <w:rPr>
          <w:rFonts w:hint="default" w:ascii="Times New Roman" w:hAnsi="Times New Roman" w:eastAsia="楷体_GB2312" w:cs="Times New Roman"/>
          <w:color w:val="auto"/>
          <w:sz w:val="32"/>
          <w:highlight w:val="none"/>
          <w:lang w:val="en-US" w:eastAsia="zh-CN"/>
        </w:rPr>
        <w:t>（二）部门预算</w:t>
      </w:r>
      <w:bookmarkEnd w:id="22"/>
      <w:bookmarkEnd w:id="23"/>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24" w:name="_Toc55586770"/>
      <w:bookmarkStart w:id="25" w:name="_Toc5992"/>
      <w:bookmarkStart w:id="26" w:name="_Toc28282"/>
      <w:r>
        <w:rPr>
          <w:rFonts w:hint="default" w:ascii="Times New Roman" w:hAnsi="Times New Roman" w:eastAsia="仿宋_GB2312" w:cs="Times New Roman"/>
        </w:rPr>
        <w:t>1、</w:t>
      </w:r>
      <w:r>
        <w:rPr>
          <w:rFonts w:hint="default" w:ascii="Times New Roman" w:hAnsi="Times New Roman" w:eastAsia="仿宋_GB2312" w:cs="Times New Roman"/>
          <w:b/>
          <w:bCs/>
          <w:color w:val="000000"/>
          <w:kern w:val="0"/>
          <w:sz w:val="32"/>
          <w:szCs w:val="32"/>
          <w:highlight w:val="none"/>
          <w:lang w:val="en-US" w:eastAsia="zh-CN" w:bidi="ar"/>
        </w:rPr>
        <w:t>近三年</w:t>
      </w:r>
      <w:r>
        <w:rPr>
          <w:rFonts w:hint="eastAsia" w:eastAsia="仿宋_GB2312" w:cs="Times New Roman"/>
          <w:highlight w:val="none"/>
          <w:lang w:eastAsia="zh-CN"/>
        </w:rPr>
        <w:t>阿坝县审计局</w:t>
      </w:r>
      <w:r>
        <w:rPr>
          <w:rFonts w:hint="default" w:ascii="Times New Roman" w:hAnsi="Times New Roman" w:eastAsia="仿宋_GB2312" w:cs="Times New Roman"/>
          <w:highlight w:val="none"/>
        </w:rPr>
        <w:t>整体支出预算及使用情况</w:t>
      </w:r>
      <w:bookmarkEnd w:id="24"/>
      <w:bookmarkEnd w:id="25"/>
      <w:bookmarkEnd w:id="2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阿坝县审计局</w:t>
      </w:r>
      <w:r>
        <w:rPr>
          <w:rFonts w:hint="default" w:ascii="Times New Roman" w:hAnsi="Times New Roman" w:eastAsia="仿宋_GB2312" w:cs="Times New Roman"/>
          <w:color w:val="000000"/>
          <w:kern w:val="0"/>
          <w:sz w:val="32"/>
          <w:szCs w:val="32"/>
          <w:highlight w:val="none"/>
          <w:lang w:val="en-US" w:eastAsia="zh-CN" w:bidi="ar"/>
        </w:rPr>
        <w:t>近三年部门整体运行资金需求呈</w:t>
      </w:r>
      <w:r>
        <w:rPr>
          <w:rFonts w:hint="eastAsia" w:eastAsia="仿宋_GB2312" w:cs="Times New Roman"/>
          <w:color w:val="000000"/>
          <w:kern w:val="0"/>
          <w:sz w:val="32"/>
          <w:szCs w:val="32"/>
          <w:highlight w:val="none"/>
          <w:lang w:val="en-US" w:eastAsia="zh-CN" w:bidi="ar"/>
        </w:rPr>
        <w:t>增长</w:t>
      </w:r>
      <w:r>
        <w:rPr>
          <w:rFonts w:hint="default" w:ascii="Times New Roman" w:hAnsi="Times New Roman" w:eastAsia="仿宋_GB2312" w:cs="Times New Roman"/>
          <w:color w:val="000000"/>
          <w:kern w:val="0"/>
          <w:sz w:val="32"/>
          <w:szCs w:val="32"/>
          <w:highlight w:val="none"/>
          <w:lang w:val="en-US" w:eastAsia="zh-CN" w:bidi="ar"/>
        </w:rPr>
        <w:t>趋势，预算数年均增长率为</w:t>
      </w:r>
      <w:r>
        <w:rPr>
          <w:rFonts w:hint="eastAsia" w:eastAsia="仿宋_GB2312" w:cs="Times New Roman"/>
          <w:color w:val="000000"/>
          <w:kern w:val="0"/>
          <w:sz w:val="32"/>
          <w:szCs w:val="32"/>
          <w:highlight w:val="none"/>
          <w:lang w:val="en-US" w:eastAsia="zh-CN" w:bidi="ar"/>
        </w:rPr>
        <w:t>35.76</w:t>
      </w:r>
      <w:r>
        <w:rPr>
          <w:rFonts w:hint="default" w:ascii="Times New Roman" w:hAnsi="Times New Roman" w:eastAsia="仿宋_GB2312" w:cs="Times New Roman"/>
          <w:color w:val="000000"/>
          <w:kern w:val="0"/>
          <w:sz w:val="32"/>
          <w:szCs w:val="32"/>
          <w:highlight w:val="none"/>
          <w:lang w:val="en-US" w:eastAsia="zh-CN" w:bidi="ar"/>
        </w:rPr>
        <w:t>%，支出数年均增长率为</w:t>
      </w:r>
      <w:r>
        <w:rPr>
          <w:rFonts w:hint="eastAsia" w:eastAsia="仿宋_GB2312" w:cs="Times New Roman"/>
          <w:color w:val="000000"/>
          <w:kern w:val="0"/>
          <w:sz w:val="32"/>
          <w:szCs w:val="32"/>
          <w:highlight w:val="none"/>
          <w:lang w:val="en-US" w:eastAsia="zh-CN" w:bidi="ar"/>
        </w:rPr>
        <w:t>35.76</w:t>
      </w:r>
      <w:r>
        <w:rPr>
          <w:rFonts w:hint="default" w:ascii="Times New Roman" w:hAnsi="Times New Roman" w:eastAsia="仿宋_GB2312" w:cs="Times New Roman"/>
          <w:color w:val="000000"/>
          <w:kern w:val="0"/>
          <w:sz w:val="32"/>
          <w:szCs w:val="32"/>
          <w:highlight w:val="none"/>
          <w:lang w:val="en-US" w:eastAsia="zh-CN" w:bidi="ar"/>
        </w:rPr>
        <w:t>%，预算执行率年平均为</w:t>
      </w:r>
      <w:r>
        <w:rPr>
          <w:rFonts w:hint="eastAsia" w:eastAsia="仿宋_GB2312" w:cs="Times New Roman"/>
          <w:color w:val="000000"/>
          <w:kern w:val="0"/>
          <w:sz w:val="32"/>
          <w:szCs w:val="32"/>
          <w:highlight w:val="none"/>
          <w:lang w:val="en-US" w:eastAsia="zh-CN" w:bidi="ar"/>
        </w:rPr>
        <w:t>100</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2020-2022年阿坝县审计局</w:t>
      </w:r>
      <w:r>
        <w:rPr>
          <w:rFonts w:hint="default" w:ascii="Times New Roman" w:hAnsi="Times New Roman" w:eastAsia="仿宋_GB2312" w:cs="Times New Roman"/>
          <w:color w:val="000000"/>
          <w:kern w:val="0"/>
          <w:sz w:val="32"/>
          <w:szCs w:val="32"/>
          <w:highlight w:val="none"/>
          <w:lang w:val="en-US" w:eastAsia="zh-CN" w:bidi="ar"/>
        </w:rPr>
        <w:t>整体支出基本支出及项目支出的预算执行情况变化如下：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722" w:firstLineChars="300"/>
        <w:jc w:val="center"/>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-2022年部门整体支出</w:t>
      </w:r>
      <w:r>
        <w:rPr>
          <w:rFonts w:hint="default" w:ascii="Times New Roman" w:hAnsi="Times New Roman" w:eastAsia="仿宋_GB2312" w:cs="Times New Roman"/>
          <w:b/>
          <w:bCs/>
          <w:color w:val="000000"/>
          <w:kern w:val="0"/>
          <w:highlight w:val="none"/>
          <w:shd w:val="clear" w:color="auto" w:fill="FFFFFF"/>
        </w:rPr>
        <w:t>预算及执行情况</w:t>
      </w:r>
    </w:p>
    <w:tbl>
      <w:tblPr>
        <w:tblStyle w:val="40"/>
        <w:tblW w:w="4997"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490"/>
        <w:gridCol w:w="2632"/>
        <w:gridCol w:w="2504"/>
        <w:gridCol w:w="237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124" w:hRule="atLeast"/>
          <w:tblHeader/>
        </w:trPr>
        <w:tc>
          <w:tcPr>
            <w:tcW w:w="82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年份</w:t>
            </w:r>
          </w:p>
        </w:tc>
        <w:tc>
          <w:tcPr>
            <w:tcW w:w="1462"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预算安排（</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91"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实际支出（</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17"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shd w:val="clear" w:color="auto" w:fill="FFFFFF"/>
              </w:rPr>
              <w:t>20</w:t>
            </w:r>
            <w:r>
              <w:rPr>
                <w:rFonts w:hint="eastAsia" w:eastAsia="仿宋_GB2312" w:cs="Times New Roman"/>
                <w:color w:val="000000"/>
                <w:kern w:val="0"/>
                <w:sz w:val="24"/>
                <w:szCs w:val="24"/>
                <w:highlight w:val="none"/>
                <w:shd w:val="clear" w:color="auto" w:fill="FFFFFF"/>
                <w:lang w:val="en-US" w:eastAsia="zh-CN"/>
              </w:rPr>
              <w:t>20</w:t>
            </w:r>
            <w:r>
              <w:rPr>
                <w:rFonts w:hint="default" w:ascii="Times New Roman" w:hAnsi="Times New Roman" w:eastAsia="仿宋_GB2312" w:cs="Times New Roman"/>
                <w:color w:val="000000"/>
                <w:kern w:val="0"/>
                <w:sz w:val="24"/>
                <w:szCs w:val="24"/>
                <w:highlight w:val="none"/>
                <w:shd w:val="clear" w:color="auto" w:fill="FFFFFF"/>
              </w:rPr>
              <w:t>年</w:t>
            </w:r>
          </w:p>
        </w:tc>
        <w:tc>
          <w:tcPr>
            <w:tcW w:w="1462"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321.24</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321.24</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shd w:val="clear" w:color="auto" w:fill="FFFFFF"/>
              </w:rPr>
              <w:t>20</w:t>
            </w:r>
            <w:r>
              <w:rPr>
                <w:rFonts w:hint="eastAsia" w:eastAsia="仿宋_GB2312" w:cs="Times New Roman"/>
                <w:color w:val="000000"/>
                <w:kern w:val="0"/>
                <w:sz w:val="24"/>
                <w:szCs w:val="24"/>
                <w:highlight w:val="none"/>
                <w:shd w:val="clear" w:color="auto" w:fill="FFFFFF"/>
                <w:lang w:val="en-US" w:eastAsia="zh-CN"/>
              </w:rPr>
              <w:t>21</w:t>
            </w:r>
            <w:r>
              <w:rPr>
                <w:rFonts w:hint="default" w:ascii="Times New Roman" w:hAnsi="Times New Roman" w:eastAsia="仿宋_GB2312" w:cs="Times New Roman"/>
                <w:color w:val="000000"/>
                <w:kern w:val="0"/>
                <w:sz w:val="24"/>
                <w:szCs w:val="24"/>
                <w:highlight w:val="none"/>
                <w:shd w:val="clear" w:color="auto" w:fill="FFFFFF"/>
              </w:rPr>
              <w:t>年</w:t>
            </w:r>
          </w:p>
        </w:tc>
        <w:tc>
          <w:tcPr>
            <w:tcW w:w="1462" w:type="pct"/>
            <w:vAlign w:val="bottom"/>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407.12</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407.12</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eastAsia" w:eastAsia="仿宋_GB2312" w:cs="Times New Roman"/>
                <w:color w:val="000000"/>
                <w:kern w:val="0"/>
                <w:sz w:val="24"/>
                <w:szCs w:val="24"/>
                <w:highlight w:val="none"/>
                <w:shd w:val="clear" w:color="auto" w:fill="FFFFFF"/>
                <w:lang w:eastAsia="zh-CN"/>
              </w:rPr>
              <w:t>2022</w:t>
            </w:r>
            <w:r>
              <w:rPr>
                <w:rFonts w:hint="default" w:ascii="Times New Roman" w:hAnsi="Times New Roman" w:eastAsia="仿宋_GB2312" w:cs="Times New Roman"/>
                <w:color w:val="000000"/>
                <w:kern w:val="0"/>
                <w:sz w:val="24"/>
                <w:szCs w:val="24"/>
                <w:highlight w:val="none"/>
                <w:shd w:val="clear" w:color="auto" w:fill="FFFFFF"/>
              </w:rPr>
              <w:t>年</w:t>
            </w:r>
          </w:p>
        </w:tc>
        <w:tc>
          <w:tcPr>
            <w:tcW w:w="1462"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589.48</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589.48</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仿宋_GB2312" w:cs="Times New Roman"/>
          <w:b/>
          <w:bCs/>
          <w:color w:val="000000"/>
          <w:kern w:val="0"/>
          <w:shd w:val="clear" w:color="auto" w:fill="FFFFFF"/>
        </w:rPr>
      </w:pPr>
      <w:r>
        <w:rPr>
          <w:rFonts w:hint="default" w:ascii="Times New Roman" w:hAnsi="Times New Roman" w:eastAsia="仿宋_GB2312" w:cs="Times New Roman"/>
          <w:b/>
          <w:bCs/>
          <w:color w:val="000000"/>
          <w:kern w:val="0"/>
          <w:shd w:val="clear" w:color="auto" w:fill="FFFFFF"/>
          <w:lang w:val="en-US" w:eastAsia="zh-CN"/>
        </w:rPr>
        <w:t xml:space="preserve">图2 </w:t>
      </w:r>
      <w:r>
        <w:rPr>
          <w:rFonts w:hint="eastAsia" w:eastAsia="仿宋_GB2312" w:cs="Times New Roman"/>
          <w:b/>
          <w:bCs/>
          <w:color w:val="000000"/>
          <w:kern w:val="0"/>
          <w:shd w:val="clear" w:color="auto" w:fill="FFFFFF"/>
          <w:lang w:eastAsia="zh-CN"/>
        </w:rPr>
        <w:t>20</w:t>
      </w:r>
      <w:r>
        <w:rPr>
          <w:rFonts w:hint="eastAsia" w:eastAsia="仿宋_GB2312" w:cs="Times New Roman"/>
          <w:b/>
          <w:bCs/>
          <w:color w:val="000000"/>
          <w:kern w:val="0"/>
          <w:shd w:val="clear" w:color="auto" w:fill="FFFFFF"/>
          <w:lang w:val="en-US" w:eastAsia="zh-CN"/>
        </w:rPr>
        <w:t>20</w:t>
      </w:r>
      <w:r>
        <w:rPr>
          <w:rFonts w:hint="eastAsia" w:eastAsia="仿宋_GB2312" w:cs="Times New Roman"/>
          <w:b/>
          <w:bCs/>
          <w:color w:val="000000"/>
          <w:kern w:val="0"/>
          <w:shd w:val="clear" w:color="auto" w:fill="FFFFFF"/>
          <w:lang w:eastAsia="zh-CN"/>
        </w:rPr>
        <w:t>-2022年</w:t>
      </w:r>
      <w:r>
        <w:rPr>
          <w:rFonts w:hint="default" w:ascii="Times New Roman" w:hAnsi="Times New Roman" w:eastAsia="仿宋_GB2312" w:cs="Times New Roman"/>
          <w:b/>
          <w:bCs/>
          <w:color w:val="000000"/>
          <w:kern w:val="0"/>
          <w:shd w:val="clear" w:color="auto" w:fill="FFFFFF"/>
        </w:rPr>
        <w:t>预算及执行情况图</w:t>
      </w:r>
    </w:p>
    <w:p>
      <w:pPr>
        <w:pStyle w:val="15"/>
        <w:ind w:left="0" w:leftChars="0" w:firstLine="0" w:firstLineChars="0"/>
        <w:jc w:val="center"/>
        <w:rPr>
          <w:rFonts w:hint="eastAsia" w:eastAsia="宋体"/>
          <w:lang w:eastAsia="zh-CN"/>
        </w:rPr>
      </w:pPr>
      <w:r>
        <w:drawing>
          <wp:inline distT="0" distB="0" distL="114300" distR="114300">
            <wp:extent cx="4083685" cy="1906270"/>
            <wp:effectExtent l="0" t="0" r="5715" b="1143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7"/>
                    <a:stretch>
                      <a:fillRect/>
                    </a:stretch>
                  </pic:blipFill>
                  <pic:spPr>
                    <a:xfrm>
                      <a:off x="0" y="0"/>
                      <a:ext cx="4083685" cy="1906270"/>
                    </a:xfrm>
                    <a:prstGeom prst="rect">
                      <a:avLst/>
                    </a:prstGeom>
                    <a:noFill/>
                    <a:ln>
                      <a:noFill/>
                    </a:ln>
                  </pic:spPr>
                </pic:pic>
              </a:graphicData>
            </a:graphic>
          </wp:inline>
        </w:drawing>
      </w:r>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27" w:name="_Toc20778"/>
      <w:bookmarkStart w:id="28" w:name="_Toc3689"/>
      <w:bookmarkStart w:id="29" w:name="_Toc55586771"/>
      <w:r>
        <w:rPr>
          <w:rFonts w:hint="default" w:ascii="Times New Roman" w:hAnsi="Times New Roman" w:eastAsia="仿宋_GB2312" w:cs="Times New Roman"/>
          <w:highlight w:val="none"/>
        </w:rPr>
        <w:t>2、</w:t>
      </w:r>
      <w:r>
        <w:rPr>
          <w:rFonts w:hint="eastAsia" w:eastAsia="仿宋_GB2312" w:cs="Times New Roman"/>
          <w:highlight w:val="none"/>
          <w:lang w:eastAsia="zh-CN"/>
        </w:rPr>
        <w:t>2022</w:t>
      </w:r>
      <w:r>
        <w:rPr>
          <w:rFonts w:hint="default" w:ascii="Times New Roman" w:hAnsi="Times New Roman" w:eastAsia="仿宋_GB2312" w:cs="Times New Roman"/>
          <w:highlight w:val="none"/>
        </w:rPr>
        <w:t>年</w:t>
      </w:r>
      <w:r>
        <w:rPr>
          <w:rFonts w:hint="eastAsia" w:eastAsia="仿宋_GB2312" w:cs="Times New Roman"/>
          <w:highlight w:val="none"/>
          <w:lang w:eastAsia="zh-CN"/>
        </w:rPr>
        <w:t>阿坝县审计局</w:t>
      </w:r>
      <w:r>
        <w:rPr>
          <w:rFonts w:hint="default" w:ascii="Times New Roman" w:hAnsi="Times New Roman" w:eastAsia="仿宋_GB2312" w:cs="Times New Roman"/>
          <w:highlight w:val="none"/>
        </w:rPr>
        <w:t>预算及支出情况</w:t>
      </w:r>
      <w:bookmarkEnd w:id="27"/>
      <w:bookmarkEnd w:id="28"/>
      <w:bookmarkEnd w:id="29"/>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（1）预算资金来源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w:t>
      </w:r>
      <w:r>
        <w:rPr>
          <w:rFonts w:hint="eastAsia" w:eastAsia="仿宋_GB2312" w:cs="Times New Roman"/>
          <w:color w:val="auto"/>
          <w:kern w:val="0"/>
          <w:sz w:val="32"/>
          <w:szCs w:val="32"/>
          <w:highlight w:val="none"/>
          <w:shd w:val="clear" w:color="auto" w:fill="FFFFFF"/>
          <w:lang w:val="en-US" w:eastAsia="zh-CN" w:bidi="ar-SA"/>
        </w:rPr>
        <w:t>阿坝县审计局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年初预算数为</w:t>
      </w:r>
      <w:r>
        <w:rPr>
          <w:rFonts w:hint="eastAsia" w:eastAsia="仿宋_GB2312" w:cs="Times New Roman"/>
          <w:color w:val="auto"/>
          <w:kern w:val="0"/>
          <w:sz w:val="32"/>
          <w:szCs w:val="32"/>
          <w:highlight w:val="none"/>
          <w:shd w:val="clear" w:color="auto" w:fill="FFFFFF"/>
          <w:lang w:val="en-US" w:eastAsia="zh-CN" w:bidi="ar-SA"/>
        </w:rPr>
        <w:t>361.78</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万元，资金来源于财政拨款。</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（2）预算调整</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w:t>
      </w:r>
      <w:r>
        <w:rPr>
          <w:rFonts w:hint="eastAsia" w:eastAsia="仿宋_GB2312" w:cs="Times New Roman"/>
          <w:color w:val="auto"/>
          <w:kern w:val="0"/>
          <w:sz w:val="32"/>
          <w:szCs w:val="32"/>
          <w:highlight w:val="none"/>
          <w:shd w:val="clear" w:color="auto" w:fill="FFFFFF"/>
          <w:lang w:val="en-US" w:eastAsia="zh-CN" w:bidi="ar-SA"/>
        </w:rPr>
        <w:t>阿坝县审计局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执行过程中预算调整</w:t>
      </w:r>
      <w:r>
        <w:rPr>
          <w:rFonts w:hint="eastAsia" w:eastAsia="仿宋_GB2312" w:cs="Times New Roman"/>
          <w:color w:val="auto"/>
          <w:kern w:val="0"/>
          <w:sz w:val="32"/>
          <w:szCs w:val="32"/>
          <w:highlight w:val="none"/>
          <w:shd w:val="clear" w:color="auto" w:fill="FFFFFF"/>
          <w:lang w:val="en-US" w:eastAsia="zh-CN" w:bidi="ar-SA"/>
        </w:rPr>
        <w:t>增加227.70</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万元。其中基本支出</w:t>
      </w:r>
      <w:r>
        <w:rPr>
          <w:rFonts w:hint="eastAsia" w:eastAsia="仿宋_GB2312" w:cs="Times New Roman"/>
          <w:color w:val="auto"/>
          <w:kern w:val="0"/>
          <w:sz w:val="32"/>
          <w:szCs w:val="32"/>
          <w:highlight w:val="none"/>
          <w:shd w:val="clear" w:color="auto" w:fill="FFFFFF"/>
          <w:lang w:val="en-US" w:eastAsia="zh-CN" w:bidi="ar-SA"/>
        </w:rPr>
        <w:t>增加125.16</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万元，项目支出</w:t>
      </w:r>
      <w:r>
        <w:rPr>
          <w:rFonts w:hint="eastAsia" w:eastAsia="仿宋_GB2312" w:cs="Times New Roman"/>
          <w:color w:val="auto"/>
          <w:kern w:val="0"/>
          <w:sz w:val="32"/>
          <w:szCs w:val="32"/>
          <w:highlight w:val="none"/>
          <w:shd w:val="clear" w:color="auto" w:fill="FFFFFF"/>
          <w:lang w:val="en-US" w:eastAsia="zh-CN" w:bidi="ar-SA"/>
        </w:rPr>
        <w:t>增加102.54</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3</w:t>
      </w:r>
      <w:r>
        <w:rPr>
          <w:rFonts w:hint="default" w:ascii="Times New Roman" w:hAnsi="Times New Roman" w:eastAsia="仿宋_GB2312" w:cs="Times New Roman"/>
          <w:b/>
          <w:bCs/>
          <w:color w:val="000000"/>
          <w:kern w:val="0"/>
          <w:highlight w:val="none"/>
          <w:lang w:bidi="ar"/>
        </w:rPr>
        <w:t xml:space="preserve"> 预算调整表</w:t>
      </w:r>
    </w:p>
    <w:tbl>
      <w:tblPr>
        <w:tblStyle w:val="40"/>
        <w:tblW w:w="8931"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89"/>
        <w:gridCol w:w="1917"/>
        <w:gridCol w:w="1929"/>
        <w:gridCol w:w="1929"/>
        <w:gridCol w:w="196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57" w:hRule="atLeast"/>
          <w:tblHeader/>
        </w:trPr>
        <w:tc>
          <w:tcPr>
            <w:tcW w:w="118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color w:val="000000"/>
                <w:kern w:val="0"/>
                <w:highlight w:val="none"/>
                <w:lang w:bidi="ar"/>
              </w:rPr>
              <w:t>项目</w:t>
            </w:r>
          </w:p>
        </w:tc>
        <w:tc>
          <w:tcPr>
            <w:tcW w:w="191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年初预算数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6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调整后占比（%）</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4"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基本支出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361.78</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125.16</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486.94</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82.16%</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5"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项目支出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0.00</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102.54</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102.54</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17.39%</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（3）实际</w:t>
      </w:r>
      <w:r>
        <w:rPr>
          <w:rFonts w:hint="default" w:ascii="Times New Roman" w:hAnsi="Times New Roman" w:eastAsia="仿宋_GB2312" w:cs="Times New Roman"/>
          <w:color w:val="auto"/>
          <w:kern w:val="0"/>
          <w:sz w:val="32"/>
          <w:szCs w:val="32"/>
          <w:highlight w:val="none"/>
          <w:shd w:val="clear" w:color="auto" w:fill="FFFFFF"/>
          <w:lang w:val="en-US" w:eastAsia="zh-CN" w:bidi="ar-SA"/>
        </w:rPr>
        <w:t>资金</w:t>
      </w:r>
      <w:r>
        <w:rPr>
          <w:rFonts w:hint="default" w:ascii="Times New Roman" w:hAnsi="Times New Roman" w:eastAsia="仿宋_GB2312" w:cs="Times New Roman"/>
          <w:color w:val="000000"/>
          <w:kern w:val="0"/>
          <w:sz w:val="32"/>
          <w:szCs w:val="32"/>
          <w:highlight w:val="none"/>
          <w:lang w:val="en-US" w:eastAsia="zh-CN" w:bidi="ar"/>
        </w:rPr>
        <w:t>支出情况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w:t>
      </w:r>
      <w:r>
        <w:rPr>
          <w:rFonts w:hint="eastAsia" w:eastAsia="仿宋_GB2312" w:cs="Times New Roman"/>
          <w:color w:val="auto"/>
          <w:kern w:val="0"/>
          <w:sz w:val="32"/>
          <w:szCs w:val="32"/>
          <w:highlight w:val="none"/>
          <w:shd w:val="clear" w:color="auto" w:fill="FFFFFF"/>
          <w:lang w:val="en-US" w:eastAsia="zh-CN" w:bidi="ar-SA"/>
        </w:rPr>
        <w:t>阿坝县审计局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整体支出调整后预算为</w:t>
      </w:r>
      <w:r>
        <w:rPr>
          <w:rFonts w:hint="eastAsia" w:eastAsia="仿宋_GB2312" w:cs="Times New Roman"/>
          <w:color w:val="auto"/>
          <w:kern w:val="0"/>
          <w:sz w:val="32"/>
          <w:szCs w:val="32"/>
          <w:highlight w:val="none"/>
          <w:shd w:val="clear" w:color="auto" w:fill="FFFFFF"/>
          <w:lang w:val="en-US" w:eastAsia="zh-CN" w:bidi="ar-SA"/>
        </w:rPr>
        <w:t>589.48</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万元，实际支出为</w:t>
      </w:r>
      <w:r>
        <w:rPr>
          <w:rFonts w:hint="eastAsia" w:eastAsia="仿宋_GB2312" w:cs="Times New Roman"/>
          <w:color w:val="auto"/>
          <w:kern w:val="0"/>
          <w:sz w:val="32"/>
          <w:szCs w:val="32"/>
          <w:highlight w:val="none"/>
          <w:shd w:val="clear" w:color="auto" w:fill="FFFFFF"/>
          <w:lang w:val="en-US" w:eastAsia="zh-CN" w:bidi="ar-SA"/>
        </w:rPr>
        <w:t>589.48</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万元，预算执行率为</w:t>
      </w:r>
      <w:r>
        <w:rPr>
          <w:rFonts w:hint="eastAsia" w:ascii="Times New Roman" w:hAnsi="Times New Roman" w:eastAsia="仿宋_GB2312" w:cs="Times New Roman"/>
          <w:color w:val="auto"/>
          <w:kern w:val="0"/>
          <w:sz w:val="32"/>
          <w:szCs w:val="32"/>
          <w:highlight w:val="none"/>
          <w:shd w:val="clear" w:color="auto" w:fill="FFFFFF"/>
          <w:lang w:val="en-US" w:eastAsia="zh-CN" w:bidi="ar-SA"/>
        </w:rPr>
        <w:t>100</w:t>
      </w:r>
      <w:r>
        <w:rPr>
          <w:rFonts w:hint="default" w:ascii="Times New Roman" w:hAnsi="Times New Roman" w:eastAsia="仿宋_GB2312" w:cs="Times New Roman"/>
          <w:color w:val="auto"/>
          <w:kern w:val="0"/>
          <w:sz w:val="32"/>
          <w:szCs w:val="32"/>
          <w:highlight w:val="none"/>
          <w:shd w:val="clear" w:color="auto" w:fill="FFFFFF"/>
          <w:lang w:val="en-US" w:eastAsia="zh-CN" w:bidi="ar-SA"/>
        </w:rPr>
        <w:t>%。</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表4</w:t>
      </w:r>
      <w:r>
        <w:rPr>
          <w:rFonts w:hint="default" w:ascii="Times New Roman" w:hAnsi="Times New Roman" w:eastAsia="仿宋_GB2312" w:cs="Times New Roman"/>
          <w:b/>
          <w:bCs/>
          <w:color w:val="000000"/>
          <w:kern w:val="0"/>
          <w:highlight w:val="none"/>
          <w:lang w:bidi="ar"/>
        </w:rPr>
        <w:t xml:space="preserve"> </w:t>
      </w:r>
      <w:r>
        <w:rPr>
          <w:rFonts w:hint="eastAsia" w:eastAsia="仿宋_GB2312" w:cs="Times New Roman"/>
          <w:b/>
          <w:bCs/>
          <w:color w:val="000000"/>
          <w:kern w:val="0"/>
          <w:highlight w:val="none"/>
          <w:lang w:eastAsia="zh-CN" w:bidi="ar"/>
        </w:rPr>
        <w:t>2022</w:t>
      </w:r>
      <w:r>
        <w:rPr>
          <w:rFonts w:hint="default" w:ascii="Times New Roman" w:hAnsi="Times New Roman" w:eastAsia="仿宋_GB2312" w:cs="Times New Roman"/>
          <w:b/>
          <w:bCs/>
          <w:color w:val="000000"/>
          <w:kern w:val="0"/>
          <w:highlight w:val="none"/>
          <w:lang w:bidi="ar"/>
        </w:rPr>
        <w:t>年实际资金支出情况表</w:t>
      </w:r>
    </w:p>
    <w:tbl>
      <w:tblPr>
        <w:tblStyle w:val="40"/>
        <w:tblW w:w="4919"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599"/>
        <w:gridCol w:w="2444"/>
        <w:gridCol w:w="2385"/>
        <w:gridCol w:w="242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 w:hRule="atLeast"/>
          <w:tblHeader/>
          <w:jc w:val="center"/>
        </w:trPr>
        <w:tc>
          <w:tcPr>
            <w:tcW w:w="903"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项目</w:t>
            </w:r>
          </w:p>
        </w:tc>
        <w:tc>
          <w:tcPr>
            <w:tcW w:w="1379"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46"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实际支出数（</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70"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2"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基本支出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486.94</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486.94</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9"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项目支出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102.54</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102.54</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bl>
    <w:p>
      <w:pPr>
        <w:pStyle w:val="66"/>
        <w:spacing w:before="156" w:after="156" w:line="600" w:lineRule="exact"/>
        <w:ind w:firstLine="640"/>
        <w:rPr>
          <w:rFonts w:hint="default" w:ascii="Times New Roman" w:hAnsi="Times New Roman" w:eastAsia="楷体_GB2312" w:cs="Times New Roman"/>
          <w:color w:val="auto"/>
          <w:sz w:val="32"/>
          <w:highlight w:val="none"/>
          <w:lang w:val="en-US" w:eastAsia="zh-CN"/>
        </w:rPr>
      </w:pPr>
      <w:bookmarkStart w:id="30" w:name="_Toc9190"/>
      <w:bookmarkStart w:id="31" w:name="_Toc9185"/>
      <w:bookmarkStart w:id="32" w:name="_Toc17589"/>
      <w:r>
        <w:rPr>
          <w:rFonts w:hint="default" w:ascii="Times New Roman" w:hAnsi="Times New Roman" w:eastAsia="楷体_GB2312" w:cs="Times New Roman"/>
          <w:color w:val="auto"/>
          <w:sz w:val="32"/>
          <w:highlight w:val="none"/>
          <w:lang w:val="en-US" w:eastAsia="zh-CN"/>
        </w:rPr>
        <w:t>（三）部门固定资产</w:t>
      </w:r>
      <w:bookmarkEnd w:id="30"/>
      <w:bookmarkEnd w:id="3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w:t>
      </w:r>
      <w:r>
        <w:rPr>
          <w:rFonts w:hint="eastAsia" w:eastAsia="仿宋_GB2312" w:cs="Times New Roman"/>
          <w:color w:val="000000"/>
          <w:kern w:val="0"/>
          <w:sz w:val="32"/>
          <w:szCs w:val="32"/>
          <w:highlight w:val="none"/>
          <w:lang w:val="en-US" w:eastAsia="zh-CN" w:bidi="ar"/>
        </w:rPr>
        <w:t>2022</w:t>
      </w:r>
      <w:r>
        <w:rPr>
          <w:rFonts w:hint="default" w:ascii="Times New Roman" w:hAnsi="Times New Roman" w:eastAsia="仿宋_GB2312" w:cs="Times New Roman"/>
          <w:color w:val="000000"/>
          <w:kern w:val="0"/>
          <w:sz w:val="32"/>
          <w:szCs w:val="32"/>
          <w:highlight w:val="none"/>
          <w:lang w:val="en-US" w:eastAsia="zh-CN" w:bidi="ar"/>
        </w:rPr>
        <w:t>年12月31日，</w:t>
      </w:r>
      <w:r>
        <w:rPr>
          <w:rFonts w:hint="eastAsia" w:eastAsia="仿宋_GB2312" w:cs="Times New Roman"/>
          <w:color w:val="000000"/>
          <w:kern w:val="0"/>
          <w:sz w:val="32"/>
          <w:szCs w:val="32"/>
          <w:highlight w:val="none"/>
          <w:lang w:val="en-US" w:eastAsia="zh-CN" w:bidi="ar"/>
        </w:rPr>
        <w:t>阿坝县审计局</w:t>
      </w:r>
      <w:r>
        <w:rPr>
          <w:rFonts w:hint="default" w:ascii="Times New Roman" w:hAnsi="Times New Roman" w:eastAsia="仿宋_GB2312" w:cs="Times New Roman"/>
          <w:color w:val="000000"/>
          <w:kern w:val="0"/>
          <w:sz w:val="32"/>
          <w:szCs w:val="32"/>
          <w:highlight w:val="none"/>
          <w:lang w:val="en-US" w:eastAsia="zh-CN" w:bidi="ar"/>
        </w:rPr>
        <w:t>固定资产系统记载数</w:t>
      </w:r>
      <w:r>
        <w:rPr>
          <w:rFonts w:hint="eastAsia" w:eastAsia="仿宋_GB2312" w:cs="Times New Roman"/>
          <w:color w:val="000000"/>
          <w:kern w:val="0"/>
          <w:sz w:val="32"/>
          <w:szCs w:val="32"/>
          <w:highlight w:val="none"/>
          <w:lang w:val="en-US" w:eastAsia="zh-CN" w:bidi="ar"/>
        </w:rPr>
        <w:t>86.79</w:t>
      </w:r>
      <w:r>
        <w:rPr>
          <w:rFonts w:hint="default" w:ascii="Times New Roman" w:hAnsi="Times New Roman" w:eastAsia="仿宋_GB2312" w:cs="Times New Roman"/>
          <w:color w:val="000000"/>
          <w:kern w:val="0"/>
          <w:sz w:val="32"/>
          <w:szCs w:val="32"/>
          <w:highlight w:val="none"/>
          <w:lang w:val="en-US" w:eastAsia="zh-CN" w:bidi="ar"/>
        </w:rPr>
        <w:t>万元，固定资产账簿记载数据为</w:t>
      </w:r>
      <w:r>
        <w:rPr>
          <w:rFonts w:hint="eastAsia" w:eastAsia="仿宋_GB2312" w:cs="Times New Roman"/>
          <w:color w:val="000000"/>
          <w:kern w:val="0"/>
          <w:sz w:val="32"/>
          <w:szCs w:val="32"/>
          <w:highlight w:val="none"/>
          <w:lang w:val="en-US" w:eastAsia="zh-CN" w:bidi="ar"/>
        </w:rPr>
        <w:t>86.79</w:t>
      </w:r>
      <w:r>
        <w:rPr>
          <w:rFonts w:hint="default" w:ascii="Times New Roman" w:hAnsi="Times New Roman" w:eastAsia="仿宋_GB2312" w:cs="Times New Roman"/>
          <w:color w:val="000000"/>
          <w:kern w:val="0"/>
          <w:sz w:val="32"/>
          <w:szCs w:val="32"/>
          <w:highlight w:val="none"/>
          <w:lang w:val="en-US" w:eastAsia="zh-CN" w:bidi="ar"/>
        </w:rPr>
        <w:t>万元，固定资产系统记载数与固定资产账簿记载数一致</w:t>
      </w:r>
      <w:r>
        <w:rPr>
          <w:rFonts w:hint="eastAsia"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keepNext w:val="0"/>
        <w:keepLines w:val="0"/>
        <w:pageBreakBefore w:val="0"/>
        <w:widowControl w:val="0"/>
        <w:kinsoku/>
        <w:wordWrap/>
        <w:overflowPunct/>
        <w:topLinePunct w:val="0"/>
        <w:autoSpaceDE/>
        <w:autoSpaceDN/>
        <w:bidi w:val="0"/>
        <w:adjustRightInd/>
        <w:spacing w:line="600" w:lineRule="exact"/>
        <w:ind w:firstLine="48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5 </w:t>
      </w:r>
      <w:r>
        <w:rPr>
          <w:rFonts w:hint="eastAsia"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2022</w:t>
      </w:r>
      <w:r>
        <w:rPr>
          <w:rFonts w:hint="default" w:ascii="Times New Roman" w:hAnsi="Times New Roman" w:eastAsia="仿宋_GB2312" w:cs="Times New Roman"/>
          <w:b/>
          <w:bCs/>
          <w:color w:val="000000"/>
          <w:kern w:val="0"/>
          <w:highlight w:val="none"/>
          <w:shd w:val="clear" w:color="auto" w:fill="FFFFFF"/>
        </w:rPr>
        <w:t>年固定资产增减变动情况表</w:t>
      </w:r>
    </w:p>
    <w:tbl>
      <w:tblPr>
        <w:tblStyle w:val="40"/>
        <w:tblW w:w="9126"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13"/>
        <w:gridCol w:w="1600"/>
        <w:gridCol w:w="1687"/>
        <w:gridCol w:w="1838"/>
        <w:gridCol w:w="168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9" w:hRule="atLeast"/>
          <w:tblHeader/>
        </w:trPr>
        <w:tc>
          <w:tcPr>
            <w:tcW w:w="2313"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类别</w:t>
            </w:r>
          </w:p>
        </w:tc>
        <w:tc>
          <w:tcPr>
            <w:tcW w:w="1600"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期初数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7"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本期增加</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83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本期减少</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期末数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固定资产系统数据</w:t>
            </w:r>
          </w:p>
        </w:tc>
        <w:tc>
          <w:tcPr>
            <w:tcW w:w="1600"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86.79</w:t>
            </w:r>
          </w:p>
        </w:tc>
        <w:tc>
          <w:tcPr>
            <w:tcW w:w="1687"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86.79</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总账数据</w:t>
            </w:r>
          </w:p>
        </w:tc>
        <w:tc>
          <w:tcPr>
            <w:tcW w:w="1600"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86.79</w:t>
            </w:r>
          </w:p>
        </w:tc>
        <w:tc>
          <w:tcPr>
            <w:tcW w:w="1687"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86.79</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rPr>
      </w:pPr>
      <w:bookmarkStart w:id="33" w:name="_Toc30530"/>
      <w:bookmarkStart w:id="34" w:name="_Toc7154"/>
      <w:r>
        <w:rPr>
          <w:rFonts w:hint="default" w:ascii="Times New Roman" w:hAnsi="Times New Roman" w:eastAsia="楷体_GB2312" w:cs="Times New Roman"/>
          <w:color w:val="auto"/>
          <w:sz w:val="32"/>
        </w:rPr>
        <w:t>（四）部门管理</w:t>
      </w:r>
      <w:bookmarkEnd w:id="32"/>
      <w:bookmarkEnd w:id="33"/>
      <w:bookmarkEnd w:id="34"/>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rPr>
      </w:pPr>
      <w:bookmarkStart w:id="35" w:name="_Toc55586776"/>
      <w:bookmarkStart w:id="36" w:name="_Toc9889"/>
      <w:bookmarkStart w:id="37" w:name="_Toc21137"/>
      <w:bookmarkStart w:id="38" w:name="_Toc55586777"/>
      <w:r>
        <w:rPr>
          <w:rFonts w:hint="default" w:ascii="Times New Roman" w:hAnsi="Times New Roman" w:eastAsia="仿宋_GB2312" w:cs="Times New Roman"/>
        </w:rPr>
        <w:t>1、决策管理</w:t>
      </w:r>
      <w:bookmarkEnd w:id="35"/>
      <w:bookmarkEnd w:id="36"/>
      <w:bookmarkEnd w:id="3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重大事项决策凡涉及本办改革、发展和稳定大局，关系工作人员切身利益的重大问题，均属于重大事项决策的范围，主要内容包括：党和国家的路线、方针、政策，上级有关会议和文件精神的学习、贯彻和落实</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机关建设、精神文明建设、工会活动、政治学习、业务培训、廉政建设等工作</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重大人身伤亡、责任事故、突发事件的处置</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工作人员违规、违纪的处理</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机关各项管理制度的制定和调整</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财务年度决算、预算的申报和调整</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工资待遇、医疗等涉及干部职工切身利益的重大事项</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领导班子成员认为应当集体研究决定的其他重要问题。大额度资金的使用年度预算经费和专项经费，未列入预算、单项支出在</w:t>
      </w:r>
      <w:r>
        <w:rPr>
          <w:rFonts w:hint="eastAsia" w:eastAsia="仿宋_GB2312" w:cs="Times New Roman"/>
          <w:color w:val="auto"/>
          <w:kern w:val="0"/>
          <w:sz w:val="32"/>
          <w:szCs w:val="32"/>
          <w:highlight w:val="none"/>
          <w:shd w:val="clear" w:color="auto" w:fill="FFFFFF"/>
          <w:lang w:val="en-US" w:eastAsia="zh-CN" w:bidi="ar-SA"/>
        </w:rPr>
        <w:t>2</w:t>
      </w:r>
      <w:r>
        <w:rPr>
          <w:rFonts w:hint="eastAsia" w:ascii="Times New Roman" w:hAnsi="Times New Roman" w:eastAsia="仿宋_GB2312" w:cs="Times New Roman"/>
          <w:color w:val="auto"/>
          <w:kern w:val="0"/>
          <w:sz w:val="32"/>
          <w:szCs w:val="32"/>
          <w:highlight w:val="none"/>
          <w:shd w:val="clear" w:color="auto" w:fill="FFFFFF"/>
          <w:lang w:val="en-US" w:eastAsia="zh-CN" w:bidi="ar-SA"/>
        </w:rPr>
        <w:t>万元以上</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含</w:t>
      </w:r>
      <w:r>
        <w:rPr>
          <w:rFonts w:hint="eastAsia" w:eastAsia="仿宋_GB2312" w:cs="Times New Roman"/>
          <w:color w:val="auto"/>
          <w:kern w:val="0"/>
          <w:sz w:val="32"/>
          <w:szCs w:val="32"/>
          <w:highlight w:val="none"/>
          <w:shd w:val="clear" w:color="auto" w:fill="FFFFFF"/>
          <w:lang w:val="en-US" w:eastAsia="zh-CN" w:bidi="ar-SA"/>
        </w:rPr>
        <w:t>2</w:t>
      </w:r>
      <w:r>
        <w:rPr>
          <w:rFonts w:hint="eastAsia" w:ascii="Times New Roman" w:hAnsi="Times New Roman" w:eastAsia="仿宋_GB2312" w:cs="Times New Roman"/>
          <w:color w:val="auto"/>
          <w:kern w:val="0"/>
          <w:sz w:val="32"/>
          <w:szCs w:val="32"/>
          <w:highlight w:val="none"/>
          <w:shd w:val="clear" w:color="auto" w:fill="FFFFFF"/>
          <w:lang w:val="en-US" w:eastAsia="zh-CN" w:bidi="ar-SA"/>
        </w:rPr>
        <w:t>万元</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的资金款项的支出，应提交主任办公会讨论研究决定。</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rPr>
      </w:pPr>
      <w:bookmarkStart w:id="39" w:name="_Toc11612"/>
      <w:bookmarkStart w:id="40" w:name="_Toc17392"/>
      <w:r>
        <w:rPr>
          <w:rFonts w:hint="default" w:ascii="Times New Roman" w:hAnsi="Times New Roman" w:eastAsia="仿宋_GB2312" w:cs="Times New Roman"/>
        </w:rPr>
        <w:t>2、财务管理</w:t>
      </w:r>
      <w:bookmarkEnd w:id="38"/>
      <w:bookmarkEnd w:id="39"/>
      <w:bookmarkEnd w:id="40"/>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严格遵循财政部门时间和程序流程安排，根据财政部门各项预算编订规定进行科学合理编制，充分考虑事业发展需求和预算年度收入增减因素，量入为出，量力而行，科学统筹安排各项资金。预算编订应遵循保障局本级正常运转所需的前提，包含人员工资、机关正常办公等基本性支出需求，既要贯彻勤俭节约原则，又要保障日常工作平稳有序开展。预算编订应充分考虑</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事业发展需求和规划，由局机关各股所室和单位根据年度重点工作和</w: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begin"/>
      </w:r>
      <w:r>
        <w:rPr>
          <w:rFonts w:hint="eastAsia" w:ascii="Times New Roman" w:hAnsi="Times New Roman" w:eastAsia="仿宋_GB2312" w:cs="Times New Roman"/>
          <w:color w:val="auto"/>
          <w:kern w:val="0"/>
          <w:sz w:val="32"/>
          <w:szCs w:val="32"/>
          <w:highlight w:val="none"/>
          <w:shd w:val="clear" w:color="auto" w:fill="FFFFFF"/>
          <w:lang w:val="en-US" w:eastAsia="zh-CN" w:bidi="ar-SA"/>
        </w:rPr>
        <w:instrText xml:space="preserve"> HYPERLINK "http://www.cnrencai.com/gongzuojihua/" \t "_blank" </w:instrTex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separate"/>
      </w:r>
      <w:r>
        <w:rPr>
          <w:rFonts w:hint="eastAsia" w:ascii="Times New Roman" w:hAnsi="Times New Roman" w:eastAsia="仿宋_GB2312" w:cs="Times New Roman"/>
          <w:color w:val="auto"/>
          <w:kern w:val="0"/>
          <w:sz w:val="32"/>
          <w:szCs w:val="32"/>
          <w:highlight w:val="none"/>
          <w:shd w:val="clear" w:color="auto" w:fill="FFFFFF"/>
          <w:lang w:val="en-US" w:eastAsia="zh-CN" w:bidi="ar-SA"/>
        </w:rPr>
        <w:t>工作计划</w: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end"/>
      </w:r>
      <w:r>
        <w:rPr>
          <w:rFonts w:hint="eastAsia" w:ascii="Times New Roman" w:hAnsi="Times New Roman" w:eastAsia="仿宋_GB2312" w:cs="Times New Roman"/>
          <w:color w:val="auto"/>
          <w:kern w:val="0"/>
          <w:sz w:val="32"/>
          <w:szCs w:val="32"/>
          <w:highlight w:val="none"/>
          <w:shd w:val="clear" w:color="auto" w:fill="FFFFFF"/>
          <w:lang w:val="en-US" w:eastAsia="zh-CN" w:bidi="ar-SA"/>
        </w:rPr>
        <w:t>，编制经常性项目资金申请书，具体列明资金使用方向、范围和具体安排，实现项目预算“立项有依据，绩效有目标、计算有标准”，确保预算项目切实可行</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同时编订预算年度内设备、设施、自动化办公设备更新的政府采购计划表，以备局本级总体预算编制所需。</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shd w:val="clear" w:color="auto" w:fill="FFFFFF"/>
          <w:lang w:val="en-US" w:eastAsia="zh-CN" w:bidi="ar-SA"/>
        </w:rPr>
        <w:t>收支</w:t>
      </w:r>
      <w:r>
        <w:rPr>
          <w:rFonts w:hint="default" w:ascii="Times New Roman" w:hAnsi="Times New Roman" w:eastAsia="仿宋_GB2312" w:cs="Times New Roman"/>
          <w:color w:val="000000"/>
          <w:kern w:val="0"/>
          <w:sz w:val="32"/>
          <w:szCs w:val="32"/>
          <w:highlight w:val="none"/>
          <w:lang w:val="en-US" w:eastAsia="zh-CN" w:bidi="ar"/>
        </w:rPr>
        <w:t>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统一专户。在经营活动期间所发生的一切收入，其中属于国库收入的资金先统一缴入财政预算外资金管理中心，通过财政结算后转入</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存款</w:t>
      </w:r>
      <w:r>
        <w:rPr>
          <w:rFonts w:hint="eastAsia" w:eastAsia="仿宋_GB2312" w:cs="Times New Roman"/>
          <w:color w:val="auto"/>
          <w:kern w:val="0"/>
          <w:sz w:val="32"/>
          <w:szCs w:val="32"/>
          <w:highlight w:val="none"/>
          <w:shd w:val="clear" w:color="auto" w:fill="FFFFFF"/>
          <w:lang w:val="en-US" w:eastAsia="zh-CN" w:bidi="ar-SA"/>
        </w:rPr>
        <w:t>账户；</w:t>
      </w:r>
      <w:r>
        <w:rPr>
          <w:rFonts w:hint="eastAsia" w:ascii="Times New Roman" w:hAnsi="Times New Roman" w:eastAsia="仿宋_GB2312" w:cs="Times New Roman"/>
          <w:color w:val="auto"/>
          <w:kern w:val="0"/>
          <w:sz w:val="32"/>
          <w:szCs w:val="32"/>
          <w:highlight w:val="none"/>
          <w:shd w:val="clear" w:color="auto" w:fill="FFFFFF"/>
          <w:lang w:val="en-US" w:eastAsia="zh-CN" w:bidi="ar-SA"/>
        </w:rPr>
        <w:t>其他资金专户收入，要及时缴入单位账户，不得在帐外私存和私设小金库。规范管理。局所管理的各部门必须建立健全收支管理制度</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严禁任何股所室外购票据。对当日的收入款项应当日入库，不得坐支。局基本经费支出主要由办公费、差旅费、招待费、交通费、会议费支出等组成。局财务室应根据县财政核定的年度经费预算编制局年度基本经费支出分月计划，并在保证局机关正常公务活动下严格按计划控制基本经费支出。其中招待费全年支出必须控制在单位纪检部门与财政部门下达的支出控制范围内。</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41" w:name="_Toc55586778"/>
      <w:bookmarkStart w:id="42" w:name="_Toc6923"/>
      <w:bookmarkStart w:id="43" w:name="_Toc26387"/>
      <w:r>
        <w:rPr>
          <w:rFonts w:hint="default" w:ascii="Times New Roman" w:hAnsi="Times New Roman" w:eastAsia="仿宋_GB2312" w:cs="Times New Roman"/>
          <w:highlight w:val="none"/>
        </w:rPr>
        <w:t>3、资产管理</w:t>
      </w:r>
      <w:bookmarkEnd w:id="41"/>
      <w:bookmarkEnd w:id="42"/>
      <w:bookmarkEnd w:id="43"/>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建立了《资产管理内部控制制度》，制度规定建立资产卡片和资产台账等，如实反映单位资产状况，便于及时调用、查询等。资产处置经过适当审批，资产处置方式合理，处置过程合法合规，处置价格经过恰当评估，防止国有资产流失。</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应当按照“先审核新增资产配置计划，再编制配置预算”的要求，加强新增资产配置。严格按照财政局审核后的新增资产配置计划，编制新增资产配置预算。未经审核或审核未通过，不得编制新增资产配置预算。</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 xml:space="preserve">购置纳入政府采购范围的资产，应当按照政府采购的规定执行。 </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购置有规定配备标准的资产，除国家另有规定外，应当按下列程序报批：由办公室审核资产存量，提出拟购置资产的品目、数量，测算经费额度，经办公室审核同意后报同级财政部门审批，并按照同级财政部门要求提交相关材料；经同级财政部门审批同意，</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可以将资产购置项目列入单位年度部门预算，并在编制年度部门预算时将批复文件和相关材料一并报同级财政部门，作为审批部门预算的依据。未经批准，不得列入部门预算，也不得列入单位经费支出。</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经批准召开重大会议、举办大型活动等需要购置资产的，由会议或者活动主办单位按照以上规定程序报批。</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 w:cs="Times New Roman"/>
          <w:color w:val="auto"/>
          <w:sz w:val="32"/>
          <w:highlight w:val="none"/>
          <w:lang w:val="en-US" w:eastAsia="zh-CN"/>
        </w:rPr>
      </w:pPr>
      <w:bookmarkStart w:id="44" w:name="_Toc4936"/>
      <w:bookmarkStart w:id="45" w:name="_Toc27369"/>
      <w:r>
        <w:rPr>
          <w:rFonts w:hint="default" w:ascii="Times New Roman" w:hAnsi="Times New Roman" w:eastAsia="楷体_GB2312" w:cs="Times New Roman"/>
          <w:color w:val="auto"/>
          <w:sz w:val="32"/>
          <w:highlight w:val="none"/>
        </w:rPr>
        <w:t>（五）</w:t>
      </w:r>
      <w:r>
        <w:rPr>
          <w:rFonts w:hint="eastAsia" w:ascii="Times New Roman" w:hAnsi="Times New Roman" w:eastAsia="楷体_GB2312" w:cs="Times New Roman"/>
          <w:color w:val="auto"/>
          <w:sz w:val="32"/>
          <w:highlight w:val="none"/>
          <w:lang w:eastAsia="zh-CN"/>
        </w:rPr>
        <w:t>阿坝县审计局2022</w:t>
      </w:r>
      <w:r>
        <w:rPr>
          <w:rFonts w:hint="eastAsia" w:ascii="Times New Roman" w:hAnsi="Times New Roman" w:eastAsia="楷体_GB2312" w:cs="Times New Roman"/>
          <w:color w:val="auto"/>
          <w:sz w:val="32"/>
          <w:highlight w:val="none"/>
          <w:lang w:val="en-US" w:eastAsia="zh-CN"/>
        </w:rPr>
        <w:t>年</w:t>
      </w:r>
      <w:r>
        <w:rPr>
          <w:rFonts w:hint="default" w:ascii="Times New Roman" w:hAnsi="Times New Roman" w:eastAsia="楷体_GB2312" w:cs="Times New Roman"/>
          <w:color w:val="auto"/>
          <w:sz w:val="32"/>
          <w:highlight w:val="none"/>
        </w:rPr>
        <w:t>重点工作</w:t>
      </w:r>
      <w:bookmarkEnd w:id="44"/>
      <w:bookmarkEnd w:id="45"/>
    </w:p>
    <w:bookmarkEnd w:id="9"/>
    <w:bookmarkEnd w:id="10"/>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eastAsia="楷体_GB2312" w:cs="Times New Roman"/>
          <w:b/>
          <w:bCs/>
          <w:color w:val="auto"/>
          <w:kern w:val="2"/>
          <w:sz w:val="32"/>
          <w:szCs w:val="32"/>
          <w:highlight w:val="none"/>
          <w:lang w:val="en-US" w:eastAsia="zh-CN" w:bidi="ar-SA"/>
        </w:rPr>
        <w:t>阿坝县审计局2022</w:t>
      </w:r>
      <w:r>
        <w:rPr>
          <w:rFonts w:hint="eastAsia" w:ascii="Times New Roman" w:hAnsi="Times New Roman" w:eastAsia="楷体_GB2312" w:cs="Times New Roman"/>
          <w:b/>
          <w:bCs/>
          <w:color w:val="auto"/>
          <w:kern w:val="2"/>
          <w:sz w:val="32"/>
          <w:szCs w:val="32"/>
          <w:highlight w:val="none"/>
          <w:lang w:val="en-US" w:eastAsia="zh-CN" w:bidi="ar-SA"/>
        </w:rPr>
        <w:t>年重点工作：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一是全面完成局部门预算执行审计。加强现场审计管理加快审计进度，力争在6月底完成2021年部门预算执行情况及其他财政财务收支情况。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二是开展资源环境审计。重点关注乡镇领导干部履行自然资源资产管理和生态环境保护责任的具体措施及取得成效.按照组织部委托，开展乡镇党政领导干部自然资源资产离任或</w:t>
      </w:r>
      <w:r>
        <w:rPr>
          <w:rFonts w:hint="eastAsia" w:eastAsia="仿宋_GB2312" w:cs="Times New Roman"/>
          <w:color w:val="auto"/>
          <w:kern w:val="0"/>
          <w:sz w:val="32"/>
          <w:szCs w:val="32"/>
          <w:highlight w:val="none"/>
          <w:shd w:val="clear" w:color="auto" w:fill="FFFFFF"/>
          <w:lang w:val="en-US" w:eastAsia="zh-CN" w:bidi="ar-SA"/>
        </w:rPr>
        <w:t>（任中）</w:t>
      </w:r>
      <w:r>
        <w:rPr>
          <w:rFonts w:hint="eastAsia" w:ascii="Times New Roman" w:hAnsi="Times New Roman" w:eastAsia="仿宋_GB2312" w:cs="Times New Roman"/>
          <w:color w:val="auto"/>
          <w:kern w:val="0"/>
          <w:sz w:val="32"/>
          <w:szCs w:val="32"/>
          <w:highlight w:val="none"/>
          <w:shd w:val="clear" w:color="auto" w:fill="FFFFFF"/>
          <w:lang w:val="en-US" w:eastAsia="zh-CN" w:bidi="ar-SA"/>
        </w:rPr>
        <w:t>审计。</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三是开展经济责任审计。以促进领导干部守法守纪守规尽责、廉洁用权、干净干事为目标，紧扣经济责任范围，紧盯领导干部决策等权力行使重点事项</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提高经济责任审计精准性促进领导干部主动作为、有效作为，高效实施并完成经济责任审计项目。</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四是全面开展固定资产投资审计。为确保项目建设规范有序、廉洁高效、公开透明，促进相关单位和人员履职尽责积极发挥审计监督作用，对建设单位组织实施的政府投资项目工程建设管理情况进行审计。</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五是全面完成县级预算管理审计。以推动积极财政政策落实、深化预算管理制度改革、促进全面实施预算绩效管理防控政府债务和隐性债务风险为目标，开展财政预算执行及决算</w:t>
      </w:r>
      <w:r>
        <w:rPr>
          <w:rFonts w:hint="eastAsia" w:eastAsia="仿宋_GB2312" w:cs="Times New Roman"/>
          <w:color w:val="auto"/>
          <w:kern w:val="0"/>
          <w:sz w:val="32"/>
          <w:szCs w:val="32"/>
          <w:highlight w:val="none"/>
          <w:shd w:val="clear" w:color="auto" w:fill="FFFFFF"/>
          <w:lang w:val="en-US" w:eastAsia="zh-CN" w:bidi="ar-SA"/>
        </w:rPr>
        <w:t>（草案）</w:t>
      </w:r>
      <w:r>
        <w:rPr>
          <w:rFonts w:hint="eastAsia" w:ascii="Times New Roman" w:hAnsi="Times New Roman" w:eastAsia="仿宋_GB2312" w:cs="Times New Roman"/>
          <w:color w:val="auto"/>
          <w:kern w:val="0"/>
          <w:sz w:val="32"/>
          <w:szCs w:val="32"/>
          <w:highlight w:val="none"/>
          <w:shd w:val="clear" w:color="auto" w:fill="FFFFFF"/>
          <w:lang w:val="en-US" w:eastAsia="zh-CN" w:bidi="ar-SA"/>
        </w:rPr>
        <w:t>编制审计。计划</w:t>
      </w:r>
      <w:r>
        <w:rPr>
          <w:rFonts w:hint="eastAsia" w:eastAsia="仿宋_GB2312" w:cs="Times New Roman"/>
          <w:color w:val="auto"/>
          <w:kern w:val="0"/>
          <w:sz w:val="32"/>
          <w:szCs w:val="32"/>
          <w:highlight w:val="none"/>
          <w:shd w:val="clear" w:color="auto" w:fill="FFFFFF"/>
          <w:lang w:val="en-US" w:eastAsia="zh-CN" w:bidi="ar-SA"/>
        </w:rPr>
        <w:t>6</w:t>
      </w:r>
      <w:r>
        <w:rPr>
          <w:rFonts w:hint="eastAsia" w:ascii="Times New Roman" w:hAnsi="Times New Roman" w:eastAsia="仿宋_GB2312" w:cs="Times New Roman"/>
          <w:color w:val="auto"/>
          <w:kern w:val="0"/>
          <w:sz w:val="32"/>
          <w:szCs w:val="32"/>
          <w:highlight w:val="none"/>
          <w:shd w:val="clear" w:color="auto" w:fill="FFFFFF"/>
          <w:lang w:val="en-US" w:eastAsia="zh-CN" w:bidi="ar-SA"/>
        </w:rPr>
        <w:t>月底前出具审计报告。</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46" w:name="_Toc15462"/>
      <w:bookmarkStart w:id="47" w:name="_Toc29783"/>
      <w:r>
        <w:rPr>
          <w:rFonts w:hint="default" w:ascii="Times New Roman" w:hAnsi="Times New Roman" w:cs="Times New Roman"/>
          <w:sz w:val="30"/>
          <w:szCs w:val="30"/>
        </w:rPr>
        <w:t>二、评价思路和实施过程</w:t>
      </w:r>
      <w:bookmarkEnd w:id="46"/>
      <w:bookmarkEnd w:id="4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本次评价对象是</w:t>
      </w:r>
      <w:r>
        <w:rPr>
          <w:rFonts w:hint="eastAsia" w:eastAsia="仿宋_GB2312" w:cs="Times New Roman"/>
          <w:color w:val="000000"/>
          <w:kern w:val="0"/>
          <w:sz w:val="32"/>
          <w:szCs w:val="32"/>
          <w:highlight w:val="none"/>
          <w:lang w:val="en-US" w:eastAsia="zh-CN" w:bidi="ar"/>
        </w:rPr>
        <w:t>阿坝县审计局</w:t>
      </w:r>
      <w:r>
        <w:rPr>
          <w:rFonts w:hint="default" w:ascii="Times New Roman" w:hAnsi="Times New Roman" w:eastAsia="仿宋_GB2312" w:cs="Times New Roman"/>
          <w:color w:val="000000"/>
          <w:kern w:val="0"/>
          <w:sz w:val="32"/>
          <w:szCs w:val="32"/>
          <w:highlight w:val="none"/>
          <w:lang w:val="en-US" w:eastAsia="zh-CN" w:bidi="ar"/>
        </w:rPr>
        <w:t>。在获取</w:t>
      </w:r>
      <w:r>
        <w:rPr>
          <w:rFonts w:hint="eastAsia" w:eastAsia="仿宋_GB2312" w:cs="Times New Roman"/>
          <w:color w:val="000000"/>
          <w:kern w:val="0"/>
          <w:sz w:val="32"/>
          <w:szCs w:val="32"/>
          <w:highlight w:val="none"/>
          <w:lang w:val="en-US" w:eastAsia="zh-CN" w:bidi="ar"/>
        </w:rPr>
        <w:t>阿坝县审计局</w:t>
      </w:r>
      <w:r>
        <w:rPr>
          <w:rFonts w:hint="default" w:ascii="Times New Roman" w:hAnsi="Times New Roman" w:eastAsia="仿宋_GB2312" w:cs="Times New Roman"/>
          <w:color w:val="000000"/>
          <w:kern w:val="0"/>
          <w:sz w:val="32"/>
          <w:szCs w:val="32"/>
          <w:highlight w:val="none"/>
          <w:lang w:val="en-US" w:eastAsia="zh-CN" w:bidi="ar"/>
        </w:rPr>
        <w:t>三定方案、职责、工作计划、财务基础数据等基础资料的基础上，形成以指标体系、社会调研为核心的工作方案。收集全部所需资料，通过对相关资料的分析，利用指标体系对</w:t>
      </w:r>
      <w:r>
        <w:rPr>
          <w:rFonts w:hint="eastAsia" w:eastAsia="仿宋_GB2312" w:cs="Times New Roman"/>
          <w:color w:val="000000"/>
          <w:kern w:val="0"/>
          <w:sz w:val="32"/>
          <w:szCs w:val="32"/>
          <w:highlight w:val="none"/>
          <w:lang w:val="en-US" w:eastAsia="zh-CN" w:bidi="ar"/>
        </w:rPr>
        <w:t>2022年阿坝县审计局</w:t>
      </w:r>
      <w:r>
        <w:rPr>
          <w:rFonts w:hint="default" w:ascii="Times New Roman" w:hAnsi="Times New Roman" w:eastAsia="仿宋_GB2312" w:cs="Times New Roman"/>
          <w:color w:val="000000"/>
          <w:kern w:val="0"/>
          <w:sz w:val="32"/>
          <w:szCs w:val="32"/>
          <w:highlight w:val="none"/>
          <w:lang w:val="en-US" w:eastAsia="zh-CN" w:bidi="ar"/>
        </w:rPr>
        <w:t>整体支出情况进行绩效评价。</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48" w:name="_Toc27782"/>
      <w:bookmarkStart w:id="49" w:name="_Toc7980"/>
      <w:bookmarkStart w:id="50" w:name="_Toc8484"/>
      <w:bookmarkStart w:id="51" w:name="_Toc32353"/>
      <w:bookmarkStart w:id="52" w:name="_Toc27989"/>
      <w:r>
        <w:rPr>
          <w:rFonts w:hint="default" w:ascii="Times New Roman" w:hAnsi="Times New Roman" w:eastAsia="楷体_GB2312" w:cs="Times New Roman"/>
          <w:color w:val="auto"/>
          <w:sz w:val="32"/>
        </w:rPr>
        <w:t>（一）评价目的</w:t>
      </w:r>
      <w:bookmarkEnd w:id="48"/>
      <w:bookmarkEnd w:id="49"/>
      <w:bookmarkEnd w:id="50"/>
      <w:bookmarkEnd w:id="51"/>
      <w:bookmarkEnd w:id="52"/>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分析部门</w:t>
      </w:r>
      <w:r>
        <w:rPr>
          <w:rFonts w:hint="default" w:ascii="Times New Roman" w:hAnsi="Times New Roman" w:eastAsia="仿宋_GB2312" w:cs="Times New Roman"/>
          <w:color w:val="000000"/>
          <w:kern w:val="0"/>
          <w:sz w:val="32"/>
          <w:szCs w:val="32"/>
          <w:highlight w:val="none"/>
          <w:lang w:val="en-US" w:eastAsia="zh-CN" w:bidi="ar"/>
        </w:rPr>
        <w:t>资源</w:t>
      </w:r>
      <w:r>
        <w:rPr>
          <w:rFonts w:hint="default" w:ascii="Times New Roman" w:hAnsi="Times New Roman" w:eastAsia="仿宋_GB2312" w:cs="Times New Roman"/>
          <w:color w:val="auto"/>
          <w:kern w:val="0"/>
          <w:sz w:val="32"/>
          <w:szCs w:val="32"/>
          <w:highlight w:val="none"/>
          <w:shd w:val="clear" w:color="auto" w:fill="FFFFFF"/>
          <w:lang w:val="en-US" w:eastAsia="zh-CN" w:bidi="ar-SA"/>
        </w:rPr>
        <w:t>配置</w:t>
      </w:r>
      <w:r>
        <w:rPr>
          <w:rFonts w:hint="default" w:ascii="Times New Roman" w:hAnsi="Times New Roman" w:eastAsia="仿宋_GB2312" w:cs="Times New Roman"/>
          <w:color w:val="000000"/>
          <w:kern w:val="0"/>
          <w:sz w:val="32"/>
          <w:szCs w:val="32"/>
          <w:highlight w:val="none"/>
          <w:lang w:val="en-US" w:eastAsia="zh-CN" w:bidi="ar"/>
        </w:rPr>
        <w:t>的合理性、目标计划完成与履职情况，总结经验做法，找出资金使用和管理中的薄弱环节，提出改进建议，提高财政资金的使用效率。</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53" w:name="_Toc10108"/>
      <w:bookmarkStart w:id="54" w:name="_Toc22691"/>
      <w:bookmarkStart w:id="55" w:name="_Toc25711"/>
      <w:bookmarkStart w:id="56" w:name="_Toc22204"/>
      <w:bookmarkStart w:id="57" w:name="_Toc6928"/>
      <w:bookmarkStart w:id="58" w:name="_Toc2004"/>
      <w:r>
        <w:rPr>
          <w:rFonts w:hint="default" w:ascii="Times New Roman" w:hAnsi="Times New Roman" w:eastAsia="楷体_GB2312" w:cs="Times New Roman"/>
          <w:color w:val="auto"/>
          <w:sz w:val="32"/>
        </w:rPr>
        <w:t>（二）</w:t>
      </w:r>
      <w:bookmarkEnd w:id="53"/>
      <w:bookmarkEnd w:id="54"/>
      <w:bookmarkEnd w:id="55"/>
      <w:r>
        <w:rPr>
          <w:rFonts w:hint="default" w:ascii="Times New Roman" w:hAnsi="Times New Roman" w:eastAsia="楷体_GB2312" w:cs="Times New Roman"/>
          <w:color w:val="auto"/>
          <w:sz w:val="32"/>
        </w:rPr>
        <w:t>评价方法</w:t>
      </w:r>
      <w:bookmarkEnd w:id="56"/>
      <w:bookmarkEnd w:id="57"/>
      <w:bookmarkEnd w:id="58"/>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（1）对比法</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是指通过对绩效目标与实际完成结果的对比，对绩效指标完成情况进行比较，综合分析绩效目标实现程度。项目小组根据收集的部门预算执行相关资料，结合现场查看，了解部门预算执行实际情况，与绩效目标进行对比，评价绩效目标的实现程度；同时项目小组将收集部门预算三年的执行数据，分析其完成情况并进行比较，评价其目标实现程度。</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（2）数据采集法</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是指采用各种专业（或专门）指标的计算方法，通过部门预算资金支出的相关数据，采用统计或核算等方式计算实际完成或达到的结果，评价绩效目标实现程度。项目小组根据相关文件依据，设计符合项目特点的评价指标体系，然后采集数据按照计算公式进行计算分析，并根据计算结果分析部门整体绩效目标实现程度。</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59" w:name="_Toc29947"/>
      <w:bookmarkStart w:id="60" w:name="_Toc31793"/>
      <w:bookmarkStart w:id="61" w:name="_Toc26765"/>
      <w:r>
        <w:rPr>
          <w:rFonts w:hint="default" w:ascii="Times New Roman" w:hAnsi="Times New Roman" w:eastAsia="楷体_GB2312" w:cs="Times New Roman"/>
          <w:color w:val="auto"/>
          <w:sz w:val="32"/>
        </w:rPr>
        <w:t>（三）数据采集方法及过程</w:t>
      </w:r>
      <w:bookmarkEnd w:id="59"/>
      <w:bookmarkEnd w:id="60"/>
      <w:bookmarkEnd w:id="6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本次绩效评价数据包括定性和定量两种数据，定性数据主要通过实地考察方式来采集，定量数据的采集主要通过实地采集数据。</w:t>
      </w:r>
    </w:p>
    <w:p>
      <w:pPr>
        <w:pStyle w:val="2"/>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62" w:name="_Toc6126"/>
      <w:bookmarkStart w:id="63" w:name="_Toc9222"/>
      <w:bookmarkStart w:id="64" w:name="_Toc13289"/>
      <w:r>
        <w:rPr>
          <w:rFonts w:hint="default" w:ascii="Times New Roman" w:hAnsi="Times New Roman" w:cs="Times New Roman"/>
          <w:sz w:val="30"/>
          <w:szCs w:val="30"/>
        </w:rPr>
        <w:t>三、评价结论及绩效分析</w:t>
      </w:r>
      <w:bookmarkEnd w:id="62"/>
      <w:bookmarkEnd w:id="63"/>
      <w:bookmarkEnd w:id="64"/>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65" w:name="_Toc25365"/>
      <w:bookmarkStart w:id="66" w:name="_Toc14574"/>
      <w:r>
        <w:rPr>
          <w:rFonts w:hint="default" w:ascii="Times New Roman" w:hAnsi="Times New Roman" w:eastAsia="楷体_GB2312" w:cs="Times New Roman"/>
          <w:color w:val="auto"/>
          <w:sz w:val="32"/>
        </w:rPr>
        <w:t>（一）评价结论</w:t>
      </w:r>
      <w:bookmarkEnd w:id="65"/>
      <w:bookmarkEnd w:id="6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bookmarkStart w:id="67" w:name="_Toc22480"/>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2022年1月-2022年12月</w:t>
      </w:r>
      <w:r>
        <w:rPr>
          <w:rFonts w:hint="eastAsia" w:eastAsia="仿宋_GB2312" w:cs="Times New Roman"/>
          <w:color w:val="000000"/>
          <w:kern w:val="0"/>
          <w:sz w:val="32"/>
          <w:szCs w:val="32"/>
          <w:highlight w:val="none"/>
          <w:lang w:val="en-US" w:eastAsia="zh-CN" w:bidi="ar"/>
        </w:rPr>
        <w:t>阿坝县审计局</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53.96</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得分</w:t>
      </w:r>
      <w:r>
        <w:rPr>
          <w:rFonts w:hint="eastAsia" w:eastAsia="仿宋_GB2312" w:cs="Times New Roman"/>
          <w:color w:val="auto"/>
          <w:kern w:val="0"/>
          <w:sz w:val="32"/>
          <w:szCs w:val="32"/>
          <w:highlight w:val="none"/>
          <w:shd w:val="clear" w:color="auto" w:fill="FFFFFF"/>
          <w:lang w:val="en-US" w:eastAsia="zh-CN" w:bidi="ar-SA"/>
        </w:rPr>
        <w:t>71</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4"/>
        <w:gridCol w:w="1122"/>
        <w:gridCol w:w="1334"/>
        <w:gridCol w:w="1744"/>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部门预算项目绩效管理</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60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44</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34.16</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112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17.80</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w:t>
            </w:r>
            <w:r>
              <w:rPr>
                <w:rFonts w:hint="default" w:ascii="Times New Roman" w:hAnsi="Times New Roman" w:eastAsia="仿宋_GB2312" w:cs="Times New Roman"/>
                <w:color w:val="000000"/>
                <w:kern w:val="0"/>
                <w:highlight w:val="none"/>
                <w:lang w:val="en-US" w:eastAsia="zh-CN" w:bidi="ar"/>
              </w:rPr>
              <w:t>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10</w:t>
            </w:r>
          </w:p>
        </w:tc>
        <w:tc>
          <w:tcPr>
            <w:tcW w:w="13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100</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76</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53.96</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6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71</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bidi="ar"/>
              </w:rPr>
            </w:pPr>
            <w:r>
              <w:rPr>
                <w:rFonts w:hint="eastAsia" w:eastAsia="仿宋_GB2312" w:cs="Times New Roman"/>
                <w:b/>
                <w:bCs/>
                <w:color w:val="000000"/>
                <w:kern w:val="0"/>
                <w:highlight w:val="none"/>
                <w:lang w:val="en-US" w:eastAsia="zh-CN" w:bidi="ar"/>
              </w:rPr>
              <w:t>71%</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textAlignment w:val="auto"/>
        <w:rPr>
          <w:rFonts w:hint="default" w:ascii="Times New Roman" w:hAnsi="Times New Roman" w:eastAsia="楷体_GB2312" w:cs="Times New Roman"/>
          <w:color w:val="auto"/>
          <w:sz w:val="32"/>
        </w:rPr>
      </w:pPr>
      <w:bookmarkStart w:id="68" w:name="_Toc9608"/>
      <w:bookmarkStart w:id="69" w:name="_Toc17584"/>
      <w:r>
        <w:rPr>
          <w:rFonts w:hint="default" w:ascii="Times New Roman" w:hAnsi="Times New Roman" w:eastAsia="楷体_GB2312" w:cs="Times New Roman"/>
          <w:color w:val="auto"/>
          <w:sz w:val="32"/>
        </w:rPr>
        <w:t>（二）绩效分析</w:t>
      </w:r>
      <w:bookmarkEnd w:id="67"/>
      <w:bookmarkEnd w:id="68"/>
      <w:bookmarkEnd w:id="69"/>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70" w:name="_Toc55586789"/>
      <w:bookmarkStart w:id="71" w:name="_Toc6635"/>
      <w:bookmarkStart w:id="72" w:name="_Toc15418"/>
      <w:r>
        <w:rPr>
          <w:rFonts w:hint="default" w:ascii="Times New Roman" w:hAnsi="Times New Roman" w:eastAsia="仿宋_GB2312" w:cs="Times New Roman"/>
          <w:highlight w:val="none"/>
        </w:rPr>
        <w:t>1、部门预算管理情况分析</w:t>
      </w:r>
      <w:bookmarkEnd w:id="70"/>
      <w:bookmarkEnd w:id="71"/>
      <w:bookmarkEnd w:id="72"/>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该指标权重为</w:t>
      </w:r>
      <w:r>
        <w:rPr>
          <w:rFonts w:hint="eastAsia" w:eastAsia="仿宋_GB2312" w:cs="Times New Roman"/>
          <w:color w:val="auto"/>
          <w:kern w:val="0"/>
          <w:sz w:val="32"/>
          <w:szCs w:val="32"/>
          <w:highlight w:val="none"/>
          <w:shd w:val="clear" w:color="auto" w:fill="FFFFFF"/>
          <w:lang w:val="en-US" w:eastAsia="zh-CN" w:bidi="ar-SA"/>
        </w:rPr>
        <w:t>60</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分，评价权重</w:t>
      </w:r>
      <w:r>
        <w:rPr>
          <w:rFonts w:hint="eastAsia" w:eastAsia="仿宋_GB2312" w:cs="Times New Roman"/>
          <w:color w:val="auto"/>
          <w:kern w:val="0"/>
          <w:sz w:val="32"/>
          <w:szCs w:val="32"/>
          <w:highlight w:val="none"/>
          <w:shd w:val="clear" w:color="auto" w:fill="FFFFFF"/>
          <w:lang w:val="en-US" w:eastAsia="zh-CN" w:bidi="ar-SA"/>
        </w:rPr>
        <w:t>44</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分，评价权重得分</w:t>
      </w:r>
      <w:r>
        <w:rPr>
          <w:rFonts w:hint="eastAsia" w:eastAsia="仿宋_GB2312" w:cs="Times New Roman"/>
          <w:color w:val="auto"/>
          <w:kern w:val="0"/>
          <w:sz w:val="32"/>
          <w:szCs w:val="32"/>
          <w:highlight w:val="none"/>
          <w:shd w:val="clear" w:color="auto" w:fill="FFFFFF"/>
          <w:lang w:val="en-US" w:eastAsia="zh-CN" w:bidi="ar-SA"/>
        </w:rPr>
        <w:t>34.16</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分。用于考察评价部门绩效目标是否要素完整、细化量化并集体决策</w:t>
      </w:r>
      <w:r>
        <w:rPr>
          <w:rFonts w:hint="eastAsia" w:ascii="Times New Roman" w:hAnsi="Times New Roman" w:eastAsia="仿宋_GB2312" w:cs="Times New Roman"/>
          <w:color w:val="auto"/>
          <w:kern w:val="0"/>
          <w:sz w:val="32"/>
          <w:szCs w:val="32"/>
          <w:highlight w:val="none"/>
          <w:shd w:val="clear" w:color="auto" w:fill="FFFFFF"/>
          <w:lang w:val="en-US" w:eastAsia="zh-CN" w:bidi="ar-SA"/>
        </w:rPr>
        <w:t>情况；评价部门绩效目标实际实现程度与预期目标的偏离度；部门公用经费及非定额公用支出控制情况；评价部门在</w:t>
      </w:r>
      <w:r>
        <w:rPr>
          <w:rFonts w:hint="eastAsia" w:eastAsia="仿宋_GB2312" w:cs="Times New Roman"/>
          <w:color w:val="auto"/>
          <w:kern w:val="0"/>
          <w:sz w:val="32"/>
          <w:szCs w:val="32"/>
          <w:highlight w:val="none"/>
          <w:shd w:val="clear" w:color="auto" w:fill="FFFFFF"/>
          <w:lang w:val="en-US" w:eastAsia="zh-CN" w:bidi="ar-SA"/>
        </w:rPr>
        <w:t>2022</w:t>
      </w:r>
      <w:r>
        <w:rPr>
          <w:rFonts w:hint="eastAsia" w:ascii="Times New Roman" w:hAnsi="Times New Roman" w:eastAsia="仿宋_GB2312" w:cs="Times New Roman"/>
          <w:color w:val="auto"/>
          <w:kern w:val="0"/>
          <w:sz w:val="32"/>
          <w:szCs w:val="32"/>
          <w:highlight w:val="none"/>
          <w:shd w:val="clear" w:color="auto" w:fill="FFFFFF"/>
          <w:lang w:val="en-US" w:eastAsia="zh-CN" w:bidi="ar-SA"/>
        </w:rPr>
        <w:t>年6、9、11月的预算执行情况；评价部门预算项目年终预算执行情况；根据审计监督、财政检查结果反映部门上一年度部门预算管理是否合规</w:t>
      </w:r>
      <w:r>
        <w:rPr>
          <w:rFonts w:hint="default" w:ascii="Times New Roman" w:hAnsi="Times New Roman" w:eastAsia="仿宋_GB2312" w:cs="Times New Roman"/>
          <w:color w:val="auto"/>
          <w:kern w:val="0"/>
          <w:sz w:val="32"/>
          <w:szCs w:val="32"/>
          <w:highlight w:val="none"/>
          <w:shd w:val="clear" w:color="auto" w:fill="FFFFFF"/>
          <w:lang w:val="en-US" w:eastAsia="zh-CN" w:bidi="ar-SA"/>
        </w:rPr>
        <w:t>等。</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7</w:t>
      </w:r>
      <w:r>
        <w:rPr>
          <w:rFonts w:hint="default" w:ascii="Times New Roman" w:hAnsi="Times New Roman" w:eastAsia="仿宋_GB2312" w:cs="Times New Roman"/>
          <w:b/>
          <w:bCs/>
          <w:color w:val="000000"/>
          <w:kern w:val="0"/>
          <w:highlight w:val="none"/>
          <w:lang w:bidi="ar"/>
        </w:rPr>
        <w:t xml:space="preserve"> </w:t>
      </w:r>
      <w:r>
        <w:rPr>
          <w:rFonts w:hint="default" w:ascii="Times New Roman" w:hAnsi="Times New Roman" w:eastAsia="仿宋_GB2312" w:cs="Times New Roman"/>
          <w:b/>
          <w:bCs/>
          <w:color w:val="000000"/>
          <w:kern w:val="0"/>
          <w:highlight w:val="none"/>
          <w:lang w:val="en-US" w:eastAsia="zh-CN" w:bidi="ar"/>
        </w:rPr>
        <w:t>部门预算管理</w:t>
      </w:r>
      <w:r>
        <w:rPr>
          <w:rFonts w:hint="default" w:ascii="Times New Roman" w:hAnsi="Times New Roman" w:eastAsia="仿宋_GB2312" w:cs="Times New Roman"/>
          <w:b/>
          <w:bCs/>
          <w:color w:val="000000"/>
          <w:kern w:val="0"/>
          <w:highlight w:val="none"/>
          <w:lang w:bidi="ar"/>
        </w:rPr>
        <w:t>情况得分表</w:t>
      </w:r>
    </w:p>
    <w:tbl>
      <w:tblPr>
        <w:tblStyle w:val="41"/>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400"/>
        <w:gridCol w:w="1978"/>
        <w:gridCol w:w="855"/>
        <w:gridCol w:w="934"/>
        <w:gridCol w:w="1118"/>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1"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4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97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restar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r>
              <w:rPr>
                <w:rFonts w:hint="eastAsia" w:eastAsia="仿宋_GB2312" w:cs="Times New Roman"/>
                <w:color w:val="000000"/>
                <w:kern w:val="0"/>
                <w:highlight w:val="none"/>
                <w:lang w:val="en-US" w:eastAsia="zh-CN" w:bidi="ar"/>
              </w:rPr>
              <w:t>部门绩效管理</w:t>
            </w:r>
            <w:r>
              <w:rPr>
                <w:rFonts w:hint="default" w:ascii="Times New Roman" w:hAnsi="Times New Roman" w:eastAsia="仿宋_GB2312" w:cs="Times New Roman"/>
                <w:color w:val="000000"/>
                <w:kern w:val="0"/>
                <w:highlight w:val="none"/>
                <w:lang w:bidi="ar"/>
              </w:rPr>
              <w:t>（</w:t>
            </w:r>
            <w:r>
              <w:rPr>
                <w:rFonts w:hint="eastAsia" w:eastAsia="仿宋_GB2312" w:cs="Times New Roman"/>
                <w:color w:val="000000"/>
                <w:kern w:val="0"/>
                <w:highlight w:val="none"/>
                <w:lang w:val="en-US" w:eastAsia="zh-CN" w:bidi="ar"/>
              </w:rPr>
              <w:t>6</w:t>
            </w:r>
            <w:r>
              <w:rPr>
                <w:rFonts w:hint="default" w:ascii="Times New Roman" w:hAnsi="Times New Roman" w:eastAsia="仿宋_GB2312" w:cs="Times New Roman"/>
                <w:color w:val="000000"/>
                <w:kern w:val="0"/>
                <w:highlight w:val="none"/>
                <w:lang w:bidi="ar"/>
              </w:rPr>
              <w:t>0）</w:t>
            </w: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预算编制（24分）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目标制定</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目标实现</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编制准确</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2052" w:type="dxa"/>
            <w:gridSpan w:val="2"/>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预算执行（20分）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支出控制</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3</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动态调整</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2052" w:type="dxa"/>
            <w:gridSpan w:val="2"/>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执行进度</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5.89</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98.17%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完成结果（16分）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预算完成</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5.27</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违规记录</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9"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val="en-US" w:eastAsia="zh-CN" w:bidi="ar"/>
              </w:rPr>
              <w:t>0</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44</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34.16</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77.64%</w:t>
            </w:r>
          </w:p>
        </w:tc>
      </w:tr>
    </w:tbl>
    <w:p>
      <w:pPr>
        <w:pStyle w:val="24"/>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（1）</w:t>
      </w:r>
      <w:r>
        <w:rPr>
          <w:rFonts w:hint="eastAsia" w:eastAsia="仿宋_GB2312" w:cs="Times New Roman"/>
          <w:b/>
          <w:bCs/>
          <w:kern w:val="0"/>
          <w:sz w:val="32"/>
          <w:szCs w:val="32"/>
          <w:shd w:val="clear" w:color="auto" w:fill="FFFFFF"/>
          <w:lang w:val="en-US" w:eastAsia="zh-CN"/>
        </w:rPr>
        <w:t>预算编制</w:t>
      </w:r>
      <w:r>
        <w:rPr>
          <w:rFonts w:hint="default" w:ascii="Times New Roman" w:hAnsi="Times New Roman" w:eastAsia="仿宋_GB2312" w:cs="Times New Roman"/>
          <w:b/>
          <w:bCs/>
          <w:kern w:val="0"/>
          <w:sz w:val="32"/>
          <w:szCs w:val="32"/>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——目标制定指标分析（权重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4</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绩效目标编制要素方面，</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部门整体支出绩效目标</w:t>
      </w:r>
      <w:r>
        <w:rPr>
          <w:rFonts w:hint="eastAsia" w:eastAsia="仿宋_GB2312" w:cs="Times New Roman"/>
          <w:color w:val="auto"/>
          <w:kern w:val="0"/>
          <w:sz w:val="32"/>
          <w:szCs w:val="32"/>
          <w:highlight w:val="none"/>
          <w:shd w:val="clear" w:color="auto" w:fill="FFFFFF"/>
          <w:lang w:val="en-US" w:eastAsia="zh-CN" w:bidi="ar-SA"/>
        </w:rPr>
        <w:t>设置不全面，只设置社会效益指标，不</w:t>
      </w:r>
      <w:r>
        <w:rPr>
          <w:rFonts w:hint="eastAsia" w:ascii="Times New Roman" w:hAnsi="Times New Roman" w:eastAsia="仿宋_GB2312" w:cs="Times New Roman"/>
          <w:color w:val="auto"/>
          <w:kern w:val="0"/>
          <w:sz w:val="32"/>
          <w:szCs w:val="32"/>
          <w:highlight w:val="none"/>
          <w:shd w:val="clear" w:color="auto" w:fill="FFFFFF"/>
          <w:lang w:val="en-US" w:eastAsia="zh-CN" w:bidi="ar-SA"/>
        </w:rPr>
        <w:t>符合《四川省财政支出绩效评价管理办法》第十五条“绩效目标包括以下主要内容：（一）预期产出，包括提供的公共产品和服务的数量；（二）预期效果，包括经济效益、社会效益、环境效益和可持续影响等；（三）绩效指标，是对预期产出和预期效果的细化和量化，主要包括完成指标、效果指标和满意度指标等；（四）绩效指标值，是绩效指标的具体表现，通常用可衡量的标准、数值、比率等来表示，确定指标值时主要依据或参考历史标准、行业标准、计划标准等绩效标准；（五）其他需要编制的内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绩效指标细化量化方面，</w:t>
      </w:r>
      <w:r>
        <w:rPr>
          <w:rFonts w:hint="eastAsia" w:eastAsia="仿宋_GB2312" w:cs="Times New Roman"/>
          <w:color w:val="auto"/>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部门整体支出绩效目标</w:t>
      </w:r>
      <w:r>
        <w:rPr>
          <w:rFonts w:hint="eastAsia" w:eastAsia="仿宋_GB2312" w:cs="Times New Roman"/>
          <w:color w:val="auto"/>
          <w:kern w:val="0"/>
          <w:sz w:val="32"/>
          <w:szCs w:val="32"/>
          <w:highlight w:val="none"/>
          <w:shd w:val="clear" w:color="auto" w:fill="FFFFFF"/>
          <w:lang w:val="en-US" w:eastAsia="zh-CN" w:bidi="ar-SA"/>
        </w:rPr>
        <w:t>编制不完善，未对绩效目标细化量化。不</w:t>
      </w:r>
      <w:r>
        <w:rPr>
          <w:rFonts w:hint="eastAsia" w:ascii="Times New Roman" w:hAnsi="Times New Roman" w:eastAsia="仿宋_GB2312" w:cs="Times New Roman"/>
          <w:color w:val="auto"/>
          <w:kern w:val="0"/>
          <w:sz w:val="32"/>
          <w:szCs w:val="32"/>
          <w:highlight w:val="none"/>
          <w:shd w:val="clear" w:color="auto" w:fill="FFFFFF"/>
          <w:lang w:val="en-US" w:eastAsia="zh-CN" w:bidi="ar-SA"/>
        </w:rPr>
        <w:t>符合《四川省财政支出绩效评价管理办法》“第十六条 绩效目标要符合以下要求：细化量化。绩效目标应当从数量、质量、成本、时效以及经济效益、社会效益、生态效益、可持续影响、满意度等方面进行细化，尽量进行定量表述。不能量化表述的，可采用定性表述，但应具有可衡量性。”的规定。</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表8</w:t>
      </w:r>
      <w:r>
        <w:rPr>
          <w:rFonts w:hint="eastAsia" w:eastAsia="仿宋_GB2312" w:cs="Times New Roman"/>
          <w:b/>
          <w:bCs/>
          <w:color w:val="000000"/>
          <w:kern w:val="0"/>
          <w:sz w:val="24"/>
          <w:szCs w:val="24"/>
          <w:highlight w:val="none"/>
          <w:lang w:val="en-US" w:eastAsia="zh-CN" w:bidi="ar"/>
        </w:rPr>
        <w:t xml:space="preserve"> </w:t>
      </w:r>
      <w:r>
        <w:rPr>
          <w:rFonts w:hint="default" w:ascii="Times New Roman" w:hAnsi="Times New Roman" w:eastAsia="仿宋_GB2312" w:cs="Times New Roman"/>
          <w:b/>
          <w:bCs/>
          <w:color w:val="000000"/>
          <w:kern w:val="0"/>
          <w:sz w:val="24"/>
          <w:szCs w:val="24"/>
          <w:highlight w:val="none"/>
          <w:lang w:val="en-US" w:eastAsia="zh-CN" w:bidi="ar"/>
        </w:rPr>
        <w:t xml:space="preserve"> 阿坝县审计局部门整体支出绩效目标</w:t>
      </w:r>
      <w:r>
        <w:rPr>
          <w:rFonts w:hint="eastAsia" w:eastAsia="仿宋_GB2312" w:cs="Times New Roman"/>
          <w:b/>
          <w:bCs/>
          <w:color w:val="000000"/>
          <w:kern w:val="0"/>
          <w:sz w:val="24"/>
          <w:szCs w:val="24"/>
          <w:highlight w:val="none"/>
          <w:lang w:val="en-US" w:eastAsia="zh-CN" w:bidi="ar"/>
        </w:rPr>
        <w:t>表</w:t>
      </w:r>
    </w:p>
    <w:tbl>
      <w:tblPr>
        <w:tblStyle w:val="4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95"/>
        <w:gridCol w:w="1329"/>
        <w:gridCol w:w="1660"/>
        <w:gridCol w:w="1831"/>
        <w:gridCol w:w="1589"/>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trPr>
        <w:tc>
          <w:tcPr>
            <w:tcW w:w="664" w:type="pct"/>
            <w:shd w:val="clear" w:color="auto" w:fill="BEBEBE" w:themeFill="background1" w:themeFillShade="B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地方主管部门</w:t>
            </w:r>
          </w:p>
        </w:tc>
        <w:tc>
          <w:tcPr>
            <w:tcW w:w="1661" w:type="pct"/>
            <w:gridSpan w:val="2"/>
            <w:shd w:val="clear" w:color="auto" w:fill="BEBEBE" w:themeFill="background1" w:themeFillShade="B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阿坝县财政局</w:t>
            </w:r>
          </w:p>
        </w:tc>
        <w:tc>
          <w:tcPr>
            <w:tcW w:w="1017" w:type="pct"/>
            <w:shd w:val="clear" w:color="auto" w:fill="BEBEBE" w:themeFill="background1" w:themeFillShade="B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资金使用单位</w:t>
            </w:r>
          </w:p>
        </w:tc>
        <w:tc>
          <w:tcPr>
            <w:tcW w:w="1657" w:type="pct"/>
            <w:gridSpan w:val="2"/>
            <w:shd w:val="clear" w:color="auto" w:fill="BEBEBE" w:themeFill="background1" w:themeFillShade="B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阿坝县</w:t>
            </w:r>
            <w:r>
              <w:rPr>
                <w:rFonts w:hint="eastAsia" w:ascii="Times New Roman" w:hAnsi="Times New Roman" w:eastAsia="仿宋_GB2312" w:cs="Times New Roman"/>
                <w:b/>
                <w:bCs/>
                <w:i w:val="0"/>
                <w:iCs w:val="0"/>
                <w:color w:val="000000"/>
                <w:kern w:val="0"/>
                <w:sz w:val="24"/>
                <w:szCs w:val="24"/>
                <w:u w:val="none"/>
                <w:lang w:val="en-US" w:eastAsia="zh-CN" w:bidi="ar"/>
              </w:rPr>
              <w:t>审计局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5" w:hRule="atLeast"/>
        </w:trPr>
        <w:tc>
          <w:tcPr>
            <w:tcW w:w="66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项目资金（万元）</w:t>
            </w:r>
          </w:p>
        </w:tc>
        <w:tc>
          <w:tcPr>
            <w:tcW w:w="4335" w:type="pct"/>
            <w:gridSpan w:val="5"/>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全年预算数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3" w:hRule="atLeast"/>
        </w:trPr>
        <w:tc>
          <w:tcPr>
            <w:tcW w:w="664"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1661" w:type="pct"/>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年度资金总额：</w:t>
            </w:r>
          </w:p>
        </w:tc>
        <w:tc>
          <w:tcPr>
            <w:tcW w:w="2674" w:type="pct"/>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eastAsia" w:ascii="Times New Roman" w:hAnsi="Times New Roman" w:eastAsia="仿宋_GB2312" w:cs="Times New Roman"/>
                <w:i w:val="0"/>
                <w:iCs w:val="0"/>
                <w:color w:val="000000"/>
                <w:kern w:val="0"/>
                <w:sz w:val="24"/>
                <w:szCs w:val="24"/>
                <w:u w:val="none"/>
                <w:lang w:val="en-US" w:eastAsia="zh-CN" w:bidi="ar"/>
              </w:rPr>
              <w:t>555.13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3" w:hRule="atLeast"/>
        </w:trPr>
        <w:tc>
          <w:tcPr>
            <w:tcW w:w="664"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1661" w:type="pct"/>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 xml:space="preserve"> </w:t>
            </w:r>
            <w:r>
              <w:rPr>
                <w:rStyle w:val="77"/>
                <w:rFonts w:hint="default" w:ascii="Times New Roman" w:hAnsi="Times New Roman" w:eastAsia="仿宋_GB2312" w:cs="Times New Roman"/>
                <w:sz w:val="24"/>
                <w:szCs w:val="24"/>
                <w:lang w:val="en-US" w:eastAsia="zh-CN" w:bidi="ar"/>
              </w:rPr>
              <w:t>其中：中央财政资金</w:t>
            </w:r>
          </w:p>
        </w:tc>
        <w:tc>
          <w:tcPr>
            <w:tcW w:w="2674" w:type="pct"/>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3" w:hRule="atLeast"/>
        </w:trPr>
        <w:tc>
          <w:tcPr>
            <w:tcW w:w="664"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1661" w:type="pct"/>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 xml:space="preserve"> </w:t>
            </w:r>
            <w:r>
              <w:rPr>
                <w:rStyle w:val="77"/>
                <w:rFonts w:hint="default" w:ascii="Times New Roman" w:hAnsi="Times New Roman" w:eastAsia="仿宋_GB2312" w:cs="Times New Roman"/>
                <w:sz w:val="24"/>
                <w:szCs w:val="24"/>
                <w:lang w:val="en-US" w:eastAsia="zh-CN" w:bidi="ar"/>
              </w:rPr>
              <w:t xml:space="preserve">      地方资金</w:t>
            </w:r>
          </w:p>
        </w:tc>
        <w:tc>
          <w:tcPr>
            <w:tcW w:w="2674" w:type="pct"/>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eastAsia" w:ascii="Times New Roman" w:hAnsi="Times New Roman" w:eastAsia="仿宋_GB2312" w:cs="Times New Roman"/>
                <w:i w:val="0"/>
                <w:iCs w:val="0"/>
                <w:color w:val="000000"/>
                <w:kern w:val="0"/>
                <w:sz w:val="24"/>
                <w:szCs w:val="24"/>
                <w:u w:val="none"/>
                <w:lang w:val="en-US" w:eastAsia="zh-CN" w:bidi="ar"/>
              </w:rPr>
              <w:t>555.13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3" w:hRule="atLeast"/>
        </w:trPr>
        <w:tc>
          <w:tcPr>
            <w:tcW w:w="664"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1661" w:type="pct"/>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 xml:space="preserve">      </w:t>
            </w:r>
            <w:r>
              <w:rPr>
                <w:rStyle w:val="77"/>
                <w:rFonts w:hint="default" w:ascii="Times New Roman" w:hAnsi="Times New Roman" w:eastAsia="仿宋_GB2312" w:cs="Times New Roman"/>
                <w:sz w:val="24"/>
                <w:szCs w:val="24"/>
                <w:lang w:val="en-US" w:eastAsia="zh-CN" w:bidi="ar"/>
              </w:rPr>
              <w:t xml:space="preserve">  其他资金</w:t>
            </w:r>
          </w:p>
        </w:tc>
        <w:tc>
          <w:tcPr>
            <w:tcW w:w="2674" w:type="pct"/>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eastAsia" w:ascii="Times New Roman" w:hAnsi="Times New Roman" w:eastAsia="仿宋_GB2312" w:cs="Times New Roman"/>
                <w:i w:val="0"/>
                <w:iCs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3" w:hRule="atLeast"/>
        </w:trPr>
        <w:tc>
          <w:tcPr>
            <w:tcW w:w="5000" w:type="pct"/>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总体目标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trPr>
        <w:tc>
          <w:tcPr>
            <w:tcW w:w="5000" w:type="pct"/>
            <w:gridSpan w:val="6"/>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tLeast"/>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审计组织领导全县审计工作，根据上级安排研究制订本县审计工作计划，确定审计工作重点，制定审计业务规章制度，培训审计人员，组织行业专项资金的同步审计。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4" w:hRule="atLeast"/>
        </w:trPr>
        <w:tc>
          <w:tcPr>
            <w:tcW w:w="66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kern w:val="2"/>
                <w:sz w:val="24"/>
                <w:szCs w:val="24"/>
                <w:u w:val="none"/>
                <w:lang w:val="en-US" w:eastAsia="zh-CN" w:bidi="ar-SA"/>
              </w:rPr>
            </w:pPr>
            <w:r>
              <w:rPr>
                <w:rFonts w:hint="eastAsia" w:ascii="Times New Roman" w:hAnsi="Times New Roman" w:eastAsia="仿宋_GB2312" w:cs="Times New Roman"/>
                <w:i w:val="0"/>
                <w:iCs w:val="0"/>
                <w:color w:val="000000"/>
                <w:kern w:val="2"/>
                <w:sz w:val="24"/>
                <w:szCs w:val="24"/>
                <w:u w:val="none"/>
                <w:lang w:val="en-US" w:eastAsia="zh-CN" w:bidi="ar-SA"/>
              </w:rPr>
              <w:t>绩效指标</w:t>
            </w:r>
          </w:p>
        </w:tc>
        <w:tc>
          <w:tcPr>
            <w:tcW w:w="73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效益指标</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社会效益</w:t>
            </w:r>
          </w:p>
        </w:tc>
        <w:tc>
          <w:tcPr>
            <w:tcW w:w="1900" w:type="pct"/>
            <w:gridSpan w:val="2"/>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完成2022年审计工作</w:t>
            </w:r>
          </w:p>
        </w:tc>
        <w:tc>
          <w:tcPr>
            <w:tcW w:w="77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综上所述，根据阿坝县审计局</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部门整体支出绩效目标设置情况</w:t>
      </w:r>
      <w:r>
        <w:rPr>
          <w:rFonts w:hint="eastAsia" w:eastAsia="仿宋_GB2312" w:cs="Times New Roman"/>
          <w:color w:val="auto"/>
          <w:kern w:val="0"/>
          <w:sz w:val="32"/>
          <w:szCs w:val="32"/>
          <w:highlight w:val="none"/>
          <w:shd w:val="clear" w:color="auto" w:fill="FFFFFF"/>
          <w:lang w:val="en-US" w:eastAsia="zh-CN" w:bidi="ar-SA"/>
        </w:rPr>
        <w:t>，指标得分为1分</w:t>
      </w:r>
      <w:r>
        <w:rPr>
          <w:rFonts w:hint="eastAsia"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——目标实现指标分析（权重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b/>
          <w:bCs/>
          <w:color w:val="auto"/>
          <w:kern w:val="0"/>
          <w:sz w:val="24"/>
          <w:szCs w:val="24"/>
          <w:highlight w:val="none"/>
          <w:lang w:val="en-US" w:eastAsia="zh-CN" w:bidi="ar"/>
        </w:rPr>
      </w:pPr>
      <w:r>
        <w:rPr>
          <w:rFonts w:hint="eastAsia" w:eastAsia="仿宋_GB2312" w:cs="Times New Roman"/>
          <w:color w:val="000000"/>
          <w:kern w:val="0"/>
          <w:sz w:val="32"/>
          <w:szCs w:val="32"/>
          <w:highlight w:val="none"/>
          <w:lang w:val="en-US" w:eastAsia="zh-CN" w:bidi="ar"/>
        </w:rPr>
        <w:t>2022年阿坝县审计局编制部门整体绩效目标共计1个，目标实现程度如下：</w:t>
      </w: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b/>
          <w:bCs/>
          <w:color w:val="auto"/>
          <w:kern w:val="0"/>
          <w:sz w:val="24"/>
          <w:szCs w:val="24"/>
          <w:highlight w:val="none"/>
          <w:lang w:val="en-US" w:eastAsia="zh-CN" w:bidi="ar"/>
        </w:rPr>
        <w:t>表9  2022</w:t>
      </w:r>
      <w:r>
        <w:rPr>
          <w:rFonts w:hint="default" w:ascii="Times New Roman" w:hAnsi="Times New Roman" w:eastAsia="仿宋_GB2312" w:cs="Times New Roman"/>
          <w:b/>
          <w:bCs/>
          <w:color w:val="auto"/>
          <w:kern w:val="0"/>
          <w:sz w:val="24"/>
          <w:szCs w:val="24"/>
          <w:highlight w:val="none"/>
          <w:lang w:val="en-US" w:eastAsia="zh-CN" w:bidi="ar"/>
        </w:rPr>
        <w:t>年</w:t>
      </w:r>
      <w:r>
        <w:rPr>
          <w:rFonts w:hint="eastAsia" w:eastAsia="仿宋_GB2312" w:cs="Times New Roman"/>
          <w:b/>
          <w:bCs/>
          <w:color w:val="auto"/>
          <w:kern w:val="0"/>
          <w:sz w:val="24"/>
          <w:szCs w:val="24"/>
          <w:highlight w:val="none"/>
          <w:lang w:val="en-US" w:eastAsia="zh-CN" w:bidi="ar"/>
        </w:rPr>
        <w:t>部门整体绩效目标</w:t>
      </w:r>
      <w:r>
        <w:rPr>
          <w:rFonts w:hint="default" w:ascii="Times New Roman" w:hAnsi="Times New Roman" w:eastAsia="仿宋_GB2312" w:cs="Times New Roman"/>
          <w:b/>
          <w:bCs/>
          <w:color w:val="auto"/>
          <w:kern w:val="0"/>
          <w:sz w:val="24"/>
          <w:szCs w:val="24"/>
          <w:highlight w:val="none"/>
          <w:lang w:val="en-US" w:eastAsia="zh-CN" w:bidi="ar"/>
        </w:rPr>
        <w:t>完成情况统计表</w:t>
      </w:r>
    </w:p>
    <w:tbl>
      <w:tblPr>
        <w:tblStyle w:val="40"/>
        <w:tblW w:w="463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1"/>
        <w:gridCol w:w="3202"/>
        <w:gridCol w:w="3331"/>
        <w:gridCol w:w="10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462" w:type="pct"/>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center"/>
              <w:rPr>
                <w:rFonts w:hint="eastAsia" w:ascii="仿宋_GB2312" w:hAnsi="宋体" w:eastAsia="仿宋_GB2312" w:cs="仿宋_GB2312"/>
                <w:b/>
                <w:bCs/>
                <w:i w:val="0"/>
                <w:iCs w:val="0"/>
                <w:color w:val="000000"/>
                <w:kern w:val="0"/>
                <w:sz w:val="21"/>
                <w:szCs w:val="21"/>
                <w:highlight w:val="none"/>
                <w:u w:val="none"/>
                <w:lang w:val="en-US" w:eastAsia="zh-CN" w:bidi="ar"/>
              </w:rPr>
            </w:pPr>
            <w:r>
              <w:rPr>
                <w:rFonts w:hint="eastAsia" w:ascii="仿宋_GB2312" w:hAnsi="宋体" w:eastAsia="仿宋_GB2312" w:cs="仿宋_GB2312"/>
                <w:b/>
                <w:bCs/>
                <w:i w:val="0"/>
                <w:iCs w:val="0"/>
                <w:color w:val="000000"/>
                <w:kern w:val="0"/>
                <w:sz w:val="21"/>
                <w:szCs w:val="21"/>
                <w:highlight w:val="none"/>
                <w:u w:val="none"/>
                <w:lang w:val="en-US" w:eastAsia="zh-CN" w:bidi="ar"/>
              </w:rPr>
              <w:t>序号</w:t>
            </w:r>
          </w:p>
        </w:tc>
        <w:tc>
          <w:tcPr>
            <w:tcW w:w="1919" w:type="pct"/>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center"/>
              <w:rPr>
                <w:rFonts w:hint="eastAsia" w:ascii="仿宋_GB2312" w:hAnsi="宋体" w:eastAsia="仿宋_GB2312" w:cs="仿宋_GB2312"/>
                <w:b/>
                <w:bCs/>
                <w:i w:val="0"/>
                <w:iCs w:val="0"/>
                <w:color w:val="000000"/>
                <w:kern w:val="0"/>
                <w:sz w:val="21"/>
                <w:szCs w:val="21"/>
                <w:highlight w:val="none"/>
                <w:u w:val="none"/>
                <w:lang w:val="en-US" w:eastAsia="zh-CN" w:bidi="ar"/>
              </w:rPr>
            </w:pPr>
            <w:r>
              <w:rPr>
                <w:rFonts w:hint="eastAsia" w:ascii="仿宋_GB2312" w:hAnsi="宋体" w:eastAsia="仿宋_GB2312" w:cs="仿宋_GB2312"/>
                <w:b/>
                <w:bCs/>
                <w:i w:val="0"/>
                <w:iCs w:val="0"/>
                <w:color w:val="000000"/>
                <w:kern w:val="0"/>
                <w:sz w:val="21"/>
                <w:szCs w:val="21"/>
                <w:highlight w:val="none"/>
                <w:u w:val="none"/>
                <w:lang w:val="en-US" w:eastAsia="zh-CN" w:bidi="ar"/>
              </w:rPr>
              <w:t>绩效目标数量</w:t>
            </w:r>
          </w:p>
        </w:tc>
        <w:tc>
          <w:tcPr>
            <w:tcW w:w="1996" w:type="pct"/>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center"/>
              <w:rPr>
                <w:rFonts w:hint="eastAsia" w:ascii="仿宋_GB2312" w:hAnsi="宋体" w:eastAsia="仿宋_GB2312" w:cs="仿宋_GB2312"/>
                <w:b/>
                <w:bCs/>
                <w:i w:val="0"/>
                <w:iCs w:val="0"/>
                <w:color w:val="000000"/>
                <w:kern w:val="0"/>
                <w:sz w:val="21"/>
                <w:szCs w:val="21"/>
                <w:highlight w:val="none"/>
                <w:u w:val="none"/>
                <w:lang w:val="en-US" w:eastAsia="zh-CN" w:bidi="ar"/>
              </w:rPr>
            </w:pPr>
            <w:r>
              <w:rPr>
                <w:rFonts w:hint="eastAsia" w:ascii="仿宋_GB2312" w:hAnsi="宋体" w:eastAsia="仿宋_GB2312" w:cs="仿宋_GB2312"/>
                <w:b/>
                <w:bCs/>
                <w:i w:val="0"/>
                <w:iCs w:val="0"/>
                <w:color w:val="000000"/>
                <w:kern w:val="0"/>
                <w:sz w:val="21"/>
                <w:szCs w:val="21"/>
                <w:highlight w:val="none"/>
                <w:u w:val="none"/>
                <w:lang w:val="en-US" w:eastAsia="zh-CN" w:bidi="ar"/>
              </w:rPr>
              <w:t>实际完成绩效目标数量</w:t>
            </w:r>
          </w:p>
        </w:tc>
        <w:tc>
          <w:tcPr>
            <w:tcW w:w="621" w:type="pct"/>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center"/>
              <w:rPr>
                <w:rFonts w:hint="eastAsia" w:ascii="仿宋_GB2312" w:hAnsi="宋体" w:eastAsia="仿宋_GB2312" w:cs="仿宋_GB2312"/>
                <w:b/>
                <w:bCs/>
                <w:i w:val="0"/>
                <w:iCs w:val="0"/>
                <w:color w:val="000000"/>
                <w:kern w:val="0"/>
                <w:sz w:val="21"/>
                <w:szCs w:val="21"/>
                <w:highlight w:val="none"/>
                <w:u w:val="none"/>
                <w:lang w:val="en-US" w:eastAsia="zh-CN" w:bidi="ar"/>
              </w:rPr>
            </w:pPr>
            <w:r>
              <w:rPr>
                <w:rFonts w:hint="eastAsia" w:ascii="仿宋_GB2312" w:hAnsi="宋体" w:eastAsia="仿宋_GB2312" w:cs="仿宋_GB2312"/>
                <w:b/>
                <w:bCs/>
                <w:i w:val="0"/>
                <w:iCs w:val="0"/>
                <w:color w:val="000000"/>
                <w:kern w:val="0"/>
                <w:sz w:val="21"/>
                <w:szCs w:val="21"/>
                <w:highlight w:val="none"/>
                <w:u w:val="none"/>
                <w:lang w:val="en-US" w:eastAsia="zh-CN" w:bidi="ar"/>
              </w:rPr>
              <w:t>目标实现率（%）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b w:val="0"/>
                <w:bCs w:val="0"/>
                <w:color w:val="000000"/>
                <w:kern w:val="0"/>
                <w:sz w:val="21"/>
                <w:szCs w:val="21"/>
                <w:highlight w:val="none"/>
                <w:lang w:val="en-US" w:eastAsia="zh-CN" w:bidi="ar"/>
              </w:rPr>
              <w:t>1</w:t>
            </w:r>
          </w:p>
        </w:tc>
        <w:tc>
          <w:tcPr>
            <w:tcW w:w="19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b w:val="0"/>
                <w:bCs w:val="0"/>
                <w:color w:val="000000"/>
                <w:kern w:val="0"/>
                <w:sz w:val="21"/>
                <w:szCs w:val="21"/>
                <w:highlight w:val="none"/>
                <w:lang w:val="en-US" w:eastAsia="zh-CN" w:bidi="ar"/>
              </w:rPr>
              <w:t>完成2022年审计工作10个</w:t>
            </w:r>
          </w:p>
        </w:tc>
        <w:tc>
          <w:tcPr>
            <w:tcW w:w="19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b w:val="0"/>
                <w:bCs w:val="0"/>
                <w:color w:val="000000"/>
                <w:kern w:val="0"/>
                <w:sz w:val="21"/>
                <w:szCs w:val="21"/>
                <w:highlight w:val="none"/>
                <w:lang w:val="en-US" w:eastAsia="zh-CN" w:bidi="ar"/>
              </w:rPr>
              <w:t>完成2022年审计工作10个</w:t>
            </w:r>
          </w:p>
        </w:tc>
        <w:tc>
          <w:tcPr>
            <w:tcW w:w="621"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综上，</w:t>
      </w:r>
      <w:r>
        <w:rPr>
          <w:rFonts w:hint="eastAsia" w:eastAsia="仿宋_GB2312" w:cs="Times New Roman"/>
          <w:color w:val="000000"/>
          <w:kern w:val="0"/>
          <w:sz w:val="32"/>
          <w:szCs w:val="32"/>
          <w:highlight w:val="none"/>
          <w:lang w:val="en-US" w:eastAsia="zh-CN" w:bidi="ar"/>
        </w:rPr>
        <w:t>阿坝县审计局2022</w:t>
      </w:r>
      <w:r>
        <w:rPr>
          <w:rFonts w:hint="default" w:ascii="Times New Roman" w:hAnsi="Times New Roman" w:eastAsia="仿宋_GB2312" w:cs="Times New Roman"/>
          <w:color w:val="000000"/>
          <w:kern w:val="0"/>
          <w:sz w:val="32"/>
          <w:szCs w:val="32"/>
          <w:highlight w:val="none"/>
          <w:lang w:val="en-US" w:eastAsia="zh-CN" w:bidi="ar"/>
        </w:rPr>
        <w:t>年编制的绩效目标评价实现率为100%，共</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个绩效</w:t>
      </w:r>
      <w:r>
        <w:rPr>
          <w:rFonts w:hint="default" w:ascii="Times New Roman" w:hAnsi="Times New Roman" w:eastAsia="仿宋_GB2312" w:cs="Times New Roman"/>
          <w:color w:val="auto"/>
          <w:kern w:val="0"/>
          <w:sz w:val="32"/>
          <w:szCs w:val="32"/>
          <w:highlight w:val="none"/>
          <w:shd w:val="clear" w:color="auto" w:fill="FFFFFF"/>
          <w:lang w:val="en-US" w:eastAsia="zh-CN" w:bidi="ar-SA"/>
        </w:rPr>
        <w:t>目标</w:t>
      </w:r>
      <w:r>
        <w:rPr>
          <w:rFonts w:hint="default" w:ascii="Times New Roman" w:hAnsi="Times New Roman" w:eastAsia="仿宋_GB2312" w:cs="Times New Roman"/>
          <w:color w:val="000000"/>
          <w:kern w:val="0"/>
          <w:sz w:val="32"/>
          <w:szCs w:val="32"/>
          <w:highlight w:val="none"/>
          <w:lang w:val="en-US" w:eastAsia="zh-CN" w:bidi="ar"/>
        </w:rPr>
        <w:t>达到预期值。该项指标得分=达到预期值的数量指标个数/全部数量指标个数（即评价选取的项目绩效目标包含的所有数量指标）*</w:t>
      </w:r>
      <w:r>
        <w:rPr>
          <w:rFonts w:hint="eastAsia" w:eastAsia="仿宋_GB2312" w:cs="Times New Roman"/>
          <w:color w:val="000000"/>
          <w:kern w:val="0"/>
          <w:sz w:val="32"/>
          <w:szCs w:val="32"/>
          <w:highlight w:val="none"/>
          <w:lang w:val="en-US" w:eastAsia="zh-CN" w:bidi="ar"/>
        </w:rPr>
        <w:t>10</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（2）</w:t>
      </w:r>
      <w:r>
        <w:rPr>
          <w:rFonts w:hint="eastAsia" w:eastAsia="仿宋_GB2312" w:cs="Times New Roman"/>
          <w:b/>
          <w:bCs/>
          <w:kern w:val="0"/>
          <w:sz w:val="32"/>
          <w:szCs w:val="32"/>
          <w:shd w:val="clear" w:color="auto" w:fill="FFFFFF"/>
          <w:lang w:val="en-US" w:eastAsia="zh-CN"/>
        </w:rPr>
        <w:t>预算执行</w:t>
      </w:r>
      <w:r>
        <w:rPr>
          <w:rFonts w:hint="default" w:ascii="Times New Roman" w:hAnsi="Times New Roman" w:eastAsia="仿宋_GB2312" w:cs="Times New Roman"/>
          <w:b/>
          <w:bCs/>
          <w:kern w:val="0"/>
          <w:sz w:val="32"/>
          <w:szCs w:val="32"/>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rPr>
      </w:pPr>
      <w:r>
        <w:rPr>
          <w:rFonts w:hint="default" w:ascii="Times New Roman" w:hAnsi="Times New Roman" w:eastAsia="仿宋_GB2312" w:cs="Times New Roman"/>
          <w:b/>
          <w:bCs/>
          <w:kern w:val="0"/>
          <w:sz w:val="32"/>
          <w:szCs w:val="32"/>
          <w:highlight w:val="none"/>
          <w:shd w:val="clear" w:color="auto" w:fill="FFFFFF"/>
          <w:lang w:val="en-US" w:eastAsia="zh-CN"/>
        </w:rPr>
        <w:t>——支出控制指标分析（权重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3</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被评价单位</w:t>
      </w:r>
      <w:r>
        <w:rPr>
          <w:rFonts w:hint="eastAsia" w:eastAsia="仿宋_GB2312" w:cs="Times New Roman"/>
          <w:color w:val="000000"/>
          <w:kern w:val="0"/>
          <w:sz w:val="32"/>
          <w:szCs w:val="32"/>
          <w:highlight w:val="none"/>
          <w:lang w:val="en-US" w:eastAsia="zh-CN" w:bidi="ar"/>
        </w:rPr>
        <w:t>2022</w:t>
      </w:r>
      <w:r>
        <w:rPr>
          <w:rFonts w:hint="eastAsia" w:ascii="Times New Roman" w:hAnsi="Times New Roman" w:eastAsia="仿宋_GB2312" w:cs="Times New Roman"/>
          <w:color w:val="000000"/>
          <w:kern w:val="0"/>
          <w:sz w:val="32"/>
          <w:szCs w:val="32"/>
          <w:highlight w:val="none"/>
          <w:lang w:val="en-US" w:eastAsia="zh-CN" w:bidi="ar"/>
        </w:rPr>
        <w:t>年预算报表记载，部门日常公用经费、项目支出中的</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w:t>
      </w:r>
      <w:r>
        <w:rPr>
          <w:rFonts w:hint="default" w:ascii="Times New Roman" w:hAnsi="Times New Roman" w:eastAsia="仿宋_GB2312" w:cs="Times New Roman"/>
          <w:color w:val="auto"/>
          <w:kern w:val="0"/>
          <w:sz w:val="32"/>
          <w:szCs w:val="32"/>
          <w:highlight w:val="none"/>
          <w:shd w:val="clear" w:color="auto" w:fill="FFFFFF"/>
          <w:lang w:val="en-US" w:eastAsia="zh-CN" w:bidi="ar-SA"/>
        </w:rPr>
        <w:t>印刷费</w:t>
      </w:r>
      <w:r>
        <w:rPr>
          <w:rFonts w:hint="default" w:ascii="Times New Roman" w:hAnsi="Times New Roman" w:eastAsia="仿宋_GB2312" w:cs="Times New Roman"/>
          <w:color w:val="000000"/>
          <w:kern w:val="0"/>
          <w:sz w:val="32"/>
          <w:szCs w:val="32"/>
          <w:highlight w:val="none"/>
          <w:lang w:val="en-US" w:eastAsia="zh-CN" w:bidi="ar"/>
        </w:rPr>
        <w:t>、水费、电费、物业管理费</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年初预算共</w:t>
      </w:r>
      <w:r>
        <w:rPr>
          <w:rFonts w:hint="eastAsia" w:eastAsia="仿宋_GB2312" w:cs="Times New Roman"/>
          <w:color w:val="000000"/>
          <w:kern w:val="0"/>
          <w:sz w:val="32"/>
          <w:szCs w:val="32"/>
          <w:highlight w:val="none"/>
          <w:lang w:val="en-US" w:eastAsia="zh-CN" w:bidi="ar"/>
        </w:rPr>
        <w:t>7.56</w:t>
      </w:r>
      <w:r>
        <w:rPr>
          <w:rFonts w:hint="eastAsia" w:ascii="Times New Roman" w:hAnsi="Times New Roman" w:eastAsia="仿宋_GB2312" w:cs="Times New Roman"/>
          <w:color w:val="000000"/>
          <w:kern w:val="0"/>
          <w:sz w:val="32"/>
          <w:szCs w:val="32"/>
          <w:highlight w:val="none"/>
          <w:lang w:val="en-US" w:eastAsia="zh-CN" w:bidi="ar"/>
        </w:rPr>
        <w:t>万元（其中部门日常公用经费涉及</w:t>
      </w:r>
      <w:r>
        <w:rPr>
          <w:rFonts w:hint="eastAsia" w:eastAsia="仿宋_GB2312" w:cs="Times New Roman"/>
          <w:color w:val="000000"/>
          <w:kern w:val="0"/>
          <w:sz w:val="32"/>
          <w:szCs w:val="32"/>
          <w:highlight w:val="none"/>
          <w:lang w:val="en-US" w:eastAsia="zh-CN" w:bidi="ar"/>
        </w:rPr>
        <w:t>7.56</w:t>
      </w:r>
      <w:r>
        <w:rPr>
          <w:rFonts w:hint="eastAsia" w:ascii="Times New Roman" w:hAnsi="Times New Roman" w:eastAsia="仿宋_GB2312" w:cs="Times New Roman"/>
          <w:color w:val="000000"/>
          <w:kern w:val="0"/>
          <w:sz w:val="32"/>
          <w:szCs w:val="32"/>
          <w:highlight w:val="none"/>
          <w:lang w:val="en-US" w:eastAsia="zh-CN" w:bidi="ar"/>
        </w:rPr>
        <w:t>万元，项目支出涉及</w:t>
      </w:r>
      <w:r>
        <w:rPr>
          <w:rFonts w:hint="eastAsia" w:eastAsia="仿宋_GB2312" w:cs="Times New Roman"/>
          <w:color w:val="000000"/>
          <w:kern w:val="0"/>
          <w:sz w:val="32"/>
          <w:szCs w:val="32"/>
          <w:highlight w:val="none"/>
          <w:lang w:val="en-US" w:eastAsia="zh-CN" w:bidi="ar"/>
        </w:rPr>
        <w:t>0.00</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2022</w:t>
      </w:r>
      <w:r>
        <w:rPr>
          <w:rFonts w:hint="eastAsia" w:ascii="Times New Roman" w:hAnsi="Times New Roman" w:eastAsia="仿宋_GB2312" w:cs="Times New Roman"/>
          <w:color w:val="000000"/>
          <w:kern w:val="0"/>
          <w:sz w:val="32"/>
          <w:szCs w:val="32"/>
          <w:highlight w:val="none"/>
          <w:lang w:val="en-US" w:eastAsia="zh-CN" w:bidi="ar"/>
        </w:rPr>
        <w:t>年部门决算报表记载，部门日常公用经费</w:t>
      </w:r>
      <w:r>
        <w:rPr>
          <w:rFonts w:hint="default" w:ascii="Times New Roman" w:hAnsi="Times New Roman" w:eastAsia="仿宋_GB2312" w:cs="Times New Roman"/>
          <w:color w:val="000000"/>
          <w:kern w:val="0"/>
          <w:sz w:val="32"/>
          <w:szCs w:val="32"/>
          <w:highlight w:val="none"/>
          <w:lang w:val="en-US" w:eastAsia="zh-CN" w:bidi="ar"/>
        </w:rPr>
        <w:t>、项目支出中</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等科目支出数共</w:t>
      </w:r>
      <w:r>
        <w:rPr>
          <w:rFonts w:hint="eastAsia" w:eastAsia="仿宋_GB2312" w:cs="Times New Roman"/>
          <w:color w:val="000000"/>
          <w:kern w:val="0"/>
          <w:sz w:val="32"/>
          <w:szCs w:val="32"/>
          <w:highlight w:val="none"/>
          <w:lang w:val="en-US" w:eastAsia="zh-CN" w:bidi="ar"/>
        </w:rPr>
        <w:t>6.73</w:t>
      </w:r>
      <w:r>
        <w:rPr>
          <w:rFonts w:hint="eastAsia" w:ascii="Times New Roman" w:hAnsi="Times New Roman" w:eastAsia="仿宋_GB2312" w:cs="Times New Roman"/>
          <w:color w:val="000000"/>
          <w:kern w:val="0"/>
          <w:sz w:val="32"/>
          <w:szCs w:val="32"/>
          <w:highlight w:val="none"/>
          <w:lang w:val="en-US" w:eastAsia="zh-CN" w:bidi="ar"/>
        </w:rPr>
        <w:t>万元（其中部门日常公用经费涉及</w:t>
      </w:r>
      <w:r>
        <w:rPr>
          <w:rFonts w:hint="eastAsia" w:eastAsia="仿宋_GB2312" w:cs="Times New Roman"/>
          <w:color w:val="000000"/>
          <w:kern w:val="0"/>
          <w:sz w:val="32"/>
          <w:szCs w:val="32"/>
          <w:highlight w:val="none"/>
          <w:lang w:val="en-US" w:eastAsia="zh-CN" w:bidi="ar"/>
        </w:rPr>
        <w:t>6.73</w:t>
      </w:r>
      <w:r>
        <w:rPr>
          <w:rFonts w:hint="eastAsia" w:ascii="Times New Roman" w:hAnsi="Times New Roman" w:eastAsia="仿宋_GB2312" w:cs="Times New Roman"/>
          <w:color w:val="000000"/>
          <w:kern w:val="0"/>
          <w:sz w:val="32"/>
          <w:szCs w:val="32"/>
          <w:highlight w:val="none"/>
          <w:lang w:val="en-US" w:eastAsia="zh-CN" w:bidi="ar"/>
        </w:rPr>
        <w:t>万元，项目支出涉及</w:t>
      </w:r>
      <w:r>
        <w:rPr>
          <w:rFonts w:hint="eastAsia" w:eastAsia="仿宋_GB2312" w:cs="Times New Roman"/>
          <w:color w:val="000000"/>
          <w:kern w:val="0"/>
          <w:sz w:val="32"/>
          <w:szCs w:val="32"/>
          <w:highlight w:val="none"/>
          <w:lang w:val="en-US" w:eastAsia="zh-CN" w:bidi="ar"/>
        </w:rPr>
        <w:t>0.00</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预决算偏差程度=（</w:t>
      </w:r>
      <w:r>
        <w:rPr>
          <w:rFonts w:hint="eastAsia" w:eastAsia="仿宋_GB2312" w:cs="Times New Roman"/>
          <w:color w:val="000000"/>
          <w:kern w:val="0"/>
          <w:sz w:val="32"/>
          <w:szCs w:val="32"/>
          <w:highlight w:val="none"/>
          <w:lang w:val="en-US" w:eastAsia="zh-CN" w:bidi="ar"/>
        </w:rPr>
        <w:t>7.56</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6.73</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7.56</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10.98</w:t>
      </w:r>
      <w:r>
        <w:rPr>
          <w:rFonts w:hint="default" w:ascii="Times New Roman" w:hAnsi="Times New Roman" w:eastAsia="仿宋_GB2312" w:cs="Times New Roman"/>
          <w:color w:val="000000"/>
          <w:kern w:val="0"/>
          <w:sz w:val="32"/>
          <w:szCs w:val="32"/>
          <w:highlight w:val="none"/>
          <w:lang w:val="en-US" w:eastAsia="zh-CN" w:bidi="ar"/>
        </w:rPr>
        <w:t>%。预决算偏差度</w:t>
      </w:r>
      <w:r>
        <w:rPr>
          <w:rFonts w:hint="eastAsia" w:eastAsia="仿宋_GB2312" w:cs="Times New Roman"/>
          <w:color w:val="000000"/>
          <w:kern w:val="0"/>
          <w:sz w:val="32"/>
          <w:szCs w:val="32"/>
          <w:highlight w:val="none"/>
          <w:lang w:val="en-US" w:eastAsia="zh-CN" w:bidi="ar"/>
        </w:rPr>
        <w:t>在10%-20%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得3分</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——执行进度指标分析（权重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5.89</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年1-6月部门预算序时进度</w:t>
      </w:r>
      <w:r>
        <w:rPr>
          <w:rFonts w:hint="eastAsia" w:eastAsia="仿宋_GB2312" w:cs="Times New Roman"/>
          <w:color w:val="000000"/>
          <w:kern w:val="0"/>
          <w:sz w:val="32"/>
          <w:szCs w:val="32"/>
          <w:highlight w:val="none"/>
          <w:lang w:val="en-US" w:eastAsia="zh-CN" w:bidi="ar"/>
        </w:rPr>
        <w:t>=428.29万元/472.64</w:t>
      </w:r>
      <w:r>
        <w:rPr>
          <w:rFonts w:hint="default" w:ascii="Times New Roman" w:hAnsi="Times New Roman" w:eastAsia="仿宋_GB2312" w:cs="Times New Roman"/>
          <w:color w:val="000000"/>
          <w:kern w:val="0"/>
          <w:sz w:val="32"/>
          <w:szCs w:val="32"/>
          <w:highlight w:val="none"/>
          <w:lang w:val="en-US" w:eastAsia="zh-CN" w:bidi="ar"/>
        </w:rPr>
        <w:t>万元</w:t>
      </w:r>
      <w:r>
        <w:rPr>
          <w:rFonts w:hint="eastAsia"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=90.62%</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达到目标进度的</w:t>
      </w:r>
      <w:r>
        <w:rPr>
          <w:rFonts w:hint="default" w:ascii="Times New Roman" w:hAnsi="Times New Roman" w:eastAsia="仿宋_GB2312" w:cs="Times New Roman"/>
          <w:color w:val="000000"/>
          <w:kern w:val="0"/>
          <w:sz w:val="32"/>
          <w:szCs w:val="32"/>
          <w:highlight w:val="none"/>
          <w:lang w:val="en-US" w:eastAsia="zh-CN" w:bidi="ar"/>
        </w:rPr>
        <w:t>80%</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w:t>
      </w:r>
      <w:r>
        <w:rPr>
          <w:rFonts w:hint="default" w:ascii="Times New Roman" w:hAnsi="Times New Roman" w:eastAsia="仿宋_GB2312" w:cs="Times New Roman"/>
          <w:color w:val="000000"/>
          <w:kern w:val="0"/>
          <w:sz w:val="32"/>
          <w:szCs w:val="32"/>
          <w:highlight w:val="none"/>
          <w:lang w:val="en-US" w:eastAsia="zh-CN" w:bidi="ar"/>
        </w:rPr>
        <w:t>年1-9月</w:t>
      </w:r>
      <w:r>
        <w:rPr>
          <w:rFonts w:hint="eastAsia" w:ascii="Times New Roman" w:hAnsi="Times New Roman" w:eastAsia="仿宋_GB2312" w:cs="Times New Roman"/>
          <w:color w:val="000000"/>
          <w:kern w:val="0"/>
          <w:sz w:val="32"/>
          <w:szCs w:val="32"/>
          <w:highlight w:val="none"/>
          <w:lang w:val="en-US" w:eastAsia="zh-CN" w:bidi="ar"/>
        </w:rPr>
        <w:t>部门预算序时进度</w:t>
      </w:r>
      <w:r>
        <w:rPr>
          <w:rFonts w:hint="eastAsia" w:eastAsia="仿宋_GB2312" w:cs="Times New Roman"/>
          <w:color w:val="000000"/>
          <w:kern w:val="0"/>
          <w:sz w:val="32"/>
          <w:szCs w:val="32"/>
          <w:highlight w:val="none"/>
          <w:lang w:val="en-US" w:eastAsia="zh-CN" w:bidi="ar"/>
        </w:rPr>
        <w:t>=540.23万元/584.78</w:t>
      </w:r>
      <w:r>
        <w:rPr>
          <w:rFonts w:hint="default" w:ascii="Times New Roman" w:hAnsi="Times New Roman" w:eastAsia="仿宋_GB2312" w:cs="Times New Roman"/>
          <w:color w:val="000000"/>
          <w:kern w:val="0"/>
          <w:sz w:val="32"/>
          <w:szCs w:val="32"/>
          <w:highlight w:val="none"/>
          <w:lang w:val="en-US" w:eastAsia="zh-CN" w:bidi="ar"/>
        </w:rPr>
        <w:t>万元</w:t>
      </w:r>
      <w:r>
        <w:rPr>
          <w:rFonts w:hint="eastAsia"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=92.38</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达到目标进度的</w:t>
      </w:r>
      <w:r>
        <w:rPr>
          <w:rFonts w:hint="eastAsia" w:ascii="Times New Roman" w:hAnsi="Times New Roman"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w:t>
      </w:r>
      <w:r>
        <w:rPr>
          <w:rFonts w:hint="default" w:ascii="Times New Roman" w:hAnsi="Times New Roman" w:eastAsia="仿宋_GB2312" w:cs="Times New Roman"/>
          <w:color w:val="000000"/>
          <w:kern w:val="0"/>
          <w:sz w:val="32"/>
          <w:szCs w:val="32"/>
          <w:highlight w:val="none"/>
          <w:lang w:val="en-US" w:eastAsia="zh-CN" w:bidi="ar"/>
        </w:rPr>
        <w:t>年1-11月</w:t>
      </w:r>
      <w:r>
        <w:rPr>
          <w:rFonts w:hint="eastAsia" w:ascii="Times New Roman" w:hAnsi="Times New Roman" w:eastAsia="仿宋_GB2312" w:cs="Times New Roman"/>
          <w:color w:val="000000"/>
          <w:kern w:val="0"/>
          <w:sz w:val="32"/>
          <w:szCs w:val="32"/>
          <w:highlight w:val="none"/>
          <w:lang w:val="en-US" w:eastAsia="zh-CN" w:bidi="ar"/>
        </w:rPr>
        <w:t>部门预算序时进度</w:t>
      </w:r>
      <w:r>
        <w:rPr>
          <w:rFonts w:hint="eastAsia" w:eastAsia="仿宋_GB2312" w:cs="Times New Roman"/>
          <w:color w:val="000000"/>
          <w:kern w:val="0"/>
          <w:sz w:val="32"/>
          <w:szCs w:val="32"/>
          <w:highlight w:val="none"/>
          <w:lang w:val="en-US" w:eastAsia="zh-CN" w:bidi="ar"/>
        </w:rPr>
        <w:t>=540.23万元/635.78</w:t>
      </w:r>
      <w:r>
        <w:rPr>
          <w:rFonts w:hint="default" w:ascii="Times New Roman" w:hAnsi="Times New Roman" w:eastAsia="仿宋_GB2312" w:cs="Times New Roman"/>
          <w:color w:val="000000"/>
          <w:kern w:val="0"/>
          <w:sz w:val="32"/>
          <w:szCs w:val="32"/>
          <w:highlight w:val="none"/>
          <w:lang w:val="en-US" w:eastAsia="zh-CN" w:bidi="ar"/>
        </w:rPr>
        <w:t>万元</w:t>
      </w:r>
      <w:r>
        <w:rPr>
          <w:rFonts w:hint="eastAsia"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=84.97</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未达到目标进度的</w:t>
      </w:r>
      <w:r>
        <w:rPr>
          <w:rFonts w:hint="eastAsia" w:ascii="Times New Roman" w:hAnsi="Times New Roman"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1.89</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w:t>
      </w:r>
    </w:p>
    <w:p>
      <w:pPr>
        <w:pStyle w:val="26"/>
        <w:rPr>
          <w:rFonts w:hint="default"/>
          <w:b w:val="0"/>
          <w:bCs w:val="0"/>
          <w:lang w:val="en-US" w:eastAsia="zh-CN"/>
        </w:rPr>
      </w:pPr>
      <w:r>
        <w:rPr>
          <w:rFonts w:hint="eastAsia" w:ascii="Times New Roman" w:eastAsia="仿宋_GB2312" w:cs="Times New Roman"/>
          <w:b w:val="0"/>
          <w:bCs w:val="0"/>
          <w:color w:val="000000"/>
          <w:kern w:val="0"/>
          <w:sz w:val="32"/>
          <w:szCs w:val="32"/>
          <w:highlight w:val="none"/>
          <w:lang w:val="en-US" w:eastAsia="zh-CN" w:bidi="ar"/>
        </w:rPr>
        <w:t>最终得分=2+2+1.89=5.89分。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（3）完成结果情况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预算完成</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5.27</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被评价单位2022年部门预算项目共5个，截至2022年12月31日部门预算项目预算执行进度如下表：</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auto"/>
          <w:kern w:val="0"/>
          <w:sz w:val="24"/>
          <w:szCs w:val="24"/>
          <w:highlight w:val="none"/>
          <w:lang w:val="en-US" w:eastAsia="zh-CN" w:bidi="ar"/>
        </w:rPr>
        <w:t>表</w:t>
      </w:r>
      <w:r>
        <w:rPr>
          <w:rFonts w:hint="eastAsia" w:eastAsia="仿宋_GB2312" w:cs="Times New Roman"/>
          <w:b/>
          <w:bCs/>
          <w:color w:val="auto"/>
          <w:kern w:val="0"/>
          <w:sz w:val="24"/>
          <w:szCs w:val="24"/>
          <w:highlight w:val="none"/>
          <w:lang w:val="en-US" w:eastAsia="zh-CN" w:bidi="ar"/>
        </w:rPr>
        <w:t>10</w:t>
      </w:r>
      <w:r>
        <w:rPr>
          <w:rFonts w:hint="eastAsia" w:ascii="Times New Roman" w:hAnsi="Times New Roman" w:eastAsia="仿宋_GB2312" w:cs="Times New Roman"/>
          <w:b/>
          <w:bCs/>
          <w:color w:val="auto"/>
          <w:kern w:val="0"/>
          <w:sz w:val="24"/>
          <w:szCs w:val="24"/>
          <w:highlight w:val="none"/>
          <w:lang w:val="en-US" w:eastAsia="zh-CN" w:bidi="ar"/>
        </w:rPr>
        <w:t xml:space="preserve">  </w:t>
      </w:r>
      <w:r>
        <w:rPr>
          <w:rFonts w:hint="eastAsia" w:eastAsia="仿宋_GB2312" w:cs="Times New Roman"/>
          <w:b/>
          <w:bCs/>
          <w:color w:val="auto"/>
          <w:kern w:val="0"/>
          <w:sz w:val="24"/>
          <w:szCs w:val="24"/>
          <w:highlight w:val="none"/>
          <w:lang w:val="en-US" w:eastAsia="zh-CN" w:bidi="ar"/>
        </w:rPr>
        <w:t>2022</w:t>
      </w:r>
      <w:r>
        <w:rPr>
          <w:rFonts w:hint="default" w:ascii="Times New Roman" w:hAnsi="Times New Roman" w:eastAsia="仿宋_GB2312" w:cs="Times New Roman"/>
          <w:b/>
          <w:bCs/>
          <w:color w:val="auto"/>
          <w:kern w:val="0"/>
          <w:sz w:val="24"/>
          <w:szCs w:val="24"/>
          <w:highlight w:val="none"/>
          <w:lang w:val="en-US" w:eastAsia="zh-CN" w:bidi="ar"/>
        </w:rPr>
        <w:t>年项目支出统计表</w:t>
      </w:r>
    </w:p>
    <w:tbl>
      <w:tblPr>
        <w:tblStyle w:val="4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9"/>
        <w:gridCol w:w="1600"/>
        <w:gridCol w:w="1267"/>
        <w:gridCol w:w="1167"/>
        <w:gridCol w:w="1044"/>
        <w:gridCol w:w="1249"/>
        <w:gridCol w:w="1242"/>
        <w:gridCol w:w="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序号</w:t>
            </w:r>
          </w:p>
        </w:tc>
        <w:tc>
          <w:tcPr>
            <w:tcW w:w="888"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项目</w:t>
            </w:r>
          </w:p>
        </w:tc>
        <w:tc>
          <w:tcPr>
            <w:tcW w:w="70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初始金额(元)</w:t>
            </w:r>
          </w:p>
        </w:tc>
        <w:tc>
          <w:tcPr>
            <w:tcW w:w="648"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追加数（元）</w:t>
            </w:r>
          </w:p>
        </w:tc>
        <w:tc>
          <w:tcPr>
            <w:tcW w:w="579"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追减数（元）</w:t>
            </w:r>
          </w:p>
        </w:tc>
        <w:tc>
          <w:tcPr>
            <w:tcW w:w="69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当前预算(元)</w:t>
            </w:r>
          </w:p>
        </w:tc>
        <w:tc>
          <w:tcPr>
            <w:tcW w:w="689"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已支付(元)</w:t>
            </w:r>
          </w:p>
        </w:tc>
        <w:tc>
          <w:tcPr>
            <w:tcW w:w="51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阿州财行（2021）38号2021年审计专项转移支付经费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326,100.00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326100.00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326100.00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2</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继续使用2021年审计业务经费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143,600.00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143,600.00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143,600.00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审计工作经费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332,300.00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332,300.00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332,300.00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4</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审计工作中介经费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180,000.00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180,000.00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180,000.00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审计专项转移支付经费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510,000.00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510,000.00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1171" w:type="pct"/>
            <w:gridSpan w:val="2"/>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合计：</w:t>
            </w:r>
          </w:p>
        </w:tc>
        <w:tc>
          <w:tcPr>
            <w:tcW w:w="70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1,492,000.00</w:t>
            </w:r>
          </w:p>
        </w:tc>
        <w:tc>
          <w:tcPr>
            <w:tcW w:w="57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1,492,000.00</w:t>
            </w:r>
          </w:p>
        </w:tc>
        <w:tc>
          <w:tcPr>
            <w:tcW w:w="68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982,000.00</w:t>
            </w:r>
          </w:p>
        </w:tc>
        <w:tc>
          <w:tcPr>
            <w:tcW w:w="51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65.82%</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综上，被评价单位</w:t>
      </w:r>
      <w:r>
        <w:rPr>
          <w:rFonts w:hint="eastAsia" w:eastAsia="仿宋_GB2312" w:cs="Times New Roman"/>
          <w:color w:val="000000"/>
          <w:kern w:val="0"/>
          <w:sz w:val="32"/>
          <w:szCs w:val="32"/>
          <w:highlight w:val="none"/>
          <w:lang w:val="en-US" w:eastAsia="zh-CN" w:bidi="ar"/>
        </w:rPr>
        <w:t>2022</w:t>
      </w:r>
      <w:r>
        <w:rPr>
          <w:rFonts w:hint="eastAsia" w:ascii="Times New Roman" w:hAnsi="Times New Roman" w:eastAsia="仿宋_GB2312" w:cs="Times New Roman"/>
          <w:color w:val="000000"/>
          <w:kern w:val="0"/>
          <w:sz w:val="32"/>
          <w:szCs w:val="32"/>
          <w:highlight w:val="none"/>
          <w:lang w:val="en-US" w:eastAsia="zh-CN" w:bidi="ar"/>
        </w:rPr>
        <w:t>年部门预算项目总执行进度为</w:t>
      </w:r>
      <w:r>
        <w:rPr>
          <w:rFonts w:hint="eastAsia" w:eastAsia="仿宋_GB2312" w:cs="Times New Roman"/>
          <w:color w:val="000000"/>
          <w:kern w:val="0"/>
          <w:sz w:val="32"/>
          <w:szCs w:val="32"/>
          <w:highlight w:val="none"/>
          <w:lang w:val="en-US" w:eastAsia="zh-CN" w:bidi="ar"/>
        </w:rPr>
        <w:t>65.82%，指标</w:t>
      </w:r>
      <w:r>
        <w:rPr>
          <w:rFonts w:hint="eastAsia"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5.27</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违规记录</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eastAsia" w:eastAsia="仿宋_GB2312" w:cs="Times New Roman"/>
          <w:b w:val="0"/>
          <w:bCs w:val="0"/>
          <w:kern w:val="0"/>
          <w:sz w:val="32"/>
          <w:szCs w:val="32"/>
          <w:highlight w:val="none"/>
          <w:shd w:val="clear" w:color="auto" w:fill="FFFFFF"/>
          <w:lang w:val="en-US" w:eastAsia="zh-CN"/>
        </w:rPr>
        <w:t>阿坝县审计局未接受过</w:t>
      </w:r>
      <w:r>
        <w:rPr>
          <w:rFonts w:hint="default" w:ascii="Times New Roman" w:hAnsi="Times New Roman" w:eastAsia="仿宋_GB2312" w:cs="Times New Roman"/>
          <w:b w:val="0"/>
          <w:bCs w:val="0"/>
          <w:kern w:val="0"/>
          <w:sz w:val="32"/>
          <w:szCs w:val="32"/>
          <w:highlight w:val="none"/>
          <w:shd w:val="clear" w:color="auto" w:fill="FFFFFF"/>
          <w:lang w:val="en-US" w:eastAsia="zh-CN"/>
        </w:rPr>
        <w:t>审计、财政</w:t>
      </w:r>
      <w:r>
        <w:rPr>
          <w:rFonts w:hint="eastAsia" w:eastAsia="仿宋_GB2312" w:cs="Times New Roman"/>
          <w:b w:val="0"/>
          <w:bCs w:val="0"/>
          <w:kern w:val="0"/>
          <w:sz w:val="32"/>
          <w:szCs w:val="32"/>
          <w:highlight w:val="none"/>
          <w:shd w:val="clear" w:color="auto" w:fill="FFFFFF"/>
          <w:lang w:val="en-US" w:eastAsia="zh-CN"/>
        </w:rPr>
        <w:t>等</w:t>
      </w:r>
      <w:r>
        <w:rPr>
          <w:rFonts w:hint="default" w:ascii="Times New Roman" w:hAnsi="Times New Roman" w:eastAsia="仿宋_GB2312" w:cs="Times New Roman"/>
          <w:b w:val="0"/>
          <w:bCs w:val="0"/>
          <w:kern w:val="0"/>
          <w:sz w:val="32"/>
          <w:szCs w:val="32"/>
          <w:highlight w:val="none"/>
          <w:shd w:val="clear" w:color="auto" w:fill="FFFFFF"/>
          <w:lang w:val="en-US" w:eastAsia="zh-CN"/>
        </w:rPr>
        <w:t>部门</w:t>
      </w:r>
      <w:r>
        <w:rPr>
          <w:rFonts w:hint="eastAsia" w:eastAsia="仿宋_GB2312" w:cs="Times New Roman"/>
          <w:b w:val="0"/>
          <w:bCs w:val="0"/>
          <w:kern w:val="0"/>
          <w:sz w:val="32"/>
          <w:szCs w:val="32"/>
          <w:highlight w:val="none"/>
          <w:shd w:val="clear" w:color="auto" w:fill="FFFFFF"/>
          <w:lang w:val="en-US" w:eastAsia="zh-CN"/>
        </w:rPr>
        <w:t>对2022年度部门</w:t>
      </w:r>
      <w:r>
        <w:rPr>
          <w:rFonts w:hint="default" w:ascii="Times New Roman" w:hAnsi="Times New Roman" w:eastAsia="仿宋_GB2312" w:cs="Times New Roman"/>
          <w:b w:val="0"/>
          <w:bCs w:val="0"/>
          <w:kern w:val="0"/>
          <w:sz w:val="32"/>
          <w:szCs w:val="32"/>
          <w:highlight w:val="none"/>
          <w:shd w:val="clear" w:color="auto" w:fill="FFFFFF"/>
          <w:lang w:val="en-US" w:eastAsia="zh-CN"/>
        </w:rPr>
        <w:t>预算</w:t>
      </w:r>
      <w:r>
        <w:rPr>
          <w:rFonts w:hint="default" w:eastAsia="仿宋_GB2312" w:cs="Times New Roman"/>
          <w:color w:val="000000"/>
          <w:kern w:val="0"/>
          <w:sz w:val="32"/>
          <w:szCs w:val="32"/>
          <w:highlight w:val="none"/>
          <w:lang w:val="en-US" w:eastAsia="zh-CN" w:bidi="ar"/>
        </w:rPr>
        <w:t>管理</w:t>
      </w:r>
      <w:r>
        <w:rPr>
          <w:rFonts w:hint="eastAsia" w:eastAsia="仿宋_GB2312" w:cs="Times New Roman"/>
          <w:b w:val="0"/>
          <w:bCs w:val="0"/>
          <w:kern w:val="0"/>
          <w:sz w:val="32"/>
          <w:szCs w:val="32"/>
          <w:highlight w:val="none"/>
          <w:shd w:val="clear" w:color="auto" w:fill="FFFFFF"/>
          <w:lang w:val="en-US" w:eastAsia="zh-CN"/>
        </w:rPr>
        <w:t>方面的</w:t>
      </w:r>
      <w:r>
        <w:rPr>
          <w:rFonts w:hint="default" w:ascii="Times New Roman" w:hAnsi="Times New Roman" w:eastAsia="仿宋_GB2312" w:cs="Times New Roman"/>
          <w:b w:val="0"/>
          <w:bCs w:val="0"/>
          <w:kern w:val="0"/>
          <w:sz w:val="32"/>
          <w:szCs w:val="32"/>
          <w:highlight w:val="none"/>
          <w:shd w:val="clear" w:color="auto" w:fill="FFFFFF"/>
          <w:lang w:val="en-US" w:eastAsia="zh-CN"/>
        </w:rPr>
        <w:t>审计监督</w:t>
      </w:r>
      <w:r>
        <w:rPr>
          <w:rFonts w:hint="eastAsia" w:eastAsia="仿宋_GB2312" w:cs="Times New Roman"/>
          <w:b w:val="0"/>
          <w:bCs w:val="0"/>
          <w:kern w:val="0"/>
          <w:sz w:val="32"/>
          <w:szCs w:val="32"/>
          <w:highlight w:val="none"/>
          <w:shd w:val="clear" w:color="auto" w:fill="FFFFFF"/>
          <w:lang w:val="en-US" w:eastAsia="zh-CN"/>
        </w:rPr>
        <w:t>或</w:t>
      </w:r>
      <w:r>
        <w:rPr>
          <w:rFonts w:hint="default" w:ascii="Times New Roman" w:hAnsi="Times New Roman" w:eastAsia="仿宋_GB2312" w:cs="Times New Roman"/>
          <w:b w:val="0"/>
          <w:bCs w:val="0"/>
          <w:kern w:val="0"/>
          <w:sz w:val="32"/>
          <w:szCs w:val="32"/>
          <w:highlight w:val="none"/>
          <w:shd w:val="clear" w:color="auto" w:fill="FFFFFF"/>
          <w:lang w:val="en-US" w:eastAsia="zh-CN"/>
        </w:rPr>
        <w:t>财政检查。</w:t>
      </w:r>
    </w:p>
    <w:p>
      <w:pPr>
        <w:pStyle w:val="4"/>
        <w:spacing w:line="600" w:lineRule="exact"/>
        <w:ind w:firstLine="640"/>
        <w:rPr>
          <w:rFonts w:hint="default" w:ascii="Times New Roman" w:hAnsi="Times New Roman" w:eastAsia="仿宋_GB2312" w:cs="Times New Roman"/>
          <w:lang w:val="en-US" w:eastAsia="zh-CN"/>
        </w:rPr>
      </w:pPr>
      <w:bookmarkStart w:id="73" w:name="_Toc22134"/>
      <w:bookmarkStart w:id="74" w:name="_Toc18073"/>
      <w:bookmarkStart w:id="75" w:name="_Toc15102"/>
      <w:r>
        <w:rPr>
          <w:rFonts w:hint="eastAsia" w:eastAsia="仿宋_GB2312" w:cs="Times New Roman"/>
          <w:lang w:val="en-US" w:eastAsia="zh-CN"/>
        </w:rPr>
        <w:t>2</w:t>
      </w:r>
      <w:r>
        <w:rPr>
          <w:rFonts w:hint="default" w:ascii="Times New Roman" w:hAnsi="Times New Roman" w:eastAsia="仿宋_GB2312" w:cs="Times New Roman"/>
        </w:rPr>
        <w:t>、</w:t>
      </w:r>
      <w:r>
        <w:rPr>
          <w:rFonts w:hint="eastAsia" w:eastAsia="仿宋_GB2312" w:cs="Times New Roman"/>
          <w:lang w:val="en-US" w:eastAsia="zh-CN"/>
        </w:rPr>
        <w:t>专项预算管理情况分析</w:t>
      </w:r>
      <w:bookmarkEnd w:id="73"/>
      <w:bookmarkEnd w:id="7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20</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17.5</w:t>
      </w:r>
      <w:r>
        <w:rPr>
          <w:rFonts w:hint="default" w:ascii="Times New Roman" w:hAnsi="Times New Roman" w:eastAsia="仿宋_GB2312" w:cs="Times New Roman"/>
          <w:color w:val="000000"/>
          <w:kern w:val="0"/>
          <w:sz w:val="32"/>
          <w:szCs w:val="32"/>
          <w:highlight w:val="none"/>
          <w:lang w:val="en-US" w:eastAsia="zh-CN" w:bidi="ar"/>
        </w:rPr>
        <w:t>分。用于考察评价部门</w:t>
      </w:r>
      <w:r>
        <w:rPr>
          <w:rFonts w:hint="eastAsia" w:eastAsia="仿宋_GB2312" w:cs="Times New Roman"/>
          <w:sz w:val="32"/>
          <w:szCs w:val="32"/>
          <w:lang w:val="en-US" w:eastAsia="zh-CN"/>
        </w:rPr>
        <w:t>专项预算管理</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表</w:t>
      </w:r>
      <w:r>
        <w:rPr>
          <w:rFonts w:hint="eastAsia" w:eastAsia="仿宋_GB2312" w:cs="Times New Roman"/>
          <w:b/>
          <w:bCs/>
          <w:color w:val="000000"/>
          <w:kern w:val="0"/>
          <w:lang w:val="en-US" w:eastAsia="zh-CN" w:bidi="ar"/>
        </w:rPr>
        <w:t>11</w:t>
      </w:r>
      <w:r>
        <w:rPr>
          <w:rFonts w:hint="default" w:ascii="Times New Roman" w:hAnsi="Times New Roman" w:eastAsia="仿宋_GB2312" w:cs="Times New Roman"/>
          <w:b/>
          <w:bCs/>
          <w:color w:val="000000"/>
          <w:kern w:val="0"/>
          <w:lang w:bidi="ar"/>
        </w:rPr>
        <w:t xml:space="preserve"> 部门整体支出</w:t>
      </w:r>
      <w:r>
        <w:rPr>
          <w:rFonts w:hint="eastAsia" w:eastAsia="仿宋_GB2312" w:cs="Times New Roman"/>
          <w:b/>
          <w:bCs/>
          <w:color w:val="000000"/>
          <w:kern w:val="0"/>
          <w:lang w:val="en-US" w:eastAsia="zh-CN" w:bidi="ar"/>
        </w:rPr>
        <w:t>专项预算管理</w:t>
      </w:r>
      <w:r>
        <w:rPr>
          <w:rFonts w:hint="eastAsia" w:ascii="Times New Roman" w:hAnsi="Times New Roman" w:eastAsia="仿宋_GB2312" w:cs="Times New Roman"/>
          <w:b/>
          <w:bCs/>
          <w:color w:val="000000"/>
          <w:kern w:val="0"/>
          <w:lang w:val="en-US" w:eastAsia="zh-CN" w:bidi="ar"/>
        </w:rPr>
        <w:t>情况</w:t>
      </w:r>
      <w:r>
        <w:rPr>
          <w:rFonts w:hint="default" w:ascii="Times New Roman" w:hAnsi="Times New Roman" w:eastAsia="仿宋_GB2312" w:cs="Times New Roman"/>
          <w:b/>
          <w:bCs/>
          <w:color w:val="000000"/>
          <w:kern w:val="0"/>
          <w:lang w:bidi="ar"/>
        </w:rPr>
        <w:t>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val="en-US" w:eastAsia="zh-CN" w:bidi="ar"/>
              </w:rPr>
              <w:t>评价</w:t>
            </w:r>
            <w:r>
              <w:rPr>
                <w:rFonts w:hint="default" w:ascii="Times New Roman" w:hAnsi="Times New Roman" w:eastAsia="仿宋_GB2312" w:cs="Times New Roman"/>
                <w:b/>
                <w:bCs/>
                <w:color w:val="000000"/>
                <w:kern w:val="0"/>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专项预算管理（20分）</w:t>
            </w:r>
          </w:p>
        </w:tc>
        <w:tc>
          <w:tcPr>
            <w:tcW w:w="1333"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专项预算管理（20分）</w:t>
            </w:r>
          </w:p>
        </w:tc>
        <w:tc>
          <w:tcPr>
            <w:tcW w:w="146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w:t>
            </w:r>
          </w:p>
        </w:tc>
        <w:tc>
          <w:tcPr>
            <w:tcW w:w="900"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20</w:t>
            </w:r>
          </w:p>
        </w:tc>
        <w:tc>
          <w:tcPr>
            <w:tcW w:w="126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20</w:t>
            </w:r>
          </w:p>
        </w:tc>
        <w:tc>
          <w:tcPr>
            <w:tcW w:w="119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17.8</w:t>
            </w:r>
          </w:p>
        </w:tc>
        <w:tc>
          <w:tcPr>
            <w:tcW w:w="1062"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89.00%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2</w:t>
            </w:r>
            <w:r>
              <w:rPr>
                <w:rFonts w:hint="default" w:ascii="Times New Roman" w:hAnsi="Times New Roman" w:eastAsia="仿宋_GB2312" w:cs="Times New Roman"/>
                <w:b/>
                <w:bCs/>
                <w:color w:val="000000"/>
                <w:kern w:val="0"/>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20</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17.8</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89.00%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专项预算管理</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17.8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b/>
          <w:bCs/>
          <w:color w:val="000000"/>
          <w:kern w:val="0"/>
          <w:sz w:val="24"/>
          <w:szCs w:val="24"/>
          <w:lang w:val="en-US" w:eastAsia="zh-CN" w:bidi="ar"/>
        </w:rPr>
      </w:pPr>
      <w:r>
        <w:rPr>
          <w:rFonts w:hint="eastAsia" w:eastAsia="仿宋_GB2312" w:cs="Times New Roman"/>
          <w:color w:val="000000"/>
          <w:kern w:val="0"/>
          <w:sz w:val="32"/>
          <w:szCs w:val="32"/>
          <w:highlight w:val="none"/>
          <w:lang w:val="en-US" w:eastAsia="zh-CN" w:bidi="ar"/>
        </w:rPr>
        <w:t>阿坝县审计局抽取了1个2022年专项预算项目，即2022审计专项转移支付经费项目进行自评打分并形成了自评报告，自评打分为89分，评价组根据阿坝县审计局抽取的1个2022年专项预算项目进行纠正分值后，评价打分为89分，按0.2的比例得分为17.8分。</w:t>
      </w: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24"/>
          <w:szCs w:val="24"/>
          <w:lang w:val="en-US" w:eastAsia="zh-CN" w:bidi="ar"/>
        </w:rPr>
        <w:t>表1</w:t>
      </w:r>
      <w:r>
        <w:rPr>
          <w:rFonts w:hint="eastAsia" w:eastAsia="仿宋_GB2312" w:cs="Times New Roman"/>
          <w:b/>
          <w:bCs/>
          <w:color w:val="000000"/>
          <w:kern w:val="0"/>
          <w:sz w:val="24"/>
          <w:szCs w:val="24"/>
          <w:lang w:val="en-US" w:eastAsia="zh-CN" w:bidi="ar"/>
        </w:rPr>
        <w:t xml:space="preserve">2  </w:t>
      </w:r>
      <w:r>
        <w:rPr>
          <w:rFonts w:hint="eastAsia" w:ascii="Times New Roman" w:hAnsi="Times New Roman" w:eastAsia="仿宋_GB2312" w:cs="Times New Roman"/>
          <w:b/>
          <w:bCs/>
          <w:color w:val="000000"/>
          <w:kern w:val="0"/>
          <w:sz w:val="24"/>
          <w:szCs w:val="24"/>
          <w:lang w:val="en-US" w:eastAsia="zh-CN" w:bidi="ar"/>
        </w:rPr>
        <w:t>2022审计专项转移支付经费</w:t>
      </w:r>
      <w:r>
        <w:rPr>
          <w:rFonts w:hint="eastAsia" w:eastAsia="仿宋_GB2312" w:cs="Times New Roman"/>
          <w:b/>
          <w:bCs/>
          <w:color w:val="000000"/>
          <w:kern w:val="0"/>
          <w:sz w:val="24"/>
          <w:szCs w:val="24"/>
          <w:lang w:val="en-US" w:eastAsia="zh-CN" w:bidi="ar"/>
        </w:rPr>
        <w:t>评价</w:t>
      </w:r>
      <w:r>
        <w:rPr>
          <w:rFonts w:hint="default" w:ascii="Times New Roman" w:hAnsi="Times New Roman" w:eastAsia="仿宋_GB2312" w:cs="Times New Roman"/>
          <w:b/>
          <w:bCs/>
          <w:color w:val="000000"/>
          <w:kern w:val="0"/>
          <w:sz w:val="24"/>
          <w:szCs w:val="24"/>
          <w:lang w:val="en-US" w:eastAsia="zh-CN" w:bidi="ar"/>
        </w:rPr>
        <w:t>情况</w:t>
      </w:r>
      <w:r>
        <w:rPr>
          <w:rFonts w:hint="default" w:ascii="Times New Roman" w:hAnsi="Times New Roman" w:eastAsia="仿宋_GB2312" w:cs="Times New Roman"/>
          <w:b/>
          <w:bCs/>
          <w:color w:val="000000"/>
          <w:kern w:val="0"/>
          <w:sz w:val="24"/>
          <w:szCs w:val="24"/>
          <w:lang w:bidi="ar"/>
        </w:rPr>
        <w:t>得分表</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67"/>
        <w:gridCol w:w="943"/>
        <w:gridCol w:w="1834"/>
        <w:gridCol w:w="997"/>
        <w:gridCol w:w="1444"/>
        <w:gridCol w:w="931"/>
        <w:gridCol w:w="1102"/>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15"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分值权重</w:t>
            </w:r>
          </w:p>
        </w:tc>
        <w:tc>
          <w:tcPr>
            <w:tcW w:w="2899" w:type="pct"/>
            <w:gridSpan w:val="4"/>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分层分类指标</w:t>
            </w:r>
          </w:p>
        </w:tc>
        <w:tc>
          <w:tcPr>
            <w:tcW w:w="517"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部门自评</w:t>
            </w:r>
          </w:p>
        </w:tc>
        <w:tc>
          <w:tcPr>
            <w:tcW w:w="612"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评价组</w:t>
            </w:r>
            <w:r>
              <w:rPr>
                <w:rFonts w:hint="eastAsia" w:ascii="Times New Roman" w:hAnsi="Times New Roman" w:eastAsia="仿宋_GB2312" w:cs="Times New Roman"/>
                <w:b/>
                <w:bCs/>
                <w:i w:val="0"/>
                <w:iCs w:val="0"/>
                <w:color w:val="auto"/>
                <w:kern w:val="0"/>
                <w:sz w:val="18"/>
                <w:szCs w:val="18"/>
                <w:u w:val="none"/>
                <w:lang w:val="en-US" w:eastAsia="zh-CN" w:bidi="ar"/>
              </w:rPr>
              <w:t>评</w:t>
            </w:r>
            <w:r>
              <w:rPr>
                <w:rFonts w:hint="default" w:ascii="Times New Roman" w:hAnsi="Times New Roman" w:eastAsia="仿宋_GB2312" w:cs="Times New Roman"/>
                <w:b/>
                <w:bCs/>
                <w:i w:val="0"/>
                <w:iCs w:val="0"/>
                <w:color w:val="auto"/>
                <w:kern w:val="0"/>
                <w:sz w:val="18"/>
                <w:szCs w:val="18"/>
                <w:u w:val="none"/>
                <w:lang w:val="en-US" w:eastAsia="zh-CN" w:bidi="ar"/>
              </w:rPr>
              <w:t>分</w:t>
            </w:r>
          </w:p>
        </w:tc>
        <w:tc>
          <w:tcPr>
            <w:tcW w:w="655"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分值差异原因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blHeader/>
          <w:jc w:val="center"/>
        </w:trPr>
        <w:tc>
          <w:tcPr>
            <w:tcW w:w="315"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c>
          <w:tcPr>
            <w:tcW w:w="524"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分层指标</w:t>
            </w:r>
          </w:p>
        </w:tc>
        <w:tc>
          <w:tcPr>
            <w:tcW w:w="1019"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适用范围</w:t>
            </w:r>
          </w:p>
        </w:tc>
        <w:tc>
          <w:tcPr>
            <w:tcW w:w="554"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一级指标</w:t>
            </w:r>
          </w:p>
        </w:tc>
        <w:tc>
          <w:tcPr>
            <w:tcW w:w="801"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二级指标</w:t>
            </w:r>
          </w:p>
        </w:tc>
        <w:tc>
          <w:tcPr>
            <w:tcW w:w="517"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12"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55"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2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通用指标</w:t>
            </w:r>
          </w:p>
        </w:tc>
        <w:tc>
          <w:tcPr>
            <w:tcW w:w="1019"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所有专项预算项目</w:t>
            </w: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项目决策</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程序严密</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规划合理★</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制度完备</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项目实施</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分配合理★</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使用合规</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执行有效</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完成结果</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预算完成★</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0</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10%</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资金结余★</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目标完成★</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5"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完成及时</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违规记录</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20%</w:t>
            </w:r>
          </w:p>
        </w:tc>
        <w:tc>
          <w:tcPr>
            <w:tcW w:w="52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共性指标</w:t>
            </w:r>
          </w:p>
        </w:tc>
        <w:tc>
          <w:tcPr>
            <w:tcW w:w="1019"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民生保障</w:t>
            </w:r>
            <w:r>
              <w:rPr>
                <w:rFonts w:hint="default" w:ascii="Times New Roman" w:hAnsi="Times New Roman" w:eastAsia="仿宋_GB2312" w:cs="Times New Roman"/>
                <w:i w:val="0"/>
                <w:iCs w:val="0"/>
                <w:color w:val="auto"/>
                <w:kern w:val="0"/>
                <w:sz w:val="18"/>
                <w:szCs w:val="18"/>
                <w:u w:val="none"/>
                <w:lang w:val="en-US" w:eastAsia="zh-CN" w:bidi="ar"/>
              </w:rPr>
              <w:t>项目</w:t>
            </w: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项目效果</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区域均衡性</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对象公平性★</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eastAsia"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eastAsia"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社会满意度</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8</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8</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30%</w:t>
            </w:r>
          </w:p>
        </w:tc>
        <w:tc>
          <w:tcPr>
            <w:tcW w:w="52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特性指标</w:t>
            </w:r>
          </w:p>
        </w:tc>
        <w:tc>
          <w:tcPr>
            <w:tcW w:w="1019"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社会保障</w:t>
            </w:r>
          </w:p>
        </w:tc>
        <w:tc>
          <w:tcPr>
            <w:tcW w:w="5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基础管理</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对象覆盖全面</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13</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项目效果</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审计工作效率</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13</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1543" w:type="pct"/>
            <w:gridSpan w:val="2"/>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个性指标</w:t>
            </w:r>
          </w:p>
        </w:tc>
        <w:tc>
          <w:tcPr>
            <w:tcW w:w="997"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社会效益</w:t>
            </w:r>
          </w:p>
        </w:tc>
        <w:tc>
          <w:tcPr>
            <w:tcW w:w="1444"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社会促进</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8</w:t>
            </w:r>
          </w:p>
        </w:tc>
        <w:tc>
          <w:tcPr>
            <w:tcW w:w="1102"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8</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jc w:val="center"/>
        </w:trPr>
        <w:tc>
          <w:tcPr>
            <w:tcW w:w="3214" w:type="pct"/>
            <w:gridSpan w:val="5"/>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总分</w:t>
            </w:r>
          </w:p>
        </w:tc>
        <w:tc>
          <w:tcPr>
            <w:tcW w:w="517"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8</w:t>
            </w:r>
            <w:r>
              <w:rPr>
                <w:rFonts w:hint="eastAsia" w:eastAsia="仿宋_GB2312" w:cs="Times New Roman"/>
                <w:b/>
                <w:bCs/>
                <w:i w:val="0"/>
                <w:iCs w:val="0"/>
                <w:color w:val="auto"/>
                <w:kern w:val="0"/>
                <w:sz w:val="18"/>
                <w:szCs w:val="18"/>
                <w:u w:val="none"/>
                <w:lang w:val="en-US" w:eastAsia="zh-CN" w:bidi="ar"/>
              </w:rPr>
              <w:t>9</w:t>
            </w:r>
          </w:p>
        </w:tc>
        <w:tc>
          <w:tcPr>
            <w:tcW w:w="612"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89</w:t>
            </w:r>
          </w:p>
        </w:tc>
        <w:tc>
          <w:tcPr>
            <w:tcW w:w="6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r>
    </w:tbl>
    <w:p>
      <w:pPr>
        <w:pStyle w:val="4"/>
        <w:spacing w:line="600" w:lineRule="exact"/>
        <w:ind w:firstLine="640"/>
        <w:rPr>
          <w:rFonts w:hint="default" w:ascii="Times New Roman" w:hAnsi="Times New Roman" w:eastAsia="仿宋_GB2312" w:cs="Times New Roman"/>
        </w:rPr>
      </w:pPr>
      <w:bookmarkStart w:id="76" w:name="_Toc17253"/>
      <w:bookmarkStart w:id="77" w:name="_Toc14782"/>
      <w:r>
        <w:rPr>
          <w:rFonts w:hint="eastAsia" w:eastAsia="仿宋_GB2312" w:cs="Times New Roman"/>
          <w:lang w:val="en-US" w:eastAsia="zh-CN"/>
        </w:rPr>
        <w:t>3、</w:t>
      </w:r>
      <w:r>
        <w:rPr>
          <w:rFonts w:hint="default" w:ascii="Times New Roman" w:hAnsi="Times New Roman" w:eastAsia="仿宋_GB2312" w:cs="Times New Roman"/>
          <w:lang w:val="en-US" w:eastAsia="zh-CN"/>
        </w:rPr>
        <w:t>绩效结果应用</w:t>
      </w:r>
      <w:r>
        <w:rPr>
          <w:rFonts w:hint="default" w:ascii="Times New Roman" w:hAnsi="Times New Roman" w:eastAsia="仿宋_GB2312" w:cs="Times New Roman"/>
        </w:rPr>
        <w:t>情况分析</w:t>
      </w:r>
      <w:bookmarkEnd w:id="75"/>
      <w:bookmarkEnd w:id="76"/>
      <w:bookmarkEnd w:id="7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该指标权重为</w:t>
      </w:r>
      <w:r>
        <w:rPr>
          <w:rFonts w:hint="eastAsia" w:eastAsia="仿宋_GB2312" w:cs="Times New Roman"/>
          <w:color w:val="000000"/>
          <w:kern w:val="0"/>
          <w:sz w:val="32"/>
          <w:szCs w:val="32"/>
          <w:highlight w:val="none"/>
          <w:lang w:val="en-US" w:eastAsia="zh-CN" w:bidi="ar"/>
        </w:rPr>
        <w:t>1</w:t>
      </w:r>
      <w:r>
        <w:rPr>
          <w:rFonts w:hint="default"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w:t>
      </w:r>
      <w:r>
        <w:rPr>
          <w:rFonts w:hint="default"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2</w:t>
      </w:r>
      <w:r>
        <w:rPr>
          <w:rFonts w:hint="default" w:eastAsia="仿宋_GB2312" w:cs="Times New Roman"/>
          <w:color w:val="000000"/>
          <w:kern w:val="0"/>
          <w:sz w:val="32"/>
          <w:szCs w:val="32"/>
          <w:highlight w:val="none"/>
          <w:lang w:val="en-US" w:eastAsia="zh-CN" w:bidi="ar"/>
        </w:rPr>
        <w:t>分。用于考察评价部门是否按要求将相关绩效信息向社会公开</w:t>
      </w:r>
      <w:r>
        <w:rPr>
          <w:rFonts w:hint="eastAsia" w:eastAsia="仿宋_GB2312" w:cs="Times New Roman"/>
          <w:color w:val="000000"/>
          <w:kern w:val="0"/>
          <w:sz w:val="32"/>
          <w:szCs w:val="32"/>
          <w:highlight w:val="none"/>
          <w:lang w:val="en-US" w:eastAsia="zh-CN" w:bidi="ar"/>
        </w:rPr>
        <w:t>；评价部门根据绩效管理结果整改问题、完善政策、改进管理的情况；评价部门按要求及时向财政部门反馈结果应用情况等</w:t>
      </w:r>
      <w:r>
        <w:rPr>
          <w:rFonts w:hint="default"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11</w:t>
      </w:r>
      <w:r>
        <w:rPr>
          <w:rFonts w:hint="default" w:ascii="Times New Roman" w:hAnsi="Times New Roman" w:eastAsia="仿宋_GB2312" w:cs="Times New Roman"/>
          <w:b/>
          <w:bCs/>
          <w:color w:val="000000"/>
          <w:kern w:val="0"/>
          <w:highlight w:val="none"/>
          <w:lang w:bidi="ar"/>
        </w:rPr>
        <w:t>部门整体支出</w:t>
      </w:r>
      <w:r>
        <w:rPr>
          <w:rFonts w:hint="default" w:ascii="Times New Roman" w:hAnsi="Times New Roman" w:eastAsia="仿宋_GB2312" w:cs="Times New Roman"/>
          <w:b/>
          <w:bCs/>
          <w:color w:val="000000"/>
          <w:kern w:val="0"/>
          <w:highlight w:val="none"/>
          <w:lang w:val="en-US" w:eastAsia="zh-CN" w:bidi="ar"/>
        </w:rPr>
        <w:t>绩效结果</w:t>
      </w:r>
      <w:r>
        <w:rPr>
          <w:rFonts w:hint="eastAsia" w:eastAsia="仿宋_GB2312" w:cs="Times New Roman"/>
          <w:b/>
          <w:bCs/>
          <w:color w:val="000000"/>
          <w:kern w:val="0"/>
          <w:highlight w:val="none"/>
          <w:lang w:val="en-US" w:eastAsia="zh-CN" w:bidi="ar"/>
        </w:rPr>
        <w:t>应用</w:t>
      </w:r>
      <w:r>
        <w:rPr>
          <w:rFonts w:hint="default" w:ascii="Times New Roman" w:hAnsi="Times New Roman" w:eastAsia="仿宋_GB2312" w:cs="Times New Roman"/>
          <w:b/>
          <w:bCs/>
          <w:color w:val="000000"/>
          <w:kern w:val="0"/>
          <w:highlight w:val="none"/>
          <w:lang w:bidi="ar"/>
        </w:rPr>
        <w:t>情况得分表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绩效结果应用（10分）</w:t>
            </w:r>
          </w:p>
        </w:tc>
        <w:tc>
          <w:tcPr>
            <w:tcW w:w="133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信息公开（2分）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自评公开</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整改反馈（8分）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问题整改</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应用反馈</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自评公开</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kern w:val="0"/>
          <w:sz w:val="32"/>
          <w:szCs w:val="32"/>
          <w:highlight w:val="none"/>
          <w:shd w:val="clear" w:color="auto" w:fill="FFFFFF"/>
          <w:lang w:val="en-US" w:eastAsia="zh-CN" w:bidi="ar-SA"/>
        </w:rPr>
        <w:t>已按要求将</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年预算、</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年决算</w:t>
      </w:r>
      <w:r>
        <w:rPr>
          <w:rFonts w:hint="eastAsia" w:eastAsia="仿宋_GB2312" w:cs="Times New Roman"/>
          <w:kern w:val="0"/>
          <w:sz w:val="32"/>
          <w:szCs w:val="32"/>
          <w:highlight w:val="none"/>
          <w:shd w:val="clear" w:color="auto" w:fill="FFFFFF"/>
          <w:lang w:val="en-US" w:eastAsia="zh-CN" w:bidi="ar-SA"/>
        </w:rPr>
        <w:t>；</w:t>
      </w:r>
      <w:r>
        <w:rPr>
          <w:rFonts w:hint="eastAsia" w:ascii="Times New Roman" w:hAnsi="Times New Roman" w:eastAsia="仿宋_GB2312" w:cs="Times New Roman"/>
          <w:kern w:val="0"/>
          <w:sz w:val="32"/>
          <w:szCs w:val="32"/>
          <w:highlight w:val="none"/>
          <w:shd w:val="clear" w:color="auto" w:fill="FFFFFF"/>
          <w:lang w:val="en-US" w:eastAsia="zh-CN" w:bidi="ar-SA"/>
        </w:rPr>
        <w:t>其中</w:t>
      </w:r>
      <w:r>
        <w:rPr>
          <w:rFonts w:hint="eastAsia" w:eastAsia="仿宋_GB2312" w:cs="Times New Roman"/>
          <w:kern w:val="0"/>
          <w:sz w:val="32"/>
          <w:szCs w:val="32"/>
          <w:highlight w:val="none"/>
          <w:shd w:val="clear" w:color="auto" w:fill="FFFFFF"/>
          <w:lang w:val="en-US" w:eastAsia="zh-CN" w:bidi="ar-SA"/>
        </w:rPr>
        <w:t>阿坝县审计局</w:t>
      </w:r>
      <w:r>
        <w:rPr>
          <w:rFonts w:hint="eastAsia" w:ascii="Times New Roman" w:hAnsi="Times New Roman" w:eastAsia="仿宋_GB2312" w:cs="Times New Roman"/>
          <w:kern w:val="0"/>
          <w:sz w:val="32"/>
          <w:szCs w:val="32"/>
          <w:highlight w:val="none"/>
          <w:shd w:val="clear" w:color="auto" w:fill="FFFFFF"/>
          <w:lang w:val="en-US" w:eastAsia="zh-CN" w:bidi="ar-SA"/>
        </w:rPr>
        <w:t>于</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w:t>
      </w:r>
      <w:r>
        <w:rPr>
          <w:rFonts w:hint="eastAsia" w:eastAsia="仿宋_GB2312" w:cs="Times New Roman"/>
          <w:kern w:val="0"/>
          <w:sz w:val="32"/>
          <w:szCs w:val="32"/>
          <w:highlight w:val="none"/>
          <w:shd w:val="clear" w:color="auto" w:fill="FFFFFF"/>
          <w:lang w:val="en-US" w:eastAsia="zh-CN" w:bidi="ar-SA"/>
        </w:rPr>
        <w:t>1</w:t>
      </w:r>
      <w:r>
        <w:rPr>
          <w:rFonts w:hint="eastAsia" w:ascii="Times New Roman" w:hAnsi="Times New Roman" w:eastAsia="仿宋_GB2312" w:cs="Times New Roman"/>
          <w:kern w:val="0"/>
          <w:sz w:val="32"/>
          <w:szCs w:val="32"/>
          <w:highlight w:val="none"/>
          <w:shd w:val="clear" w:color="auto" w:fill="FFFFFF"/>
          <w:lang w:val="en-US" w:eastAsia="zh-CN" w:bidi="ar-SA"/>
        </w:rPr>
        <w:t>月</w:t>
      </w:r>
      <w:r>
        <w:rPr>
          <w:rFonts w:hint="eastAsia" w:eastAsia="仿宋_GB2312" w:cs="Times New Roman"/>
          <w:kern w:val="0"/>
          <w:sz w:val="32"/>
          <w:szCs w:val="32"/>
          <w:highlight w:val="none"/>
          <w:shd w:val="clear" w:color="auto" w:fill="FFFFFF"/>
          <w:lang w:val="en-US" w:eastAsia="zh-CN" w:bidi="ar-SA"/>
        </w:rPr>
        <w:t>28</w:t>
      </w:r>
      <w:r>
        <w:rPr>
          <w:rFonts w:hint="eastAsia" w:ascii="Times New Roman" w:hAnsi="Times New Roman" w:eastAsia="仿宋_GB2312" w:cs="Times New Roman"/>
          <w:kern w:val="0"/>
          <w:sz w:val="32"/>
          <w:szCs w:val="32"/>
          <w:highlight w:val="none"/>
          <w:shd w:val="clear" w:color="auto" w:fill="FFFFFF"/>
          <w:lang w:val="en-US" w:eastAsia="zh-CN" w:bidi="ar-SA"/>
        </w:rPr>
        <w:t>日公开</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年预算报表，202</w:t>
      </w:r>
      <w:r>
        <w:rPr>
          <w:rFonts w:hint="eastAsia" w:eastAsia="仿宋_GB2312" w:cs="Times New Roman"/>
          <w:kern w:val="0"/>
          <w:sz w:val="32"/>
          <w:szCs w:val="32"/>
          <w:highlight w:val="none"/>
          <w:shd w:val="clear" w:color="auto" w:fill="FFFFFF"/>
          <w:lang w:val="en-US" w:eastAsia="zh-CN" w:bidi="ar-SA"/>
        </w:rPr>
        <w:t>3</w:t>
      </w:r>
      <w:r>
        <w:rPr>
          <w:rFonts w:hint="eastAsia" w:ascii="Times New Roman" w:hAnsi="Times New Roman" w:eastAsia="仿宋_GB2312" w:cs="Times New Roman"/>
          <w:kern w:val="0"/>
          <w:sz w:val="32"/>
          <w:szCs w:val="32"/>
          <w:highlight w:val="none"/>
          <w:shd w:val="clear" w:color="auto" w:fill="FFFFFF"/>
          <w:lang w:val="en-US" w:eastAsia="zh-CN" w:bidi="ar-SA"/>
        </w:rPr>
        <w:t>年9月</w:t>
      </w:r>
      <w:r>
        <w:rPr>
          <w:rFonts w:hint="eastAsia" w:eastAsia="仿宋_GB2312" w:cs="Times New Roman"/>
          <w:kern w:val="0"/>
          <w:sz w:val="32"/>
          <w:szCs w:val="32"/>
          <w:highlight w:val="none"/>
          <w:shd w:val="clear" w:color="auto" w:fill="FFFFFF"/>
          <w:lang w:val="en-US" w:eastAsia="zh-CN" w:bidi="ar-SA"/>
        </w:rPr>
        <w:t>21</w:t>
      </w:r>
      <w:r>
        <w:rPr>
          <w:rFonts w:hint="eastAsia" w:ascii="Times New Roman" w:hAnsi="Times New Roman" w:eastAsia="仿宋_GB2312" w:cs="Times New Roman"/>
          <w:kern w:val="0"/>
          <w:sz w:val="32"/>
          <w:szCs w:val="32"/>
          <w:highlight w:val="none"/>
          <w:shd w:val="clear" w:color="auto" w:fill="FFFFFF"/>
          <w:lang w:val="en-US" w:eastAsia="zh-CN" w:bidi="ar-SA"/>
        </w:rPr>
        <w:t>日公开</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年决算报表。</w:t>
      </w:r>
    </w:p>
    <w:p>
      <w:pPr>
        <w:spacing w:line="360" w:lineRule="auto"/>
        <w:ind w:left="0" w:leftChars="0" w:firstLine="0" w:firstLineChars="0"/>
        <w:jc w:val="center"/>
        <w:rPr>
          <w:rFonts w:hint="default" w:ascii="Times New Roman" w:hAnsi="Times New Roman" w:eastAsia="仿宋_GB2312" w:cs="Times New Roman"/>
          <w:b w:val="0"/>
          <w:bCs w:val="0"/>
          <w:kern w:val="0"/>
          <w:sz w:val="32"/>
          <w:szCs w:val="32"/>
          <w:shd w:val="clear" w:color="auto" w:fill="FFFFFF"/>
          <w:lang w:val="en-US" w:eastAsia="zh-CN"/>
        </w:rPr>
      </w:pPr>
      <w:r>
        <w:rPr>
          <w:rFonts w:hint="default" w:ascii="Times New Roman" w:hAnsi="Times New Roman" w:eastAsia="仿宋_GB2312" w:cs="Times New Roman"/>
          <w:b/>
          <w:bCs/>
          <w:color w:val="000000"/>
          <w:kern w:val="0"/>
          <w:highlight w:val="none"/>
          <w:shd w:val="clear" w:color="auto" w:fill="FFFFFF"/>
          <w:lang w:val="en-US" w:eastAsia="zh-CN"/>
        </w:rPr>
        <w:t>图</w:t>
      </w:r>
      <w:r>
        <w:rPr>
          <w:rFonts w:hint="eastAsia" w:ascii="Times New Roman" w:hAnsi="Times New Roman" w:eastAsia="仿宋_GB2312" w:cs="Times New Roman"/>
          <w:b/>
          <w:bCs/>
          <w:color w:val="000000"/>
          <w:kern w:val="0"/>
          <w:highlight w:val="none"/>
          <w:shd w:val="clear" w:color="auto" w:fill="FFFFFF"/>
          <w:lang w:val="en-US" w:eastAsia="zh-CN"/>
        </w:rPr>
        <w:t>3</w:t>
      </w:r>
      <w:r>
        <w:rPr>
          <w:rFonts w:hint="default" w:ascii="Times New Roman" w:hAnsi="Times New Roman"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2022年</w:t>
      </w:r>
      <w:r>
        <w:rPr>
          <w:rFonts w:hint="default" w:ascii="Times New Roman" w:hAnsi="Times New Roman" w:eastAsia="仿宋_GB2312" w:cs="Times New Roman"/>
          <w:b/>
          <w:bCs/>
          <w:color w:val="000000"/>
          <w:kern w:val="0"/>
          <w:highlight w:val="none"/>
          <w:shd w:val="clear" w:color="auto" w:fill="FFFFFF"/>
        </w:rPr>
        <w:t>预算</w:t>
      </w:r>
      <w:r>
        <w:rPr>
          <w:rFonts w:hint="eastAsia" w:ascii="Times New Roman" w:hAnsi="Times New Roman" w:eastAsia="仿宋_GB2312" w:cs="Times New Roman"/>
          <w:b/>
          <w:bCs/>
          <w:color w:val="000000"/>
          <w:kern w:val="0"/>
          <w:highlight w:val="none"/>
          <w:shd w:val="clear" w:color="auto" w:fill="FFFFFF"/>
          <w:lang w:eastAsia="zh-CN"/>
        </w:rPr>
        <w:t>、</w:t>
      </w:r>
      <w:r>
        <w:rPr>
          <w:rFonts w:hint="eastAsia" w:ascii="Times New Roman" w:hAnsi="Times New Roman" w:eastAsia="仿宋_GB2312" w:cs="Times New Roman"/>
          <w:b/>
          <w:bCs/>
          <w:color w:val="000000"/>
          <w:kern w:val="0"/>
          <w:highlight w:val="none"/>
          <w:shd w:val="clear" w:color="auto" w:fill="FFFFFF"/>
          <w:lang w:val="en-US" w:eastAsia="zh-CN"/>
        </w:rPr>
        <w:t>决算公开</w:t>
      </w:r>
      <w:r>
        <w:rPr>
          <w:rFonts w:hint="default" w:ascii="Times New Roman" w:hAnsi="Times New Roman" w:eastAsia="仿宋_GB2312" w:cs="Times New Roman"/>
          <w:b/>
          <w:bCs/>
          <w:color w:val="000000"/>
          <w:kern w:val="0"/>
          <w:highlight w:val="none"/>
          <w:shd w:val="clear" w:color="auto" w:fill="FFFFFF"/>
        </w:rPr>
        <w:t>情况图</w:t>
      </w:r>
    </w:p>
    <w:p>
      <w:pPr>
        <w:pStyle w:val="24"/>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eastAsia="仿宋_GB2312" w:cs="Times New Roman"/>
          <w:lang w:val="en-US" w:eastAsia="zh-CN"/>
        </w:rPr>
      </w:pPr>
      <w:r>
        <w:drawing>
          <wp:inline distT="0" distB="0" distL="114300" distR="114300">
            <wp:extent cx="5575935" cy="2233930"/>
            <wp:effectExtent l="0" t="0" r="12065"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5575935" cy="2233930"/>
                    </a:xfrm>
                    <a:prstGeom prst="rect">
                      <a:avLst/>
                    </a:prstGeom>
                    <a:noFill/>
                    <a:ln>
                      <a:noFill/>
                    </a:ln>
                  </pic:spPr>
                </pic:pic>
              </a:graphicData>
            </a:graphic>
          </wp:inline>
        </w:drawing>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rPr>
      </w:pPr>
      <w:bookmarkStart w:id="78" w:name="_Toc20257"/>
      <w:bookmarkStart w:id="79" w:name="_Toc28851"/>
      <w:r>
        <w:rPr>
          <w:rFonts w:hint="eastAsia" w:eastAsia="仿宋_GB2312" w:cs="Times New Roman"/>
          <w:lang w:val="en-US" w:eastAsia="zh-CN"/>
        </w:rPr>
        <w:t>4</w:t>
      </w:r>
      <w:r>
        <w:rPr>
          <w:rFonts w:hint="default" w:ascii="Times New Roman" w:hAnsi="Times New Roman" w:eastAsia="仿宋_GB2312" w:cs="Times New Roman"/>
          <w:lang w:val="en-US" w:eastAsia="zh-CN"/>
        </w:rPr>
        <w:t>、</w:t>
      </w:r>
      <w:r>
        <w:rPr>
          <w:rFonts w:hint="eastAsia" w:eastAsia="仿宋_GB2312" w:cs="Times New Roman"/>
          <w:lang w:val="en-US" w:eastAsia="zh-CN"/>
        </w:rPr>
        <w:t>自评质量情况</w:t>
      </w:r>
      <w:r>
        <w:rPr>
          <w:rFonts w:hint="default" w:ascii="Times New Roman" w:hAnsi="Times New Roman" w:eastAsia="仿宋_GB2312" w:cs="Times New Roman"/>
        </w:rPr>
        <w:t>分析</w:t>
      </w:r>
      <w:bookmarkEnd w:id="78"/>
      <w:bookmarkEnd w:id="79"/>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该指标</w:t>
      </w:r>
      <w:r>
        <w:rPr>
          <w:rFonts w:hint="default" w:ascii="Times New Roman" w:hAnsi="Times New Roman" w:eastAsia="仿宋_GB2312" w:cs="Times New Roman"/>
          <w:kern w:val="0"/>
          <w:sz w:val="32"/>
          <w:szCs w:val="32"/>
          <w:highlight w:val="none"/>
          <w:shd w:val="clear" w:color="auto" w:fill="FFFFFF"/>
        </w:rPr>
        <w:t>权重为</w:t>
      </w:r>
      <w:r>
        <w:rPr>
          <w:rFonts w:hint="default" w:ascii="Times New Roman" w:hAnsi="Times New Roman" w:eastAsia="仿宋_GB2312" w:cs="Times New Roman"/>
          <w:color w:val="000000"/>
          <w:kern w:val="0"/>
          <w:sz w:val="32"/>
          <w:szCs w:val="32"/>
          <w:highlight w:val="none"/>
          <w:lang w:val="en-US" w:eastAsia="zh-CN" w:bidi="ar"/>
        </w:rPr>
        <w:t>10分，评价权重10分，评价权重得分</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分。用于考察评价部门整体</w:t>
      </w:r>
      <w:r>
        <w:rPr>
          <w:rFonts w:hint="default" w:eastAsia="仿宋_GB2312" w:cs="Times New Roman"/>
          <w:color w:val="000000"/>
          <w:kern w:val="0"/>
          <w:sz w:val="32"/>
          <w:szCs w:val="32"/>
          <w:highlight w:val="none"/>
          <w:lang w:val="en-US" w:eastAsia="zh-CN" w:bidi="ar"/>
        </w:rPr>
        <w:t>支出</w:t>
      </w:r>
      <w:r>
        <w:rPr>
          <w:rFonts w:hint="default" w:ascii="Times New Roman" w:hAnsi="Times New Roman" w:eastAsia="仿宋_GB2312" w:cs="Times New Roman"/>
          <w:color w:val="000000"/>
          <w:kern w:val="0"/>
          <w:sz w:val="32"/>
          <w:szCs w:val="32"/>
          <w:highlight w:val="none"/>
          <w:lang w:val="en-US" w:eastAsia="zh-CN" w:bidi="ar"/>
        </w:rPr>
        <w:t>自评质量</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sz w:val="21"/>
          <w:szCs w:val="21"/>
          <w:lang w:bidi="ar"/>
        </w:rPr>
      </w:pPr>
      <w:r>
        <w:rPr>
          <w:rFonts w:hint="default" w:ascii="Times New Roman" w:hAnsi="Times New Roman" w:eastAsia="仿宋_GB2312" w:cs="Times New Roman"/>
          <w:color w:val="000000"/>
          <w:kern w:val="0"/>
          <w:sz w:val="32"/>
          <w:szCs w:val="32"/>
          <w:highlight w:val="none"/>
          <w:lang w:val="en-US" w:eastAsia="zh-CN" w:bidi="ar"/>
        </w:rPr>
        <w:t>各分项指标得分和</w:t>
      </w:r>
      <w:r>
        <w:rPr>
          <w:rFonts w:hint="default" w:eastAsia="仿宋_GB2312" w:cs="Times New Roman"/>
          <w:color w:val="000000"/>
          <w:kern w:val="0"/>
          <w:sz w:val="32"/>
          <w:szCs w:val="32"/>
          <w:highlight w:val="none"/>
          <w:lang w:val="en-US" w:eastAsia="zh-CN" w:bidi="ar"/>
        </w:rPr>
        <w:t>绩效</w:t>
      </w:r>
      <w:r>
        <w:rPr>
          <w:rFonts w:hint="default" w:ascii="Times New Roman" w:hAnsi="Times New Roman" w:eastAsia="仿宋_GB2312" w:cs="Times New Roman"/>
          <w:color w:val="000000"/>
          <w:kern w:val="0"/>
          <w:sz w:val="32"/>
          <w:szCs w:val="32"/>
          <w:highlight w:val="none"/>
          <w:lang w:val="en-US" w:eastAsia="zh-CN" w:bidi="ar"/>
        </w:rPr>
        <w:t>分析</w:t>
      </w:r>
      <w:r>
        <w:rPr>
          <w:rFonts w:hint="default" w:ascii="Times New Roman" w:hAnsi="Times New Roman" w:eastAsia="仿宋_GB2312" w:cs="Times New Roman"/>
          <w:kern w:val="0"/>
          <w:sz w:val="32"/>
          <w:szCs w:val="32"/>
          <w:shd w:val="clear" w:color="auto" w:fill="FFFFFF"/>
        </w:rPr>
        <w:t>如下：</w:t>
      </w:r>
    </w:p>
    <w:p>
      <w:pPr>
        <w:widowControl/>
        <w:spacing w:line="600" w:lineRule="exact"/>
        <w:ind w:firstLine="480"/>
        <w:jc w:val="center"/>
        <w:rPr>
          <w:rFonts w:hint="default" w:ascii="Times New Roman" w:hAnsi="Times New Roman" w:eastAsia="仿宋_GB2312" w:cs="Times New Roman"/>
          <w:color w:val="000000"/>
          <w:kern w:val="0"/>
          <w:lang w:bidi="ar"/>
        </w:rPr>
      </w:pPr>
      <w:r>
        <w:rPr>
          <w:rFonts w:hint="default" w:ascii="Times New Roman" w:hAnsi="Times New Roman" w:eastAsia="仿宋_GB2312" w:cs="Times New Roman"/>
          <w:b/>
          <w:bCs/>
          <w:color w:val="000000"/>
          <w:kern w:val="0"/>
          <w:lang w:bidi="ar"/>
        </w:rPr>
        <w:t>表</w:t>
      </w:r>
      <w:r>
        <w:rPr>
          <w:rFonts w:hint="eastAsia" w:eastAsia="仿宋_GB2312" w:cs="Times New Roman"/>
          <w:b/>
          <w:bCs/>
          <w:color w:val="000000"/>
          <w:kern w:val="0"/>
          <w:lang w:val="en-US" w:eastAsia="zh-CN" w:bidi="ar"/>
        </w:rPr>
        <w:t>12</w:t>
      </w:r>
      <w:r>
        <w:rPr>
          <w:rFonts w:hint="default" w:ascii="Times New Roman" w:hAnsi="Times New Roman" w:eastAsia="仿宋_GB2312" w:cs="Times New Roman"/>
          <w:b/>
          <w:bCs/>
          <w:color w:val="000000"/>
          <w:kern w:val="0"/>
          <w:lang w:bidi="ar"/>
        </w:rPr>
        <w:t xml:space="preserve"> 部门整体支出</w:t>
      </w:r>
      <w:r>
        <w:rPr>
          <w:rFonts w:hint="default" w:ascii="Times New Roman" w:hAnsi="Times New Roman" w:eastAsia="仿宋_GB2312" w:cs="Times New Roman"/>
          <w:b/>
          <w:bCs/>
          <w:color w:val="000000"/>
          <w:kern w:val="0"/>
          <w:lang w:val="en-US" w:eastAsia="zh-CN" w:bidi="ar"/>
        </w:rPr>
        <w:t>自评</w:t>
      </w:r>
      <w:r>
        <w:rPr>
          <w:rFonts w:hint="eastAsia" w:eastAsia="仿宋_GB2312" w:cs="Times New Roman"/>
          <w:b/>
          <w:bCs/>
          <w:color w:val="000000"/>
          <w:kern w:val="0"/>
          <w:lang w:val="en-US" w:eastAsia="zh-CN" w:bidi="ar"/>
        </w:rPr>
        <w:t>质量</w:t>
      </w:r>
      <w:r>
        <w:rPr>
          <w:rFonts w:hint="default" w:ascii="Times New Roman" w:hAnsi="Times New Roman" w:eastAsia="仿宋_GB2312" w:cs="Times New Roman"/>
          <w:b/>
          <w:bCs/>
          <w:color w:val="000000"/>
          <w:kern w:val="0"/>
          <w:lang w:bidi="ar"/>
        </w:rPr>
        <w:t>情况得分表</w:t>
      </w:r>
    </w:p>
    <w:tbl>
      <w:tblPr>
        <w:tblStyle w:val="4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1655"/>
        <w:gridCol w:w="1744"/>
        <w:gridCol w:w="962"/>
        <w:gridCol w:w="866"/>
        <w:gridCol w:w="705"/>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05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一级指标</w:t>
            </w:r>
          </w:p>
        </w:tc>
        <w:tc>
          <w:tcPr>
            <w:tcW w:w="16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二级指标</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三级指标</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权重</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评价权重</w:t>
            </w:r>
          </w:p>
        </w:tc>
        <w:tc>
          <w:tcPr>
            <w:tcW w:w="70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val="en-US" w:eastAsia="zh-CN" w:bidi="ar"/>
              </w:rPr>
              <w:t>评价</w:t>
            </w:r>
            <w:r>
              <w:rPr>
                <w:rFonts w:hint="default" w:ascii="Times New Roman" w:hAnsi="Times New Roman" w:eastAsia="仿宋_GB2312" w:cs="Times New Roman"/>
                <w:b/>
                <w:bCs/>
                <w:color w:val="000000"/>
                <w:kern w:val="0"/>
                <w:lang w:bidi="ar"/>
              </w:rPr>
              <w:t>得分</w:t>
            </w:r>
          </w:p>
        </w:tc>
        <w:tc>
          <w:tcPr>
            <w:tcW w:w="117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自评质量（10分）</w:t>
            </w:r>
          </w:p>
        </w:tc>
        <w:tc>
          <w:tcPr>
            <w:tcW w:w="165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自评质量</w:t>
            </w:r>
          </w:p>
        </w:tc>
        <w:tc>
          <w:tcPr>
            <w:tcW w:w="174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w:t>
            </w:r>
            <w:r>
              <w:rPr>
                <w:rFonts w:hint="eastAsia" w:eastAsia="仿宋_GB2312" w:cs="Times New Roman"/>
                <w:color w:val="000000"/>
                <w:kern w:val="0"/>
                <w:lang w:val="en-US" w:eastAsia="zh-CN" w:bidi="ar"/>
              </w:rPr>
              <w:t>准确</w:t>
            </w:r>
          </w:p>
        </w:tc>
        <w:tc>
          <w:tcPr>
            <w:tcW w:w="96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10</w:t>
            </w:r>
          </w:p>
        </w:tc>
        <w:tc>
          <w:tcPr>
            <w:tcW w:w="86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10</w:t>
            </w:r>
          </w:p>
        </w:tc>
        <w:tc>
          <w:tcPr>
            <w:tcW w:w="70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eastAsia="仿宋_GB2312" w:cs="Times New Roman"/>
                <w:color w:val="000000"/>
                <w:kern w:val="0"/>
                <w:lang w:val="en-US" w:eastAsia="zh-CN" w:bidi="ar"/>
              </w:rPr>
              <w:t>0</w:t>
            </w:r>
          </w:p>
        </w:tc>
        <w:tc>
          <w:tcPr>
            <w:tcW w:w="117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eastAsia="仿宋_GB2312" w:cs="Times New Roman"/>
                <w:color w:val="000000"/>
                <w:kern w:val="0"/>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8"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得分合计</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10</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10</w:t>
            </w:r>
          </w:p>
        </w:tc>
        <w:tc>
          <w:tcPr>
            <w:tcW w:w="70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0</w:t>
            </w:r>
          </w:p>
        </w:tc>
        <w:tc>
          <w:tcPr>
            <w:tcW w:w="117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0.00%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——自评</w:t>
      </w:r>
      <w:r>
        <w:rPr>
          <w:rFonts w:hint="eastAsia" w:eastAsia="仿宋_GB2312" w:cs="Times New Roman"/>
          <w:b/>
          <w:bCs/>
          <w:kern w:val="0"/>
          <w:sz w:val="32"/>
          <w:szCs w:val="32"/>
          <w:highlight w:val="none"/>
          <w:shd w:val="clear" w:color="auto" w:fill="FFFFFF"/>
          <w:lang w:val="en-US" w:eastAsia="zh-CN"/>
        </w:rPr>
        <w:t>准确</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bookmarkStart w:id="80" w:name="_Toc24346"/>
      <w:r>
        <w:rPr>
          <w:rFonts w:hint="eastAsia" w:eastAsia="仿宋_GB2312" w:cs="Times New Roman"/>
          <w:color w:val="000000"/>
          <w:kern w:val="0"/>
          <w:sz w:val="32"/>
          <w:szCs w:val="32"/>
          <w:highlight w:val="none"/>
          <w:lang w:val="en-US" w:eastAsia="zh-CN" w:bidi="ar"/>
        </w:rPr>
        <w:t>根据指标适用情况与被评价单位自评表对比，指标体系表除自评质量指标外，评价组评价换算得分67.05分，被评价单位自评得分81分，差异率=（自评评分-评价组评分）/评价组评分=（81-67.05）/67.05×100%=20.81%，部门整体支出自评得分与评价组抽查得分差异在20%以上的，扣10分。</w:t>
      </w:r>
    </w:p>
    <w:bookmarkEnd w:id="80"/>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81" w:name="_Toc26324"/>
      <w:bookmarkStart w:id="82" w:name="_Toc25605"/>
      <w:bookmarkStart w:id="83" w:name="_Toc2972"/>
      <w:bookmarkStart w:id="84" w:name="_Toc26293"/>
      <w:r>
        <w:rPr>
          <w:rFonts w:hint="eastAsia" w:ascii="Times New Roman" w:hAnsi="Times New Roman" w:cs="Times New Roman"/>
          <w:sz w:val="30"/>
          <w:szCs w:val="30"/>
          <w:lang w:val="en-US" w:eastAsia="zh-CN"/>
        </w:rPr>
        <w:t>四</w:t>
      </w:r>
      <w:r>
        <w:rPr>
          <w:rFonts w:hint="default" w:ascii="Times New Roman" w:hAnsi="Times New Roman" w:cs="Times New Roman"/>
          <w:sz w:val="30"/>
          <w:szCs w:val="30"/>
        </w:rPr>
        <w:t>、</w:t>
      </w:r>
      <w:bookmarkStart w:id="85" w:name="_Toc8892"/>
      <w:bookmarkStart w:id="86" w:name="_Toc10041"/>
      <w:r>
        <w:rPr>
          <w:rFonts w:hint="default" w:ascii="Times New Roman" w:hAnsi="Times New Roman" w:cs="Times New Roman"/>
          <w:sz w:val="30"/>
          <w:szCs w:val="30"/>
        </w:rPr>
        <w:t>评价发现的主要问题</w:t>
      </w:r>
      <w:bookmarkEnd w:id="81"/>
      <w:bookmarkEnd w:id="82"/>
      <w:bookmarkEnd w:id="83"/>
      <w:bookmarkEnd w:id="85"/>
      <w:bookmarkEnd w:id="86"/>
    </w:p>
    <w:p>
      <w:pPr>
        <w:pStyle w:val="4"/>
        <w:pageBreakBefore w:val="0"/>
        <w:widowControl w:val="0"/>
        <w:numPr>
          <w:ilvl w:val="0"/>
          <w:numId w:val="0"/>
        </w:numPr>
        <w:kinsoku/>
        <w:wordWrap/>
        <w:overflowPunct/>
        <w:topLinePunct w:val="0"/>
        <w:autoSpaceDE/>
        <w:autoSpaceDN/>
        <w:bidi w:val="0"/>
        <w:adjustRightInd/>
        <w:spacing w:line="600" w:lineRule="exact"/>
        <w:ind w:firstLine="321" w:firstLineChars="100"/>
        <w:textAlignment w:val="auto"/>
        <w:rPr>
          <w:rFonts w:hint="default" w:ascii="Times New Roman" w:hAnsi="Times New Roman" w:eastAsia="仿宋_GB2312" w:cs="Times New Roman"/>
          <w:lang w:val="en-US" w:eastAsia="zh-CN"/>
        </w:rPr>
      </w:pPr>
      <w:bookmarkStart w:id="87" w:name="_Toc31912"/>
      <w:bookmarkStart w:id="88" w:name="_Toc6710"/>
      <w:bookmarkStart w:id="89" w:name="_Toc1801"/>
      <w:bookmarkStart w:id="90" w:name="_Toc3810"/>
      <w:bookmarkStart w:id="91" w:name="_Toc11778"/>
      <w:r>
        <w:rPr>
          <w:rFonts w:hint="eastAsia" w:ascii="Times New Roman" w:hAnsi="Times New Roman" w:eastAsia="仿宋_GB2312" w:cs="Times New Roman"/>
          <w:lang w:val="en-US" w:eastAsia="zh-CN"/>
        </w:rPr>
        <w:t>1、</w:t>
      </w:r>
      <w:bookmarkEnd w:id="87"/>
      <w:bookmarkEnd w:id="88"/>
      <w:bookmarkEnd w:id="89"/>
      <w:r>
        <w:rPr>
          <w:rFonts w:hint="eastAsia" w:ascii="Times New Roman" w:hAnsi="Times New Roman" w:eastAsia="仿宋_GB2312" w:cs="Times New Roman"/>
          <w:lang w:val="en-US" w:eastAsia="zh-CN"/>
        </w:rPr>
        <w:t>多报销差旅费</w:t>
      </w:r>
      <w:bookmarkEnd w:id="90"/>
      <w:bookmarkEnd w:id="91"/>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color w:val="000000"/>
          <w:kern w:val="0"/>
          <w:sz w:val="32"/>
          <w:szCs w:val="32"/>
          <w:highlight w:val="none"/>
          <w:lang w:val="en-US" w:eastAsia="zh-CN" w:bidi="ar"/>
        </w:rPr>
        <w:t>2022年12月第42号记账凭证，报销四洼配合州巡查组2022年10月9日至2022年10月10日误餐补助60.00元。同一地方连续两天及以上的应降低10元的标准报销，多报销10元；</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2022年4月第3号记账凭证，报销两联一进到安羌的误餐补助80元。出差时间为2021年12月14日至2021年12月15日。安羌误餐补助标准为40.00元/人·天，2021年12月14日与2021年12月15日连续两天下乡安羌，同一地方连续两天及以上的应降低10元的标准报销，多报销10.00元；</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2022年4月第4号记账凭证，报销安羌下乡误餐补助160元，出差时间为2021年12月14日、15日、24日、26日。安羌误餐补助标准为40.00元/人·天，其中2021年12月14日与2021年12月15日连续两天下乡安羌，同一地方连续两天以上的应降低10元的标准报销，多报销10.00元。</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color w:val="000000"/>
          <w:kern w:val="0"/>
          <w:sz w:val="32"/>
          <w:szCs w:val="32"/>
          <w:highlight w:val="none"/>
          <w:lang w:val="en-US" w:eastAsia="zh-CN" w:bidi="ar"/>
        </w:rPr>
        <w:t>《阿坝县行政事业单位差旅费管理办法》（补充规定）第一条“县直机关工作人员下乡报销差旅费补助标准连续超过2天以上到所有乡镇（场）补助标准，按该地区同类档次降低10元的标准报销。”</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建议被评价单位严格执行差旅费报销制度，加强原始凭证审核，避免多报销费用现象的发生；对于多报销的差旅费，联系经办人员及时退回</w:t>
      </w:r>
      <w:r>
        <w:rPr>
          <w:rFonts w:hint="eastAsia" w:ascii="Times New Roman" w:hAnsi="Times New Roman" w:eastAsia="仿宋_GB2312" w:cs="Times New Roman"/>
          <w:color w:val="000000"/>
          <w:kern w:val="0"/>
          <w:sz w:val="32"/>
          <w:szCs w:val="32"/>
          <w:highlight w:val="none"/>
          <w:lang w:val="en-US" w:eastAsia="zh-CN" w:bidi="ar"/>
        </w:rPr>
        <w:t>。</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92" w:name="_Toc12091"/>
      <w:bookmarkStart w:id="93" w:name="_Toc25406"/>
      <w:bookmarkStart w:id="94" w:name="_Toc9497"/>
      <w:r>
        <w:rPr>
          <w:rFonts w:hint="eastAsia" w:ascii="Times New Roman" w:hAnsi="Times New Roman" w:eastAsia="仿宋_GB2312" w:cs="Times New Roman"/>
          <w:lang w:val="en-US" w:eastAsia="zh-CN"/>
        </w:rPr>
        <w:t>2、审批不规范</w:t>
      </w:r>
      <w:bookmarkEnd w:id="92"/>
      <w:bookmarkEnd w:id="93"/>
      <w:bookmarkEnd w:id="94"/>
    </w:p>
    <w:p>
      <w:pPr>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b w:val="0"/>
          <w:bCs w:val="0"/>
          <w:color w:val="000000"/>
          <w:kern w:val="0"/>
          <w:sz w:val="32"/>
          <w:szCs w:val="32"/>
          <w:highlight w:val="none"/>
          <w:lang w:val="en-US" w:eastAsia="zh-CN" w:bidi="ar"/>
        </w:rPr>
        <w:t>2022年12月第61号记账凭证，2022年12月15日支付中国邮政集团有限公司阿坝藏族羌族自治州分公司办公费6,145.00元，后附四川增值税电子普通发票开票日期为2022年12月22日，晚于支付日期。</w:t>
      </w:r>
    </w:p>
    <w:p>
      <w:pPr>
        <w:keepNext w:val="0"/>
        <w:keepLines w:val="0"/>
        <w:widowControl/>
        <w:suppressLineNumbers w:val="0"/>
        <w:jc w:val="left"/>
        <w:rPr>
          <w:b w:val="0"/>
          <w:bCs w:val="0"/>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《收支管理内部控制制度》第二十六条“</w:t>
      </w:r>
      <w:r>
        <w:rPr>
          <w:rFonts w:ascii="仿宋_GB2312" w:hAnsi="宋体" w:eastAsia="仿宋_GB2312" w:cs="仿宋_GB2312"/>
          <w:b w:val="0"/>
          <w:bCs w:val="0"/>
          <w:color w:val="000000"/>
          <w:kern w:val="0"/>
          <w:sz w:val="31"/>
          <w:szCs w:val="31"/>
          <w:lang w:val="en-US" w:eastAsia="zh-CN" w:bidi="ar"/>
        </w:rPr>
        <w:t>原始凭证必须按财会股室规定的程序进行</w:t>
      </w:r>
      <w:r>
        <w:rPr>
          <w:rFonts w:hint="eastAsia" w:ascii="仿宋_GB2312" w:hAnsi="宋体" w:eastAsia="仿宋_GB2312" w:cs="仿宋_GB2312"/>
          <w:b w:val="0"/>
          <w:bCs w:val="0"/>
          <w:color w:val="000000"/>
          <w:kern w:val="0"/>
          <w:sz w:val="31"/>
          <w:szCs w:val="31"/>
          <w:lang w:val="en-US" w:eastAsia="zh-CN" w:bidi="ar"/>
        </w:rPr>
        <w:t>审核、签字，审批手续必须完备。</w:t>
      </w:r>
      <w:r>
        <w:rPr>
          <w:rFonts w:ascii="仿宋_GB2312" w:hAnsi="宋体" w:eastAsia="仿宋_GB2312" w:cs="仿宋_GB2312"/>
          <w:b w:val="0"/>
          <w:bCs w:val="0"/>
          <w:color w:val="000000"/>
          <w:kern w:val="0"/>
          <w:sz w:val="31"/>
          <w:szCs w:val="31"/>
          <w:lang w:val="en-US" w:eastAsia="zh-CN" w:bidi="ar"/>
        </w:rPr>
        <w:t>支出凭证须附反映支出明细内容的原始单</w:t>
      </w:r>
      <w:r>
        <w:rPr>
          <w:rFonts w:hint="eastAsia" w:ascii="仿宋_GB2312" w:hAnsi="宋体" w:eastAsia="仿宋_GB2312" w:cs="仿宋_GB2312"/>
          <w:b w:val="0"/>
          <w:bCs w:val="0"/>
          <w:color w:val="000000"/>
          <w:kern w:val="0"/>
          <w:sz w:val="31"/>
          <w:szCs w:val="31"/>
          <w:lang w:val="en-US" w:eastAsia="zh-CN" w:bidi="ar"/>
        </w:rPr>
        <w:t>据，并由经办人员签字或盖章，超出规定标准的支出事项应由经办人员说明原因并附审批依据。”</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建议被评价单位对审批程序不完整、附件要素不齐全的加强审核把关，加强对项目工作人员提交的报账资料原始单据审批，对记载不明确、不完整的原始凭证，予以退回，要求经办人员更正、补充。</w:t>
      </w:r>
    </w:p>
    <w:bookmarkEnd w:id="84"/>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附件1：</w:t>
      </w:r>
      <w:r>
        <w:rPr>
          <w:rFonts w:hint="eastAsia" w:eastAsia="仿宋_GB2312" w:cs="Times New Roman"/>
          <w:color w:val="000000"/>
          <w:kern w:val="0"/>
          <w:sz w:val="32"/>
          <w:szCs w:val="32"/>
          <w:highlight w:val="none"/>
          <w:lang w:val="en-US" w:eastAsia="zh-CN" w:bidi="ar"/>
        </w:rPr>
        <w:t>阿坝县审计局2022</w:t>
      </w:r>
      <w:r>
        <w:rPr>
          <w:rFonts w:hint="default" w:eastAsia="仿宋_GB2312" w:cs="Times New Roman"/>
          <w:color w:val="000000"/>
          <w:kern w:val="0"/>
          <w:sz w:val="32"/>
          <w:szCs w:val="32"/>
          <w:highlight w:val="none"/>
          <w:lang w:val="en-US" w:eastAsia="zh-CN" w:bidi="ar"/>
        </w:rPr>
        <w:t>年部门整体支出绩效评价指标体系</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ind w:left="0" w:leftChars="0" w:firstLine="0" w:firstLineChars="0"/>
        <w:rPr>
          <w:rFonts w:hint="default"/>
          <w:lang w:eastAsia="zh-CN"/>
        </w:rPr>
      </w:pPr>
    </w:p>
    <w:p>
      <w:pPr>
        <w:ind w:firstLine="0" w:firstLineChars="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lang w:eastAsia="zh-CN"/>
        </w:rPr>
        <w:t>四川融策会计师事务所有限公司</w:t>
      </w:r>
      <w:r>
        <w:rPr>
          <w:rFonts w:hint="default" w:ascii="Times New Roman" w:hAnsi="Times New Roman" w:eastAsia="仿宋_GB2312" w:cs="Times New Roman"/>
          <w:b/>
          <w:sz w:val="32"/>
          <w:szCs w:val="32"/>
        </w:rPr>
        <w:t xml:space="preserve">    中国注册会计师：</w:t>
      </w:r>
    </w:p>
    <w:p>
      <w:pPr>
        <w:ind w:firstLine="640"/>
        <w:jc w:val="center"/>
        <w:rPr>
          <w:rFonts w:hint="default" w:ascii="Times New Roman" w:hAnsi="Times New Roman" w:eastAsia="仿宋_GB2312" w:cs="Times New Roman"/>
          <w:b/>
          <w:sz w:val="32"/>
          <w:szCs w:val="32"/>
        </w:rPr>
      </w:pPr>
    </w:p>
    <w:p>
      <w:pPr>
        <w:ind w:firstLine="1285" w:firstLineChars="4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中国·成都              中国注册会计师：</w:t>
      </w:r>
    </w:p>
    <w:p>
      <w:pPr>
        <w:ind w:firstLine="640"/>
        <w:rPr>
          <w:rFonts w:hint="default" w:ascii="Times New Roman" w:hAnsi="Times New Roman" w:eastAsia="仿宋_GB2312" w:cs="Times New Roman"/>
          <w:b/>
          <w:sz w:val="32"/>
          <w:szCs w:val="32"/>
        </w:rPr>
      </w:pPr>
    </w:p>
    <w:p>
      <w:pPr>
        <w:tabs>
          <w:tab w:val="right" w:pos="7501"/>
        </w:tabs>
        <w:ind w:firstLine="1285" w:firstLineChars="400"/>
        <w:rPr>
          <w:rFonts w:hint="eastAsia" w:eastAsia="仿宋_GB2312" w:cs="Times New Roman"/>
          <w:b/>
          <w:sz w:val="32"/>
          <w:szCs w:val="32"/>
          <w:lang w:val="en-US" w:eastAsia="zh-CN"/>
        </w:rPr>
      </w:pPr>
      <w:r>
        <w:rPr>
          <w:rFonts w:hint="default" w:ascii="Times New Roman" w:hAnsi="Times New Roman" w:eastAsia="仿宋_GB2312" w:cs="Times New Roman"/>
          <w:b/>
          <w:sz w:val="32"/>
          <w:szCs w:val="32"/>
        </w:rPr>
        <w:t xml:space="preserve">                   </w:t>
      </w:r>
      <w:r>
        <w:rPr>
          <w:rFonts w:hint="eastAsia" w:eastAsia="仿宋_GB2312" w:cs="Times New Roman"/>
          <w:b/>
          <w:sz w:val="32"/>
          <w:szCs w:val="32"/>
          <w:highlight w:val="none"/>
          <w:lang w:val="en-US" w:eastAsia="zh-CN"/>
        </w:rPr>
        <w:t xml:space="preserve"> </w:t>
      </w:r>
      <w:r>
        <w:rPr>
          <w:rFonts w:hint="default" w:ascii="Times New Roman" w:hAnsi="Times New Roman" w:eastAsia="仿宋_GB2312" w:cs="Times New Roman"/>
          <w:b/>
          <w:sz w:val="32"/>
          <w:szCs w:val="32"/>
          <w:highlight w:val="none"/>
        </w:rPr>
        <w:t xml:space="preserve"> </w:t>
      </w:r>
      <w:r>
        <w:rPr>
          <w:rFonts w:hint="eastAsia" w:eastAsia="仿宋_GB2312" w:cs="Times New Roman"/>
          <w:b/>
          <w:sz w:val="32"/>
          <w:szCs w:val="32"/>
          <w:highlight w:val="none"/>
          <w:lang w:eastAsia="zh-CN"/>
        </w:rPr>
        <w:t>二〇二三年</w:t>
      </w:r>
      <w:r>
        <w:rPr>
          <w:rFonts w:hint="eastAsia" w:eastAsia="仿宋_GB2312" w:cs="Times New Roman"/>
          <w:b/>
          <w:sz w:val="32"/>
          <w:szCs w:val="32"/>
          <w:highlight w:val="none"/>
          <w:lang w:val="en-US" w:eastAsia="zh-CN"/>
        </w:rPr>
        <w:t>十一</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三十日</w:t>
      </w:r>
    </w:p>
    <w:p>
      <w:pPr>
        <w:tabs>
          <w:tab w:val="right" w:pos="7501"/>
        </w:tabs>
        <w:ind w:left="0" w:leftChars="0" w:firstLine="0" w:firstLineChars="0"/>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b/>
          <w:sz w:val="32"/>
          <w:szCs w:val="32"/>
        </w:rPr>
        <w:tab/>
      </w:r>
    </w:p>
    <w:sectPr>
      <w:footerReference r:id="rId10"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康行楷体 W5">
    <w:altName w:val="楷体"/>
    <w:panose1 w:val="03000509000000000000"/>
    <w:charset w:val="86"/>
    <w:family w:val="roman"/>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3"/>
      </w:rPr>
    </w:pPr>
    <w:r>
      <w:fldChar w:fldCharType="begin"/>
    </w:r>
    <w:r>
      <w:rPr>
        <w:rStyle w:val="43"/>
      </w:rPr>
      <w:instrText xml:space="preserve">PAGE  </w:instrText>
    </w:r>
    <w:r>
      <w:fldChar w:fldCharType="end"/>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left" w:pos="5101"/>
        <w:tab w:val="clear" w:pos="4153"/>
      </w:tabs>
      <w:ind w:right="360" w:firstLine="360"/>
      <w:rPr>
        <w:rFonts w:hint="eastAsia" w:eastAsia="宋体"/>
        <w:lang w:eastAsia="zh-CN"/>
      </w:rPr>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left" w:pos="5101"/>
        <w:tab w:val="clear" w:pos="4153"/>
      </w:tabs>
      <w:ind w:right="360" w:firstLine="360"/>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MDe54oUAgAAEwQAAA4AAAAAAAAAAQAgAAAANQEAAGRycy9lMm9Eb2MueG1sUEsFBgAAAAAGAAYA&#10;WQEAALsFA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A69E"/>
    <w:multiLevelType w:val="singleLevel"/>
    <w:tmpl w:val="DFDFA6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0D14"/>
    <w:rsid w:val="00002597"/>
    <w:rsid w:val="000027B8"/>
    <w:rsid w:val="000076D1"/>
    <w:rsid w:val="00013E9B"/>
    <w:rsid w:val="000140E7"/>
    <w:rsid w:val="00016328"/>
    <w:rsid w:val="00021DA0"/>
    <w:rsid w:val="000222AD"/>
    <w:rsid w:val="00023E28"/>
    <w:rsid w:val="000247C9"/>
    <w:rsid w:val="00025140"/>
    <w:rsid w:val="000251C6"/>
    <w:rsid w:val="000265EB"/>
    <w:rsid w:val="000309FD"/>
    <w:rsid w:val="00032C1B"/>
    <w:rsid w:val="00035DAF"/>
    <w:rsid w:val="00036A28"/>
    <w:rsid w:val="00040C8C"/>
    <w:rsid w:val="00040D45"/>
    <w:rsid w:val="00043287"/>
    <w:rsid w:val="00044763"/>
    <w:rsid w:val="00044C67"/>
    <w:rsid w:val="00047042"/>
    <w:rsid w:val="000472FB"/>
    <w:rsid w:val="00051391"/>
    <w:rsid w:val="0006183A"/>
    <w:rsid w:val="000623B7"/>
    <w:rsid w:val="0006316C"/>
    <w:rsid w:val="000660A2"/>
    <w:rsid w:val="00066E99"/>
    <w:rsid w:val="000730EA"/>
    <w:rsid w:val="000733D1"/>
    <w:rsid w:val="0007668C"/>
    <w:rsid w:val="000771B3"/>
    <w:rsid w:val="00077A67"/>
    <w:rsid w:val="00080247"/>
    <w:rsid w:val="00081AE3"/>
    <w:rsid w:val="000851BF"/>
    <w:rsid w:val="0008540B"/>
    <w:rsid w:val="0009147C"/>
    <w:rsid w:val="0009227C"/>
    <w:rsid w:val="00094076"/>
    <w:rsid w:val="0009489D"/>
    <w:rsid w:val="00095E1E"/>
    <w:rsid w:val="00096C6C"/>
    <w:rsid w:val="000A007E"/>
    <w:rsid w:val="000A35B4"/>
    <w:rsid w:val="000A5EAC"/>
    <w:rsid w:val="000B1734"/>
    <w:rsid w:val="000B528C"/>
    <w:rsid w:val="000B7964"/>
    <w:rsid w:val="000C229E"/>
    <w:rsid w:val="000C5D00"/>
    <w:rsid w:val="000C7E31"/>
    <w:rsid w:val="000D0109"/>
    <w:rsid w:val="000D0715"/>
    <w:rsid w:val="000D251E"/>
    <w:rsid w:val="000D34E2"/>
    <w:rsid w:val="000D40FD"/>
    <w:rsid w:val="000D426C"/>
    <w:rsid w:val="000D53BC"/>
    <w:rsid w:val="000E037C"/>
    <w:rsid w:val="000E043A"/>
    <w:rsid w:val="000E1AF1"/>
    <w:rsid w:val="000E6A55"/>
    <w:rsid w:val="000E6EB5"/>
    <w:rsid w:val="000F0B82"/>
    <w:rsid w:val="000F3591"/>
    <w:rsid w:val="000F4642"/>
    <w:rsid w:val="000F56AC"/>
    <w:rsid w:val="00100AA8"/>
    <w:rsid w:val="0010179E"/>
    <w:rsid w:val="00101849"/>
    <w:rsid w:val="00102A05"/>
    <w:rsid w:val="001045EA"/>
    <w:rsid w:val="00104852"/>
    <w:rsid w:val="0010705E"/>
    <w:rsid w:val="00111B54"/>
    <w:rsid w:val="0011378A"/>
    <w:rsid w:val="00115363"/>
    <w:rsid w:val="00116BF2"/>
    <w:rsid w:val="00117E30"/>
    <w:rsid w:val="0012712B"/>
    <w:rsid w:val="00130379"/>
    <w:rsid w:val="00131845"/>
    <w:rsid w:val="0013485F"/>
    <w:rsid w:val="00140585"/>
    <w:rsid w:val="001429EE"/>
    <w:rsid w:val="001438C4"/>
    <w:rsid w:val="001458A9"/>
    <w:rsid w:val="00153A79"/>
    <w:rsid w:val="00155757"/>
    <w:rsid w:val="00162A47"/>
    <w:rsid w:val="00163BAB"/>
    <w:rsid w:val="001660F3"/>
    <w:rsid w:val="00170062"/>
    <w:rsid w:val="00171037"/>
    <w:rsid w:val="00171252"/>
    <w:rsid w:val="00172A27"/>
    <w:rsid w:val="00173C65"/>
    <w:rsid w:val="00180485"/>
    <w:rsid w:val="001837CF"/>
    <w:rsid w:val="00183EC7"/>
    <w:rsid w:val="00190E42"/>
    <w:rsid w:val="00193188"/>
    <w:rsid w:val="001931C6"/>
    <w:rsid w:val="00194088"/>
    <w:rsid w:val="00195978"/>
    <w:rsid w:val="00195BC3"/>
    <w:rsid w:val="001A7094"/>
    <w:rsid w:val="001A7F57"/>
    <w:rsid w:val="001B384A"/>
    <w:rsid w:val="001B47DF"/>
    <w:rsid w:val="001B73F6"/>
    <w:rsid w:val="001C3151"/>
    <w:rsid w:val="001C365E"/>
    <w:rsid w:val="001C5002"/>
    <w:rsid w:val="001C5E99"/>
    <w:rsid w:val="001C6484"/>
    <w:rsid w:val="001C708C"/>
    <w:rsid w:val="001D1346"/>
    <w:rsid w:val="001D1CC2"/>
    <w:rsid w:val="001D5C27"/>
    <w:rsid w:val="001D63AC"/>
    <w:rsid w:val="001E0517"/>
    <w:rsid w:val="001E062D"/>
    <w:rsid w:val="001E226B"/>
    <w:rsid w:val="001E70D1"/>
    <w:rsid w:val="001F0BEE"/>
    <w:rsid w:val="001F1B02"/>
    <w:rsid w:val="001F7AAF"/>
    <w:rsid w:val="0020034B"/>
    <w:rsid w:val="0020614C"/>
    <w:rsid w:val="00206A84"/>
    <w:rsid w:val="002110E3"/>
    <w:rsid w:val="002125EF"/>
    <w:rsid w:val="00212CBF"/>
    <w:rsid w:val="00223358"/>
    <w:rsid w:val="002236CF"/>
    <w:rsid w:val="002250A0"/>
    <w:rsid w:val="00230767"/>
    <w:rsid w:val="002317C0"/>
    <w:rsid w:val="00234DD3"/>
    <w:rsid w:val="0023505E"/>
    <w:rsid w:val="00235969"/>
    <w:rsid w:val="00243DB2"/>
    <w:rsid w:val="002440A3"/>
    <w:rsid w:val="00244927"/>
    <w:rsid w:val="002478CD"/>
    <w:rsid w:val="00247B7F"/>
    <w:rsid w:val="002520DD"/>
    <w:rsid w:val="00254F82"/>
    <w:rsid w:val="00254F98"/>
    <w:rsid w:val="002564E1"/>
    <w:rsid w:val="00263792"/>
    <w:rsid w:val="002641EF"/>
    <w:rsid w:val="00264580"/>
    <w:rsid w:val="00266A8B"/>
    <w:rsid w:val="00266DF6"/>
    <w:rsid w:val="00266FBF"/>
    <w:rsid w:val="002729A8"/>
    <w:rsid w:val="00275128"/>
    <w:rsid w:val="002751CA"/>
    <w:rsid w:val="002756A5"/>
    <w:rsid w:val="00280D2A"/>
    <w:rsid w:val="00281BBA"/>
    <w:rsid w:val="002852B8"/>
    <w:rsid w:val="00285E14"/>
    <w:rsid w:val="00290D0D"/>
    <w:rsid w:val="00293439"/>
    <w:rsid w:val="00296711"/>
    <w:rsid w:val="00297BD6"/>
    <w:rsid w:val="002A13D8"/>
    <w:rsid w:val="002A1EAB"/>
    <w:rsid w:val="002A2F64"/>
    <w:rsid w:val="002A48A1"/>
    <w:rsid w:val="002A4D2D"/>
    <w:rsid w:val="002A6AFB"/>
    <w:rsid w:val="002B029E"/>
    <w:rsid w:val="002B3048"/>
    <w:rsid w:val="002B31F2"/>
    <w:rsid w:val="002B4395"/>
    <w:rsid w:val="002B5B38"/>
    <w:rsid w:val="002D0DF6"/>
    <w:rsid w:val="002D153B"/>
    <w:rsid w:val="002D1B77"/>
    <w:rsid w:val="002D2729"/>
    <w:rsid w:val="002D5D1A"/>
    <w:rsid w:val="002E22D1"/>
    <w:rsid w:val="002F1188"/>
    <w:rsid w:val="002F1F29"/>
    <w:rsid w:val="002F2369"/>
    <w:rsid w:val="002F699E"/>
    <w:rsid w:val="002F7280"/>
    <w:rsid w:val="0030039B"/>
    <w:rsid w:val="00301634"/>
    <w:rsid w:val="00301A65"/>
    <w:rsid w:val="00303518"/>
    <w:rsid w:val="0030479A"/>
    <w:rsid w:val="0030758B"/>
    <w:rsid w:val="00307A41"/>
    <w:rsid w:val="003118DE"/>
    <w:rsid w:val="00313841"/>
    <w:rsid w:val="003147A4"/>
    <w:rsid w:val="0031765C"/>
    <w:rsid w:val="0031780C"/>
    <w:rsid w:val="00317D38"/>
    <w:rsid w:val="0032051F"/>
    <w:rsid w:val="00323E8F"/>
    <w:rsid w:val="00323ED7"/>
    <w:rsid w:val="00325138"/>
    <w:rsid w:val="003256B6"/>
    <w:rsid w:val="00325ED0"/>
    <w:rsid w:val="00326E1F"/>
    <w:rsid w:val="00330396"/>
    <w:rsid w:val="00331031"/>
    <w:rsid w:val="003344EB"/>
    <w:rsid w:val="00335B43"/>
    <w:rsid w:val="00341FF1"/>
    <w:rsid w:val="0034474A"/>
    <w:rsid w:val="003451C7"/>
    <w:rsid w:val="0034546D"/>
    <w:rsid w:val="00353D42"/>
    <w:rsid w:val="00354B11"/>
    <w:rsid w:val="0035506B"/>
    <w:rsid w:val="003575AB"/>
    <w:rsid w:val="0036031B"/>
    <w:rsid w:val="003612F7"/>
    <w:rsid w:val="003627E5"/>
    <w:rsid w:val="00362BA8"/>
    <w:rsid w:val="00363C1F"/>
    <w:rsid w:val="003667B3"/>
    <w:rsid w:val="00374AC2"/>
    <w:rsid w:val="00374C7F"/>
    <w:rsid w:val="00375C80"/>
    <w:rsid w:val="003760CA"/>
    <w:rsid w:val="0038047B"/>
    <w:rsid w:val="0038077A"/>
    <w:rsid w:val="00381208"/>
    <w:rsid w:val="00382B07"/>
    <w:rsid w:val="00384D38"/>
    <w:rsid w:val="00385F7A"/>
    <w:rsid w:val="00390D0C"/>
    <w:rsid w:val="00390E70"/>
    <w:rsid w:val="003A17A0"/>
    <w:rsid w:val="003A1D88"/>
    <w:rsid w:val="003A428C"/>
    <w:rsid w:val="003A4F54"/>
    <w:rsid w:val="003B0611"/>
    <w:rsid w:val="003B1D1B"/>
    <w:rsid w:val="003B50C0"/>
    <w:rsid w:val="003C1EC3"/>
    <w:rsid w:val="003C239C"/>
    <w:rsid w:val="003C612F"/>
    <w:rsid w:val="003C6185"/>
    <w:rsid w:val="003C71CB"/>
    <w:rsid w:val="003D321E"/>
    <w:rsid w:val="003D3782"/>
    <w:rsid w:val="003D7FE6"/>
    <w:rsid w:val="003E21D8"/>
    <w:rsid w:val="003E60AD"/>
    <w:rsid w:val="003F37C9"/>
    <w:rsid w:val="003F4A9F"/>
    <w:rsid w:val="003F5165"/>
    <w:rsid w:val="00400D86"/>
    <w:rsid w:val="0040122A"/>
    <w:rsid w:val="004023AB"/>
    <w:rsid w:val="00410A59"/>
    <w:rsid w:val="00411B07"/>
    <w:rsid w:val="00422267"/>
    <w:rsid w:val="004226B3"/>
    <w:rsid w:val="004256AE"/>
    <w:rsid w:val="00431CAA"/>
    <w:rsid w:val="0043253F"/>
    <w:rsid w:val="00452F54"/>
    <w:rsid w:val="004553DC"/>
    <w:rsid w:val="00456435"/>
    <w:rsid w:val="0046017C"/>
    <w:rsid w:val="00461C22"/>
    <w:rsid w:val="004632EE"/>
    <w:rsid w:val="00463892"/>
    <w:rsid w:val="00466473"/>
    <w:rsid w:val="0046708F"/>
    <w:rsid w:val="0046755F"/>
    <w:rsid w:val="00472B76"/>
    <w:rsid w:val="0047761A"/>
    <w:rsid w:val="00481E6C"/>
    <w:rsid w:val="004845EE"/>
    <w:rsid w:val="00484CA1"/>
    <w:rsid w:val="0048615F"/>
    <w:rsid w:val="00487D3B"/>
    <w:rsid w:val="00492964"/>
    <w:rsid w:val="0049298A"/>
    <w:rsid w:val="0049333A"/>
    <w:rsid w:val="00496A2F"/>
    <w:rsid w:val="004A1955"/>
    <w:rsid w:val="004A3650"/>
    <w:rsid w:val="004A461B"/>
    <w:rsid w:val="004A64C4"/>
    <w:rsid w:val="004C4E4D"/>
    <w:rsid w:val="004C5702"/>
    <w:rsid w:val="004C5DAB"/>
    <w:rsid w:val="004C7034"/>
    <w:rsid w:val="004C7933"/>
    <w:rsid w:val="004D3F88"/>
    <w:rsid w:val="004E2556"/>
    <w:rsid w:val="004E30F3"/>
    <w:rsid w:val="004F2B26"/>
    <w:rsid w:val="004F2CD0"/>
    <w:rsid w:val="004F3EEB"/>
    <w:rsid w:val="004F7940"/>
    <w:rsid w:val="00500527"/>
    <w:rsid w:val="00501C60"/>
    <w:rsid w:val="00510908"/>
    <w:rsid w:val="00512112"/>
    <w:rsid w:val="00517926"/>
    <w:rsid w:val="00522470"/>
    <w:rsid w:val="00522741"/>
    <w:rsid w:val="00523295"/>
    <w:rsid w:val="00545208"/>
    <w:rsid w:val="00546AF9"/>
    <w:rsid w:val="00550A63"/>
    <w:rsid w:val="005515AA"/>
    <w:rsid w:val="0055239D"/>
    <w:rsid w:val="005547F5"/>
    <w:rsid w:val="005554CE"/>
    <w:rsid w:val="0055580C"/>
    <w:rsid w:val="00556EE1"/>
    <w:rsid w:val="00561300"/>
    <w:rsid w:val="0056668D"/>
    <w:rsid w:val="00572AF7"/>
    <w:rsid w:val="00581B92"/>
    <w:rsid w:val="0058490A"/>
    <w:rsid w:val="00585AC8"/>
    <w:rsid w:val="00587C1E"/>
    <w:rsid w:val="00592738"/>
    <w:rsid w:val="00595DE5"/>
    <w:rsid w:val="005970BC"/>
    <w:rsid w:val="005B097B"/>
    <w:rsid w:val="005B105F"/>
    <w:rsid w:val="005B2299"/>
    <w:rsid w:val="005B3B11"/>
    <w:rsid w:val="005C26F9"/>
    <w:rsid w:val="005C354F"/>
    <w:rsid w:val="005C4A43"/>
    <w:rsid w:val="005C7505"/>
    <w:rsid w:val="005D13BB"/>
    <w:rsid w:val="005D3407"/>
    <w:rsid w:val="005D4D1D"/>
    <w:rsid w:val="005D5211"/>
    <w:rsid w:val="005D60E6"/>
    <w:rsid w:val="005D7CA5"/>
    <w:rsid w:val="005E26C7"/>
    <w:rsid w:val="005E2855"/>
    <w:rsid w:val="005E6A8D"/>
    <w:rsid w:val="005F013D"/>
    <w:rsid w:val="005F10E2"/>
    <w:rsid w:val="005F1B10"/>
    <w:rsid w:val="005F33E9"/>
    <w:rsid w:val="005F341F"/>
    <w:rsid w:val="005F52D3"/>
    <w:rsid w:val="00600A12"/>
    <w:rsid w:val="006014C0"/>
    <w:rsid w:val="00601680"/>
    <w:rsid w:val="00601812"/>
    <w:rsid w:val="0062674C"/>
    <w:rsid w:val="00626C1D"/>
    <w:rsid w:val="00630025"/>
    <w:rsid w:val="00630542"/>
    <w:rsid w:val="0063510B"/>
    <w:rsid w:val="00635769"/>
    <w:rsid w:val="006370A5"/>
    <w:rsid w:val="00651948"/>
    <w:rsid w:val="00653328"/>
    <w:rsid w:val="00655EA3"/>
    <w:rsid w:val="0065698F"/>
    <w:rsid w:val="006573C7"/>
    <w:rsid w:val="00661568"/>
    <w:rsid w:val="006637E9"/>
    <w:rsid w:val="00667DB0"/>
    <w:rsid w:val="006702EE"/>
    <w:rsid w:val="006764C3"/>
    <w:rsid w:val="006767F3"/>
    <w:rsid w:val="00680916"/>
    <w:rsid w:val="00680E47"/>
    <w:rsid w:val="006813D0"/>
    <w:rsid w:val="0068242D"/>
    <w:rsid w:val="00683DE8"/>
    <w:rsid w:val="00684467"/>
    <w:rsid w:val="006844E4"/>
    <w:rsid w:val="006906BD"/>
    <w:rsid w:val="00694102"/>
    <w:rsid w:val="006A392A"/>
    <w:rsid w:val="006A614D"/>
    <w:rsid w:val="006B0C09"/>
    <w:rsid w:val="006D0847"/>
    <w:rsid w:val="006D2A8A"/>
    <w:rsid w:val="006D2AD8"/>
    <w:rsid w:val="006D3EEE"/>
    <w:rsid w:val="006D5663"/>
    <w:rsid w:val="006D6D08"/>
    <w:rsid w:val="006D72ED"/>
    <w:rsid w:val="006D7826"/>
    <w:rsid w:val="006E29FE"/>
    <w:rsid w:val="006F3677"/>
    <w:rsid w:val="006F4041"/>
    <w:rsid w:val="006F75E8"/>
    <w:rsid w:val="00701A00"/>
    <w:rsid w:val="0070701D"/>
    <w:rsid w:val="00712802"/>
    <w:rsid w:val="00712E1C"/>
    <w:rsid w:val="007157B6"/>
    <w:rsid w:val="00721EDD"/>
    <w:rsid w:val="007229E2"/>
    <w:rsid w:val="00727046"/>
    <w:rsid w:val="00732A11"/>
    <w:rsid w:val="007339DE"/>
    <w:rsid w:val="00736D3B"/>
    <w:rsid w:val="00741BB3"/>
    <w:rsid w:val="007421FF"/>
    <w:rsid w:val="0074227E"/>
    <w:rsid w:val="00742A22"/>
    <w:rsid w:val="00744CF8"/>
    <w:rsid w:val="0074544A"/>
    <w:rsid w:val="00750257"/>
    <w:rsid w:val="00756B35"/>
    <w:rsid w:val="00763490"/>
    <w:rsid w:val="0076739F"/>
    <w:rsid w:val="00767E0E"/>
    <w:rsid w:val="007706CB"/>
    <w:rsid w:val="007742C9"/>
    <w:rsid w:val="00775DC0"/>
    <w:rsid w:val="00777912"/>
    <w:rsid w:val="00784E32"/>
    <w:rsid w:val="007910EE"/>
    <w:rsid w:val="00797A74"/>
    <w:rsid w:val="007A30E5"/>
    <w:rsid w:val="007A3DBB"/>
    <w:rsid w:val="007A5AC9"/>
    <w:rsid w:val="007A6122"/>
    <w:rsid w:val="007C2223"/>
    <w:rsid w:val="007C76FF"/>
    <w:rsid w:val="007C7F0E"/>
    <w:rsid w:val="007D05B6"/>
    <w:rsid w:val="007D119F"/>
    <w:rsid w:val="007D1856"/>
    <w:rsid w:val="007D4515"/>
    <w:rsid w:val="007D48F7"/>
    <w:rsid w:val="007D4D61"/>
    <w:rsid w:val="007D6140"/>
    <w:rsid w:val="007D69DC"/>
    <w:rsid w:val="007D70A1"/>
    <w:rsid w:val="007D7BED"/>
    <w:rsid w:val="007E495C"/>
    <w:rsid w:val="007E5FBA"/>
    <w:rsid w:val="007E653F"/>
    <w:rsid w:val="007F016C"/>
    <w:rsid w:val="007F304B"/>
    <w:rsid w:val="007F4FFC"/>
    <w:rsid w:val="007F7417"/>
    <w:rsid w:val="007F79A8"/>
    <w:rsid w:val="0080254D"/>
    <w:rsid w:val="00802AFB"/>
    <w:rsid w:val="00804EF9"/>
    <w:rsid w:val="00811553"/>
    <w:rsid w:val="008146D0"/>
    <w:rsid w:val="008221AC"/>
    <w:rsid w:val="008236C3"/>
    <w:rsid w:val="00830833"/>
    <w:rsid w:val="00834BDC"/>
    <w:rsid w:val="00836205"/>
    <w:rsid w:val="008418A9"/>
    <w:rsid w:val="008443AF"/>
    <w:rsid w:val="0085098F"/>
    <w:rsid w:val="00856383"/>
    <w:rsid w:val="0085764A"/>
    <w:rsid w:val="00864D09"/>
    <w:rsid w:val="00866C00"/>
    <w:rsid w:val="008717D9"/>
    <w:rsid w:val="00872A21"/>
    <w:rsid w:val="00872A39"/>
    <w:rsid w:val="00884DC1"/>
    <w:rsid w:val="00890F6E"/>
    <w:rsid w:val="0089244A"/>
    <w:rsid w:val="00893861"/>
    <w:rsid w:val="00893A6B"/>
    <w:rsid w:val="00895E0E"/>
    <w:rsid w:val="0089732C"/>
    <w:rsid w:val="008A0160"/>
    <w:rsid w:val="008A02E5"/>
    <w:rsid w:val="008A131F"/>
    <w:rsid w:val="008A1AE8"/>
    <w:rsid w:val="008A55FD"/>
    <w:rsid w:val="008A6E28"/>
    <w:rsid w:val="008A7C4F"/>
    <w:rsid w:val="008B5A66"/>
    <w:rsid w:val="008B6642"/>
    <w:rsid w:val="008B73FC"/>
    <w:rsid w:val="008B7E59"/>
    <w:rsid w:val="008C0B19"/>
    <w:rsid w:val="008C1D38"/>
    <w:rsid w:val="008C4B29"/>
    <w:rsid w:val="008C5FC0"/>
    <w:rsid w:val="008C6C27"/>
    <w:rsid w:val="008D63E7"/>
    <w:rsid w:val="008D6C0A"/>
    <w:rsid w:val="008D720A"/>
    <w:rsid w:val="008D7BA4"/>
    <w:rsid w:val="008E4EB0"/>
    <w:rsid w:val="008E6E29"/>
    <w:rsid w:val="008F0503"/>
    <w:rsid w:val="008F4581"/>
    <w:rsid w:val="008F74C5"/>
    <w:rsid w:val="008F7502"/>
    <w:rsid w:val="009020EB"/>
    <w:rsid w:val="00903061"/>
    <w:rsid w:val="00906F99"/>
    <w:rsid w:val="00907E75"/>
    <w:rsid w:val="00912F18"/>
    <w:rsid w:val="00914283"/>
    <w:rsid w:val="00914760"/>
    <w:rsid w:val="0092273D"/>
    <w:rsid w:val="0093223C"/>
    <w:rsid w:val="00934E82"/>
    <w:rsid w:val="00936AE8"/>
    <w:rsid w:val="00941105"/>
    <w:rsid w:val="009443AC"/>
    <w:rsid w:val="0094528C"/>
    <w:rsid w:val="00950EBD"/>
    <w:rsid w:val="00951327"/>
    <w:rsid w:val="00951B86"/>
    <w:rsid w:val="00951FEE"/>
    <w:rsid w:val="009524F4"/>
    <w:rsid w:val="00955D23"/>
    <w:rsid w:val="0096238D"/>
    <w:rsid w:val="0096484B"/>
    <w:rsid w:val="00966E4D"/>
    <w:rsid w:val="00975D4F"/>
    <w:rsid w:val="009779E4"/>
    <w:rsid w:val="009801E5"/>
    <w:rsid w:val="00984D8E"/>
    <w:rsid w:val="00987DB5"/>
    <w:rsid w:val="00990151"/>
    <w:rsid w:val="00994191"/>
    <w:rsid w:val="0099592D"/>
    <w:rsid w:val="009A044F"/>
    <w:rsid w:val="009A7C96"/>
    <w:rsid w:val="009A7CA7"/>
    <w:rsid w:val="009B632E"/>
    <w:rsid w:val="009B70C8"/>
    <w:rsid w:val="009C0EDD"/>
    <w:rsid w:val="009C5B79"/>
    <w:rsid w:val="009C61F6"/>
    <w:rsid w:val="009D30D3"/>
    <w:rsid w:val="009D3A24"/>
    <w:rsid w:val="009D3C05"/>
    <w:rsid w:val="009D48A1"/>
    <w:rsid w:val="009D7D58"/>
    <w:rsid w:val="009D7D8C"/>
    <w:rsid w:val="009E08A7"/>
    <w:rsid w:val="009E1EE4"/>
    <w:rsid w:val="009E2DCB"/>
    <w:rsid w:val="009E343B"/>
    <w:rsid w:val="009E4187"/>
    <w:rsid w:val="009E577A"/>
    <w:rsid w:val="009F6035"/>
    <w:rsid w:val="009F7C0F"/>
    <w:rsid w:val="00A024E9"/>
    <w:rsid w:val="00A07382"/>
    <w:rsid w:val="00A07BE7"/>
    <w:rsid w:val="00A10161"/>
    <w:rsid w:val="00A106DD"/>
    <w:rsid w:val="00A11FAE"/>
    <w:rsid w:val="00A1395D"/>
    <w:rsid w:val="00A178B7"/>
    <w:rsid w:val="00A2719B"/>
    <w:rsid w:val="00A27484"/>
    <w:rsid w:val="00A30C2A"/>
    <w:rsid w:val="00A327D3"/>
    <w:rsid w:val="00A32859"/>
    <w:rsid w:val="00A328E4"/>
    <w:rsid w:val="00A33C90"/>
    <w:rsid w:val="00A344EE"/>
    <w:rsid w:val="00A357CC"/>
    <w:rsid w:val="00A36A04"/>
    <w:rsid w:val="00A42D77"/>
    <w:rsid w:val="00A446E9"/>
    <w:rsid w:val="00A462E6"/>
    <w:rsid w:val="00A47B4A"/>
    <w:rsid w:val="00A519AA"/>
    <w:rsid w:val="00A53EE9"/>
    <w:rsid w:val="00A5705D"/>
    <w:rsid w:val="00A602A6"/>
    <w:rsid w:val="00A6132D"/>
    <w:rsid w:val="00A72600"/>
    <w:rsid w:val="00A727D5"/>
    <w:rsid w:val="00A74DDB"/>
    <w:rsid w:val="00A80FBA"/>
    <w:rsid w:val="00A8314B"/>
    <w:rsid w:val="00A85B35"/>
    <w:rsid w:val="00A86916"/>
    <w:rsid w:val="00A90110"/>
    <w:rsid w:val="00A95F48"/>
    <w:rsid w:val="00A96BEA"/>
    <w:rsid w:val="00AA227D"/>
    <w:rsid w:val="00AA48FA"/>
    <w:rsid w:val="00AA5196"/>
    <w:rsid w:val="00AA54D1"/>
    <w:rsid w:val="00AB1F97"/>
    <w:rsid w:val="00AB351A"/>
    <w:rsid w:val="00AB4F03"/>
    <w:rsid w:val="00AB7548"/>
    <w:rsid w:val="00AC2F3E"/>
    <w:rsid w:val="00AC7840"/>
    <w:rsid w:val="00AC7FB9"/>
    <w:rsid w:val="00AD0858"/>
    <w:rsid w:val="00AD1D0E"/>
    <w:rsid w:val="00AD1ED1"/>
    <w:rsid w:val="00AD21D6"/>
    <w:rsid w:val="00AD280B"/>
    <w:rsid w:val="00AD4693"/>
    <w:rsid w:val="00AD529E"/>
    <w:rsid w:val="00AE3638"/>
    <w:rsid w:val="00AE476A"/>
    <w:rsid w:val="00AE6A2D"/>
    <w:rsid w:val="00AE75F5"/>
    <w:rsid w:val="00AF00D2"/>
    <w:rsid w:val="00AF0755"/>
    <w:rsid w:val="00AF0CD9"/>
    <w:rsid w:val="00AF224F"/>
    <w:rsid w:val="00B05693"/>
    <w:rsid w:val="00B105CD"/>
    <w:rsid w:val="00B130D5"/>
    <w:rsid w:val="00B1345C"/>
    <w:rsid w:val="00B16F1A"/>
    <w:rsid w:val="00B177EA"/>
    <w:rsid w:val="00B2292B"/>
    <w:rsid w:val="00B243C5"/>
    <w:rsid w:val="00B25790"/>
    <w:rsid w:val="00B26233"/>
    <w:rsid w:val="00B302FB"/>
    <w:rsid w:val="00B30E6B"/>
    <w:rsid w:val="00B31E0D"/>
    <w:rsid w:val="00B332A7"/>
    <w:rsid w:val="00B34369"/>
    <w:rsid w:val="00B344E9"/>
    <w:rsid w:val="00B37CAE"/>
    <w:rsid w:val="00B41DD8"/>
    <w:rsid w:val="00B41F49"/>
    <w:rsid w:val="00B43912"/>
    <w:rsid w:val="00B51490"/>
    <w:rsid w:val="00B54808"/>
    <w:rsid w:val="00B563DE"/>
    <w:rsid w:val="00B57AC5"/>
    <w:rsid w:val="00B60CEF"/>
    <w:rsid w:val="00B61984"/>
    <w:rsid w:val="00B61CD3"/>
    <w:rsid w:val="00B722A0"/>
    <w:rsid w:val="00B73AD6"/>
    <w:rsid w:val="00B8044D"/>
    <w:rsid w:val="00B8386F"/>
    <w:rsid w:val="00B84730"/>
    <w:rsid w:val="00B86557"/>
    <w:rsid w:val="00B90AEE"/>
    <w:rsid w:val="00B90C86"/>
    <w:rsid w:val="00B9375B"/>
    <w:rsid w:val="00B9661D"/>
    <w:rsid w:val="00B97D85"/>
    <w:rsid w:val="00BA1708"/>
    <w:rsid w:val="00BA1C03"/>
    <w:rsid w:val="00BA29F9"/>
    <w:rsid w:val="00BA4141"/>
    <w:rsid w:val="00BB48FD"/>
    <w:rsid w:val="00BE0115"/>
    <w:rsid w:val="00BE3AC7"/>
    <w:rsid w:val="00BE468A"/>
    <w:rsid w:val="00BE579E"/>
    <w:rsid w:val="00BE71B5"/>
    <w:rsid w:val="00BF065C"/>
    <w:rsid w:val="00BF074D"/>
    <w:rsid w:val="00BF2D1C"/>
    <w:rsid w:val="00BF494E"/>
    <w:rsid w:val="00C03BF1"/>
    <w:rsid w:val="00C046AF"/>
    <w:rsid w:val="00C062FC"/>
    <w:rsid w:val="00C07B7D"/>
    <w:rsid w:val="00C07E09"/>
    <w:rsid w:val="00C126B0"/>
    <w:rsid w:val="00C14D90"/>
    <w:rsid w:val="00C14FB2"/>
    <w:rsid w:val="00C20880"/>
    <w:rsid w:val="00C210A1"/>
    <w:rsid w:val="00C217A3"/>
    <w:rsid w:val="00C2453E"/>
    <w:rsid w:val="00C3085C"/>
    <w:rsid w:val="00C3133C"/>
    <w:rsid w:val="00C31BCD"/>
    <w:rsid w:val="00C346C0"/>
    <w:rsid w:val="00C4179B"/>
    <w:rsid w:val="00C41BC3"/>
    <w:rsid w:val="00C44283"/>
    <w:rsid w:val="00C52692"/>
    <w:rsid w:val="00C5325A"/>
    <w:rsid w:val="00C53A95"/>
    <w:rsid w:val="00C55857"/>
    <w:rsid w:val="00C60AF7"/>
    <w:rsid w:val="00C60DFA"/>
    <w:rsid w:val="00C61F23"/>
    <w:rsid w:val="00C623DB"/>
    <w:rsid w:val="00C6251F"/>
    <w:rsid w:val="00C643F9"/>
    <w:rsid w:val="00C64FE1"/>
    <w:rsid w:val="00C700CB"/>
    <w:rsid w:val="00C81D12"/>
    <w:rsid w:val="00C8697B"/>
    <w:rsid w:val="00C86AEE"/>
    <w:rsid w:val="00C90890"/>
    <w:rsid w:val="00C9268A"/>
    <w:rsid w:val="00C94BCF"/>
    <w:rsid w:val="00C95319"/>
    <w:rsid w:val="00C95551"/>
    <w:rsid w:val="00C95A72"/>
    <w:rsid w:val="00CA2CC1"/>
    <w:rsid w:val="00CA4485"/>
    <w:rsid w:val="00CA5BB2"/>
    <w:rsid w:val="00CB4815"/>
    <w:rsid w:val="00CB56AC"/>
    <w:rsid w:val="00CC22F3"/>
    <w:rsid w:val="00CC4920"/>
    <w:rsid w:val="00CC4BF3"/>
    <w:rsid w:val="00CC7401"/>
    <w:rsid w:val="00CD0AB7"/>
    <w:rsid w:val="00CD125C"/>
    <w:rsid w:val="00CD30CE"/>
    <w:rsid w:val="00CD4ABB"/>
    <w:rsid w:val="00CD5685"/>
    <w:rsid w:val="00CD56AE"/>
    <w:rsid w:val="00CE1660"/>
    <w:rsid w:val="00CE239C"/>
    <w:rsid w:val="00CE46B0"/>
    <w:rsid w:val="00CE4EC9"/>
    <w:rsid w:val="00CF25DB"/>
    <w:rsid w:val="00CF3468"/>
    <w:rsid w:val="00CF55BB"/>
    <w:rsid w:val="00D024A1"/>
    <w:rsid w:val="00D02957"/>
    <w:rsid w:val="00D04144"/>
    <w:rsid w:val="00D105C1"/>
    <w:rsid w:val="00D23853"/>
    <w:rsid w:val="00D324E3"/>
    <w:rsid w:val="00D325F6"/>
    <w:rsid w:val="00D35D2C"/>
    <w:rsid w:val="00D411E0"/>
    <w:rsid w:val="00D45E18"/>
    <w:rsid w:val="00D52ADA"/>
    <w:rsid w:val="00D55D1A"/>
    <w:rsid w:val="00D60A97"/>
    <w:rsid w:val="00D62D2B"/>
    <w:rsid w:val="00D679A1"/>
    <w:rsid w:val="00D70698"/>
    <w:rsid w:val="00D70D54"/>
    <w:rsid w:val="00D74064"/>
    <w:rsid w:val="00D76DFB"/>
    <w:rsid w:val="00D77AD7"/>
    <w:rsid w:val="00D82C3A"/>
    <w:rsid w:val="00D835DD"/>
    <w:rsid w:val="00D8382B"/>
    <w:rsid w:val="00D85128"/>
    <w:rsid w:val="00D878D3"/>
    <w:rsid w:val="00D9023B"/>
    <w:rsid w:val="00D90303"/>
    <w:rsid w:val="00D90740"/>
    <w:rsid w:val="00D90894"/>
    <w:rsid w:val="00D95EA3"/>
    <w:rsid w:val="00D97050"/>
    <w:rsid w:val="00DA41AC"/>
    <w:rsid w:val="00DB2E27"/>
    <w:rsid w:val="00DB45B2"/>
    <w:rsid w:val="00DB6064"/>
    <w:rsid w:val="00DC67C0"/>
    <w:rsid w:val="00DC765F"/>
    <w:rsid w:val="00DD167E"/>
    <w:rsid w:val="00DE1A11"/>
    <w:rsid w:val="00DE2AE0"/>
    <w:rsid w:val="00DF34A3"/>
    <w:rsid w:val="00E03E16"/>
    <w:rsid w:val="00E17405"/>
    <w:rsid w:val="00E20CCA"/>
    <w:rsid w:val="00E23558"/>
    <w:rsid w:val="00E251CA"/>
    <w:rsid w:val="00E34F6C"/>
    <w:rsid w:val="00E37F51"/>
    <w:rsid w:val="00E42474"/>
    <w:rsid w:val="00E42D2D"/>
    <w:rsid w:val="00E43F55"/>
    <w:rsid w:val="00E53548"/>
    <w:rsid w:val="00E54E89"/>
    <w:rsid w:val="00E56106"/>
    <w:rsid w:val="00E6168F"/>
    <w:rsid w:val="00E62262"/>
    <w:rsid w:val="00E62468"/>
    <w:rsid w:val="00E6266F"/>
    <w:rsid w:val="00E668FC"/>
    <w:rsid w:val="00E66ADB"/>
    <w:rsid w:val="00E723A5"/>
    <w:rsid w:val="00E7250B"/>
    <w:rsid w:val="00E72CC8"/>
    <w:rsid w:val="00E75FC9"/>
    <w:rsid w:val="00E77536"/>
    <w:rsid w:val="00E80A9C"/>
    <w:rsid w:val="00E84F15"/>
    <w:rsid w:val="00E857AE"/>
    <w:rsid w:val="00E92A32"/>
    <w:rsid w:val="00E92E0B"/>
    <w:rsid w:val="00EA2AEF"/>
    <w:rsid w:val="00EA4355"/>
    <w:rsid w:val="00EA491E"/>
    <w:rsid w:val="00EB042C"/>
    <w:rsid w:val="00EB4DAA"/>
    <w:rsid w:val="00EB5529"/>
    <w:rsid w:val="00EB5CFB"/>
    <w:rsid w:val="00EC2306"/>
    <w:rsid w:val="00EC43B2"/>
    <w:rsid w:val="00ED0674"/>
    <w:rsid w:val="00ED1912"/>
    <w:rsid w:val="00ED1C5F"/>
    <w:rsid w:val="00ED1E2A"/>
    <w:rsid w:val="00ED3D1F"/>
    <w:rsid w:val="00ED3E2B"/>
    <w:rsid w:val="00ED45E8"/>
    <w:rsid w:val="00ED5265"/>
    <w:rsid w:val="00ED6EF9"/>
    <w:rsid w:val="00EE0016"/>
    <w:rsid w:val="00EE208C"/>
    <w:rsid w:val="00EE2AAE"/>
    <w:rsid w:val="00EE3CD3"/>
    <w:rsid w:val="00EE45AD"/>
    <w:rsid w:val="00EE48AF"/>
    <w:rsid w:val="00EE4A65"/>
    <w:rsid w:val="00EF41F7"/>
    <w:rsid w:val="00F0716A"/>
    <w:rsid w:val="00F071BE"/>
    <w:rsid w:val="00F07B82"/>
    <w:rsid w:val="00F20D99"/>
    <w:rsid w:val="00F215FA"/>
    <w:rsid w:val="00F23CF8"/>
    <w:rsid w:val="00F24157"/>
    <w:rsid w:val="00F2554D"/>
    <w:rsid w:val="00F31466"/>
    <w:rsid w:val="00F32A16"/>
    <w:rsid w:val="00F33F6F"/>
    <w:rsid w:val="00F40065"/>
    <w:rsid w:val="00F50376"/>
    <w:rsid w:val="00F50DFE"/>
    <w:rsid w:val="00F554C8"/>
    <w:rsid w:val="00F60507"/>
    <w:rsid w:val="00F63BAC"/>
    <w:rsid w:val="00F65153"/>
    <w:rsid w:val="00F674B2"/>
    <w:rsid w:val="00F75AED"/>
    <w:rsid w:val="00F806E3"/>
    <w:rsid w:val="00F8218E"/>
    <w:rsid w:val="00F829E5"/>
    <w:rsid w:val="00F905EA"/>
    <w:rsid w:val="00F90CDE"/>
    <w:rsid w:val="00F93951"/>
    <w:rsid w:val="00F962E7"/>
    <w:rsid w:val="00F96D07"/>
    <w:rsid w:val="00FA05EE"/>
    <w:rsid w:val="00FA57CE"/>
    <w:rsid w:val="00FA5FC4"/>
    <w:rsid w:val="00FB07AE"/>
    <w:rsid w:val="00FB3CD4"/>
    <w:rsid w:val="00FB6C92"/>
    <w:rsid w:val="00FB7971"/>
    <w:rsid w:val="00FC0961"/>
    <w:rsid w:val="00FC385B"/>
    <w:rsid w:val="00FC40DC"/>
    <w:rsid w:val="00FC79D2"/>
    <w:rsid w:val="00FD2097"/>
    <w:rsid w:val="00FD5218"/>
    <w:rsid w:val="00FE0088"/>
    <w:rsid w:val="00FE145A"/>
    <w:rsid w:val="00FE2FEC"/>
    <w:rsid w:val="00FF00A7"/>
    <w:rsid w:val="00FF5BF3"/>
    <w:rsid w:val="00FF5C7F"/>
    <w:rsid w:val="00FF766C"/>
    <w:rsid w:val="013759AE"/>
    <w:rsid w:val="01944054"/>
    <w:rsid w:val="01AC2A27"/>
    <w:rsid w:val="01AE64F5"/>
    <w:rsid w:val="01B34E22"/>
    <w:rsid w:val="01CF7782"/>
    <w:rsid w:val="02005B8D"/>
    <w:rsid w:val="02160F0D"/>
    <w:rsid w:val="021C72CE"/>
    <w:rsid w:val="021D673F"/>
    <w:rsid w:val="025A2046"/>
    <w:rsid w:val="02721781"/>
    <w:rsid w:val="027348B5"/>
    <w:rsid w:val="0273635F"/>
    <w:rsid w:val="028D00AA"/>
    <w:rsid w:val="02B45F74"/>
    <w:rsid w:val="02BE65AC"/>
    <w:rsid w:val="02C637E1"/>
    <w:rsid w:val="02DE7965"/>
    <w:rsid w:val="02FC539B"/>
    <w:rsid w:val="03084C36"/>
    <w:rsid w:val="03343D40"/>
    <w:rsid w:val="0341385C"/>
    <w:rsid w:val="034A0A30"/>
    <w:rsid w:val="03523C42"/>
    <w:rsid w:val="0356004D"/>
    <w:rsid w:val="03656F0C"/>
    <w:rsid w:val="037879DA"/>
    <w:rsid w:val="03B2024F"/>
    <w:rsid w:val="03B3702A"/>
    <w:rsid w:val="03FD2FB8"/>
    <w:rsid w:val="040916E0"/>
    <w:rsid w:val="040A6C75"/>
    <w:rsid w:val="041F2C36"/>
    <w:rsid w:val="04284F5F"/>
    <w:rsid w:val="043B2EAD"/>
    <w:rsid w:val="04505222"/>
    <w:rsid w:val="046F4344"/>
    <w:rsid w:val="047E1A78"/>
    <w:rsid w:val="04910D1F"/>
    <w:rsid w:val="04956A61"/>
    <w:rsid w:val="04C85BF5"/>
    <w:rsid w:val="04F25C61"/>
    <w:rsid w:val="0520214C"/>
    <w:rsid w:val="05285162"/>
    <w:rsid w:val="054B5EC6"/>
    <w:rsid w:val="05541300"/>
    <w:rsid w:val="055B0860"/>
    <w:rsid w:val="055C2603"/>
    <w:rsid w:val="05887ED4"/>
    <w:rsid w:val="05C3315A"/>
    <w:rsid w:val="05CD222A"/>
    <w:rsid w:val="05D13F09"/>
    <w:rsid w:val="05EA490E"/>
    <w:rsid w:val="06000F4D"/>
    <w:rsid w:val="062F78B9"/>
    <w:rsid w:val="0639691E"/>
    <w:rsid w:val="067D6210"/>
    <w:rsid w:val="068A7F9C"/>
    <w:rsid w:val="06922FFA"/>
    <w:rsid w:val="07012B3E"/>
    <w:rsid w:val="072365A6"/>
    <w:rsid w:val="078E7641"/>
    <w:rsid w:val="07C53BD8"/>
    <w:rsid w:val="07F718A5"/>
    <w:rsid w:val="081859DF"/>
    <w:rsid w:val="082C7314"/>
    <w:rsid w:val="082F1661"/>
    <w:rsid w:val="08500461"/>
    <w:rsid w:val="085A307C"/>
    <w:rsid w:val="088237AA"/>
    <w:rsid w:val="08900E24"/>
    <w:rsid w:val="08A63100"/>
    <w:rsid w:val="08A90824"/>
    <w:rsid w:val="08C51F88"/>
    <w:rsid w:val="08C64E40"/>
    <w:rsid w:val="08F35AAD"/>
    <w:rsid w:val="090904DE"/>
    <w:rsid w:val="09245453"/>
    <w:rsid w:val="092E4D8E"/>
    <w:rsid w:val="09581E0B"/>
    <w:rsid w:val="09657CB8"/>
    <w:rsid w:val="09746C3E"/>
    <w:rsid w:val="099217C1"/>
    <w:rsid w:val="099F2993"/>
    <w:rsid w:val="09C44AB1"/>
    <w:rsid w:val="09CB45B8"/>
    <w:rsid w:val="09CF4D4B"/>
    <w:rsid w:val="09DB702E"/>
    <w:rsid w:val="09DE0562"/>
    <w:rsid w:val="09F314C1"/>
    <w:rsid w:val="09FC3642"/>
    <w:rsid w:val="0A0475D0"/>
    <w:rsid w:val="0A0D7099"/>
    <w:rsid w:val="0A115F02"/>
    <w:rsid w:val="0A151942"/>
    <w:rsid w:val="0A2E3FC5"/>
    <w:rsid w:val="0A3D2864"/>
    <w:rsid w:val="0A531227"/>
    <w:rsid w:val="0A6A0048"/>
    <w:rsid w:val="0A6D128C"/>
    <w:rsid w:val="0A870BFA"/>
    <w:rsid w:val="0A961435"/>
    <w:rsid w:val="0AB614DF"/>
    <w:rsid w:val="0AB67731"/>
    <w:rsid w:val="0AC23D37"/>
    <w:rsid w:val="0B085DF4"/>
    <w:rsid w:val="0B260313"/>
    <w:rsid w:val="0B34384A"/>
    <w:rsid w:val="0B350617"/>
    <w:rsid w:val="0B3D3CC8"/>
    <w:rsid w:val="0B472834"/>
    <w:rsid w:val="0B75026C"/>
    <w:rsid w:val="0B840330"/>
    <w:rsid w:val="0B87083F"/>
    <w:rsid w:val="0BCD6FB0"/>
    <w:rsid w:val="0BD55EB7"/>
    <w:rsid w:val="0BEC2882"/>
    <w:rsid w:val="0BFD487B"/>
    <w:rsid w:val="0C2E279F"/>
    <w:rsid w:val="0C2E4A21"/>
    <w:rsid w:val="0C310D8F"/>
    <w:rsid w:val="0C44536A"/>
    <w:rsid w:val="0C81648E"/>
    <w:rsid w:val="0C94360C"/>
    <w:rsid w:val="0CC07C94"/>
    <w:rsid w:val="0CD8573D"/>
    <w:rsid w:val="0CDF3155"/>
    <w:rsid w:val="0CEB684C"/>
    <w:rsid w:val="0CF04FE7"/>
    <w:rsid w:val="0CF4418A"/>
    <w:rsid w:val="0D144B62"/>
    <w:rsid w:val="0D1C154D"/>
    <w:rsid w:val="0D5D3392"/>
    <w:rsid w:val="0D6012AA"/>
    <w:rsid w:val="0D697C23"/>
    <w:rsid w:val="0D832544"/>
    <w:rsid w:val="0D892EDB"/>
    <w:rsid w:val="0DB8444D"/>
    <w:rsid w:val="0DCB52A1"/>
    <w:rsid w:val="0DD5780D"/>
    <w:rsid w:val="0E664FCA"/>
    <w:rsid w:val="0E927B6D"/>
    <w:rsid w:val="0E975183"/>
    <w:rsid w:val="0E980FA6"/>
    <w:rsid w:val="0EC046DA"/>
    <w:rsid w:val="0EE87164"/>
    <w:rsid w:val="0F215CB0"/>
    <w:rsid w:val="0F6C03BE"/>
    <w:rsid w:val="0F6F1338"/>
    <w:rsid w:val="0F7A347F"/>
    <w:rsid w:val="0F7E14DB"/>
    <w:rsid w:val="0F7E5664"/>
    <w:rsid w:val="0F9A3CAA"/>
    <w:rsid w:val="0FCE6DFD"/>
    <w:rsid w:val="0FE015FA"/>
    <w:rsid w:val="0FE34B24"/>
    <w:rsid w:val="1010343F"/>
    <w:rsid w:val="101D790A"/>
    <w:rsid w:val="10300DA1"/>
    <w:rsid w:val="10521664"/>
    <w:rsid w:val="10596B94"/>
    <w:rsid w:val="105B405A"/>
    <w:rsid w:val="10662B2B"/>
    <w:rsid w:val="10790FE5"/>
    <w:rsid w:val="107C1B07"/>
    <w:rsid w:val="10975377"/>
    <w:rsid w:val="10A62F44"/>
    <w:rsid w:val="10AF0EAA"/>
    <w:rsid w:val="10B53B51"/>
    <w:rsid w:val="10E0325E"/>
    <w:rsid w:val="112000BF"/>
    <w:rsid w:val="114853EC"/>
    <w:rsid w:val="114A5E54"/>
    <w:rsid w:val="119500A0"/>
    <w:rsid w:val="119B31DD"/>
    <w:rsid w:val="11F7415A"/>
    <w:rsid w:val="123571D6"/>
    <w:rsid w:val="124504B7"/>
    <w:rsid w:val="124B7735"/>
    <w:rsid w:val="12540265"/>
    <w:rsid w:val="125B325B"/>
    <w:rsid w:val="12624DFB"/>
    <w:rsid w:val="1271355F"/>
    <w:rsid w:val="128D6607"/>
    <w:rsid w:val="12AA3A8C"/>
    <w:rsid w:val="12BD4314"/>
    <w:rsid w:val="12EC1F42"/>
    <w:rsid w:val="12EE149E"/>
    <w:rsid w:val="12FE70FA"/>
    <w:rsid w:val="13361F99"/>
    <w:rsid w:val="135950FD"/>
    <w:rsid w:val="13634763"/>
    <w:rsid w:val="13655850"/>
    <w:rsid w:val="137A28C2"/>
    <w:rsid w:val="13802684"/>
    <w:rsid w:val="139F5206"/>
    <w:rsid w:val="139F711B"/>
    <w:rsid w:val="13C756F5"/>
    <w:rsid w:val="13D85498"/>
    <w:rsid w:val="13F07810"/>
    <w:rsid w:val="13F945CA"/>
    <w:rsid w:val="140B464A"/>
    <w:rsid w:val="141E365C"/>
    <w:rsid w:val="14246148"/>
    <w:rsid w:val="14310FC1"/>
    <w:rsid w:val="1442379D"/>
    <w:rsid w:val="148D45DC"/>
    <w:rsid w:val="14975E17"/>
    <w:rsid w:val="14A00775"/>
    <w:rsid w:val="14AD1B9F"/>
    <w:rsid w:val="14B051F1"/>
    <w:rsid w:val="14F60FB2"/>
    <w:rsid w:val="14F72EB4"/>
    <w:rsid w:val="15303C50"/>
    <w:rsid w:val="15574AC0"/>
    <w:rsid w:val="155C1C50"/>
    <w:rsid w:val="155D33EE"/>
    <w:rsid w:val="15747FCD"/>
    <w:rsid w:val="15893431"/>
    <w:rsid w:val="15AE34DE"/>
    <w:rsid w:val="15B07DB1"/>
    <w:rsid w:val="15B26787"/>
    <w:rsid w:val="15C154CF"/>
    <w:rsid w:val="15F75B75"/>
    <w:rsid w:val="160116A0"/>
    <w:rsid w:val="160D26F5"/>
    <w:rsid w:val="162B2D81"/>
    <w:rsid w:val="164B6F7F"/>
    <w:rsid w:val="16893F4C"/>
    <w:rsid w:val="16CE0E1C"/>
    <w:rsid w:val="16D276A1"/>
    <w:rsid w:val="16D43419"/>
    <w:rsid w:val="16FE2244"/>
    <w:rsid w:val="172D5A53"/>
    <w:rsid w:val="173558CE"/>
    <w:rsid w:val="173D69EE"/>
    <w:rsid w:val="17435EA8"/>
    <w:rsid w:val="17460160"/>
    <w:rsid w:val="174B7723"/>
    <w:rsid w:val="17594E38"/>
    <w:rsid w:val="175C5F2D"/>
    <w:rsid w:val="17604CAC"/>
    <w:rsid w:val="176A78D9"/>
    <w:rsid w:val="178E217A"/>
    <w:rsid w:val="17A776A1"/>
    <w:rsid w:val="17C40F61"/>
    <w:rsid w:val="17C57A86"/>
    <w:rsid w:val="180E4708"/>
    <w:rsid w:val="18285BB1"/>
    <w:rsid w:val="182C52BE"/>
    <w:rsid w:val="182D2923"/>
    <w:rsid w:val="1833766A"/>
    <w:rsid w:val="18381785"/>
    <w:rsid w:val="1859647D"/>
    <w:rsid w:val="185E1ECD"/>
    <w:rsid w:val="18744F23"/>
    <w:rsid w:val="18772045"/>
    <w:rsid w:val="187E095C"/>
    <w:rsid w:val="189C3682"/>
    <w:rsid w:val="18B20FCE"/>
    <w:rsid w:val="18C8788D"/>
    <w:rsid w:val="18DD40DB"/>
    <w:rsid w:val="18E13BCB"/>
    <w:rsid w:val="190A0907"/>
    <w:rsid w:val="19153875"/>
    <w:rsid w:val="191C3075"/>
    <w:rsid w:val="196172BC"/>
    <w:rsid w:val="19766863"/>
    <w:rsid w:val="19785F62"/>
    <w:rsid w:val="19801C10"/>
    <w:rsid w:val="19831DC7"/>
    <w:rsid w:val="19866520"/>
    <w:rsid w:val="199148E8"/>
    <w:rsid w:val="19957A1F"/>
    <w:rsid w:val="199826A2"/>
    <w:rsid w:val="19DA18DC"/>
    <w:rsid w:val="19DC10B7"/>
    <w:rsid w:val="1A0B5171"/>
    <w:rsid w:val="1A0D6DB6"/>
    <w:rsid w:val="1A1C3E5D"/>
    <w:rsid w:val="1A27385F"/>
    <w:rsid w:val="1A375AAD"/>
    <w:rsid w:val="1A680241"/>
    <w:rsid w:val="1A797E25"/>
    <w:rsid w:val="1A86178D"/>
    <w:rsid w:val="1A952EBF"/>
    <w:rsid w:val="1A9C00AB"/>
    <w:rsid w:val="1AAF4DA4"/>
    <w:rsid w:val="1AE32516"/>
    <w:rsid w:val="1AFD32CD"/>
    <w:rsid w:val="1B045C3F"/>
    <w:rsid w:val="1B0512A5"/>
    <w:rsid w:val="1B36527E"/>
    <w:rsid w:val="1B3A5427"/>
    <w:rsid w:val="1B4A4017"/>
    <w:rsid w:val="1B956AB3"/>
    <w:rsid w:val="1B9B2757"/>
    <w:rsid w:val="1BAF4FD7"/>
    <w:rsid w:val="1BCE1A9A"/>
    <w:rsid w:val="1BD07A41"/>
    <w:rsid w:val="1BE02EEA"/>
    <w:rsid w:val="1BE063BC"/>
    <w:rsid w:val="1C0539A1"/>
    <w:rsid w:val="1C13053F"/>
    <w:rsid w:val="1C360A22"/>
    <w:rsid w:val="1C4736FE"/>
    <w:rsid w:val="1C5E7E41"/>
    <w:rsid w:val="1C611D5B"/>
    <w:rsid w:val="1C710218"/>
    <w:rsid w:val="1C8256C5"/>
    <w:rsid w:val="1C931452"/>
    <w:rsid w:val="1CAC64A5"/>
    <w:rsid w:val="1CC65C36"/>
    <w:rsid w:val="1CC759D5"/>
    <w:rsid w:val="1CCE7A3C"/>
    <w:rsid w:val="1CDC4DD5"/>
    <w:rsid w:val="1D19735C"/>
    <w:rsid w:val="1D545F62"/>
    <w:rsid w:val="1D550812"/>
    <w:rsid w:val="1D670DAF"/>
    <w:rsid w:val="1D961AAB"/>
    <w:rsid w:val="1DC840FC"/>
    <w:rsid w:val="1DCD471E"/>
    <w:rsid w:val="1DED3012"/>
    <w:rsid w:val="1E136F19"/>
    <w:rsid w:val="1E42335E"/>
    <w:rsid w:val="1E4B3A17"/>
    <w:rsid w:val="1E870D71"/>
    <w:rsid w:val="1EA01E32"/>
    <w:rsid w:val="1EBB4EBE"/>
    <w:rsid w:val="1EDF6241"/>
    <w:rsid w:val="1EF50E2C"/>
    <w:rsid w:val="1EFA136F"/>
    <w:rsid w:val="1F1A4831"/>
    <w:rsid w:val="1F3674A4"/>
    <w:rsid w:val="1F3A78BB"/>
    <w:rsid w:val="1F5654A6"/>
    <w:rsid w:val="1F6A2B6C"/>
    <w:rsid w:val="1F75023B"/>
    <w:rsid w:val="1F7A031D"/>
    <w:rsid w:val="1F7A75C4"/>
    <w:rsid w:val="1F8B663F"/>
    <w:rsid w:val="1F9279CD"/>
    <w:rsid w:val="1FA36E16"/>
    <w:rsid w:val="1FB35D44"/>
    <w:rsid w:val="20036B1D"/>
    <w:rsid w:val="201A3449"/>
    <w:rsid w:val="20670714"/>
    <w:rsid w:val="20696AB7"/>
    <w:rsid w:val="20866C6D"/>
    <w:rsid w:val="208A0BA0"/>
    <w:rsid w:val="20906196"/>
    <w:rsid w:val="20A00A01"/>
    <w:rsid w:val="20AE2D02"/>
    <w:rsid w:val="20BC5B59"/>
    <w:rsid w:val="20D65FDF"/>
    <w:rsid w:val="20DD736E"/>
    <w:rsid w:val="20E902CB"/>
    <w:rsid w:val="210466A8"/>
    <w:rsid w:val="210E17D3"/>
    <w:rsid w:val="213F50B4"/>
    <w:rsid w:val="215B571C"/>
    <w:rsid w:val="215F7C07"/>
    <w:rsid w:val="21713662"/>
    <w:rsid w:val="219519E3"/>
    <w:rsid w:val="219519F6"/>
    <w:rsid w:val="219E4D4F"/>
    <w:rsid w:val="21C522EA"/>
    <w:rsid w:val="21F66836"/>
    <w:rsid w:val="22110519"/>
    <w:rsid w:val="22160D89"/>
    <w:rsid w:val="223718C4"/>
    <w:rsid w:val="224551CB"/>
    <w:rsid w:val="224D2C19"/>
    <w:rsid w:val="227106AC"/>
    <w:rsid w:val="227321C4"/>
    <w:rsid w:val="228B7208"/>
    <w:rsid w:val="228C1F46"/>
    <w:rsid w:val="229A54F9"/>
    <w:rsid w:val="229E2B2D"/>
    <w:rsid w:val="22A068A5"/>
    <w:rsid w:val="22B42350"/>
    <w:rsid w:val="22C32593"/>
    <w:rsid w:val="22C52943"/>
    <w:rsid w:val="22D27325"/>
    <w:rsid w:val="22E82F02"/>
    <w:rsid w:val="22E83DA8"/>
    <w:rsid w:val="22EC1AEA"/>
    <w:rsid w:val="22EF3388"/>
    <w:rsid w:val="230C7A96"/>
    <w:rsid w:val="23386ADD"/>
    <w:rsid w:val="23681EC9"/>
    <w:rsid w:val="2390627A"/>
    <w:rsid w:val="23B95B4B"/>
    <w:rsid w:val="23EC251C"/>
    <w:rsid w:val="24244F5F"/>
    <w:rsid w:val="243376EE"/>
    <w:rsid w:val="24474BEB"/>
    <w:rsid w:val="2462195D"/>
    <w:rsid w:val="247374C9"/>
    <w:rsid w:val="24A02B38"/>
    <w:rsid w:val="24A87C93"/>
    <w:rsid w:val="24BF7666"/>
    <w:rsid w:val="24C86E4A"/>
    <w:rsid w:val="24CA19B7"/>
    <w:rsid w:val="24CA251F"/>
    <w:rsid w:val="24CC710A"/>
    <w:rsid w:val="25001D8E"/>
    <w:rsid w:val="25015C8D"/>
    <w:rsid w:val="250354B1"/>
    <w:rsid w:val="252437BD"/>
    <w:rsid w:val="25253091"/>
    <w:rsid w:val="25316DBC"/>
    <w:rsid w:val="25374B08"/>
    <w:rsid w:val="25755DC7"/>
    <w:rsid w:val="258C049F"/>
    <w:rsid w:val="259D179A"/>
    <w:rsid w:val="259F2E44"/>
    <w:rsid w:val="25A246E2"/>
    <w:rsid w:val="25C4208D"/>
    <w:rsid w:val="25E16874"/>
    <w:rsid w:val="25E62821"/>
    <w:rsid w:val="25EF3BEC"/>
    <w:rsid w:val="25F41E72"/>
    <w:rsid w:val="25F5515A"/>
    <w:rsid w:val="26684698"/>
    <w:rsid w:val="267616F4"/>
    <w:rsid w:val="2677349D"/>
    <w:rsid w:val="267E7EE2"/>
    <w:rsid w:val="269E3515"/>
    <w:rsid w:val="26A24824"/>
    <w:rsid w:val="26C708A4"/>
    <w:rsid w:val="26C8412D"/>
    <w:rsid w:val="26D35A29"/>
    <w:rsid w:val="27022491"/>
    <w:rsid w:val="27221C47"/>
    <w:rsid w:val="272730F1"/>
    <w:rsid w:val="277D67DE"/>
    <w:rsid w:val="279D3E9C"/>
    <w:rsid w:val="27A24E6D"/>
    <w:rsid w:val="27AC4934"/>
    <w:rsid w:val="27AF2DBA"/>
    <w:rsid w:val="27C05DEB"/>
    <w:rsid w:val="27D368EF"/>
    <w:rsid w:val="27D50D9F"/>
    <w:rsid w:val="27D73FF6"/>
    <w:rsid w:val="27E11438"/>
    <w:rsid w:val="27EF7BD3"/>
    <w:rsid w:val="2819068F"/>
    <w:rsid w:val="285E45DB"/>
    <w:rsid w:val="288B5901"/>
    <w:rsid w:val="288D3427"/>
    <w:rsid w:val="28956780"/>
    <w:rsid w:val="28A32C4B"/>
    <w:rsid w:val="28AC7BC6"/>
    <w:rsid w:val="28C01A4F"/>
    <w:rsid w:val="28C22248"/>
    <w:rsid w:val="28E53263"/>
    <w:rsid w:val="28E73839"/>
    <w:rsid w:val="28FC0E5D"/>
    <w:rsid w:val="28FE2577"/>
    <w:rsid w:val="291122AA"/>
    <w:rsid w:val="29197407"/>
    <w:rsid w:val="291E0523"/>
    <w:rsid w:val="29203ADB"/>
    <w:rsid w:val="293F3248"/>
    <w:rsid w:val="29497B7B"/>
    <w:rsid w:val="295019C0"/>
    <w:rsid w:val="2964577C"/>
    <w:rsid w:val="29930F11"/>
    <w:rsid w:val="2999706E"/>
    <w:rsid w:val="29BD1AEA"/>
    <w:rsid w:val="29D15596"/>
    <w:rsid w:val="29DE4856"/>
    <w:rsid w:val="29E25CCA"/>
    <w:rsid w:val="29EB6945"/>
    <w:rsid w:val="29ED386E"/>
    <w:rsid w:val="29F01B4E"/>
    <w:rsid w:val="29F179E6"/>
    <w:rsid w:val="2A1060BE"/>
    <w:rsid w:val="2A2B2EF8"/>
    <w:rsid w:val="2A6E4820"/>
    <w:rsid w:val="2A793801"/>
    <w:rsid w:val="2A7E248F"/>
    <w:rsid w:val="2AAE58D7"/>
    <w:rsid w:val="2AD25A69"/>
    <w:rsid w:val="2AE52D81"/>
    <w:rsid w:val="2AFC6642"/>
    <w:rsid w:val="2B547A60"/>
    <w:rsid w:val="2B734B48"/>
    <w:rsid w:val="2BA45AD6"/>
    <w:rsid w:val="2BBB02AC"/>
    <w:rsid w:val="2BD0363D"/>
    <w:rsid w:val="2BF07EFC"/>
    <w:rsid w:val="2C136A03"/>
    <w:rsid w:val="2C212804"/>
    <w:rsid w:val="2C2A155C"/>
    <w:rsid w:val="2C561EEC"/>
    <w:rsid w:val="2C6E13AE"/>
    <w:rsid w:val="2CE104C0"/>
    <w:rsid w:val="2CE767D6"/>
    <w:rsid w:val="2D074563"/>
    <w:rsid w:val="2D460F4F"/>
    <w:rsid w:val="2D4B38B1"/>
    <w:rsid w:val="2D67208B"/>
    <w:rsid w:val="2D7900E3"/>
    <w:rsid w:val="2D7A6E9A"/>
    <w:rsid w:val="2DC62459"/>
    <w:rsid w:val="2DDD629F"/>
    <w:rsid w:val="2DF9330D"/>
    <w:rsid w:val="2E09613E"/>
    <w:rsid w:val="2E1746FA"/>
    <w:rsid w:val="2E222864"/>
    <w:rsid w:val="2E2E1209"/>
    <w:rsid w:val="2E347FE6"/>
    <w:rsid w:val="2E437485"/>
    <w:rsid w:val="2E471B58"/>
    <w:rsid w:val="2E4E5407"/>
    <w:rsid w:val="2E5F3401"/>
    <w:rsid w:val="2E8044A4"/>
    <w:rsid w:val="2E8A1F76"/>
    <w:rsid w:val="2E976DAE"/>
    <w:rsid w:val="2EAA79F7"/>
    <w:rsid w:val="2EB23BE8"/>
    <w:rsid w:val="2EC60BB1"/>
    <w:rsid w:val="2EFE0BDB"/>
    <w:rsid w:val="2F071DB4"/>
    <w:rsid w:val="2F105615"/>
    <w:rsid w:val="2F244019"/>
    <w:rsid w:val="2F3A3BDD"/>
    <w:rsid w:val="2F44456A"/>
    <w:rsid w:val="2FAA0D63"/>
    <w:rsid w:val="2FBE5224"/>
    <w:rsid w:val="2FC963EA"/>
    <w:rsid w:val="30010852"/>
    <w:rsid w:val="301C5A0E"/>
    <w:rsid w:val="301D6B03"/>
    <w:rsid w:val="302723B3"/>
    <w:rsid w:val="303057D5"/>
    <w:rsid w:val="30596B25"/>
    <w:rsid w:val="30DC344D"/>
    <w:rsid w:val="30E23CB1"/>
    <w:rsid w:val="30E24DDB"/>
    <w:rsid w:val="30E618EA"/>
    <w:rsid w:val="30E6596A"/>
    <w:rsid w:val="30ED6EBE"/>
    <w:rsid w:val="31266E06"/>
    <w:rsid w:val="31303ABD"/>
    <w:rsid w:val="31360422"/>
    <w:rsid w:val="31381C0C"/>
    <w:rsid w:val="313F38FB"/>
    <w:rsid w:val="314A1CA8"/>
    <w:rsid w:val="315D46CB"/>
    <w:rsid w:val="319B4E07"/>
    <w:rsid w:val="319C46DB"/>
    <w:rsid w:val="31AF08B2"/>
    <w:rsid w:val="31AF2BF4"/>
    <w:rsid w:val="31B42F86"/>
    <w:rsid w:val="31B720F2"/>
    <w:rsid w:val="31BF6929"/>
    <w:rsid w:val="31CB077D"/>
    <w:rsid w:val="31EC5663"/>
    <w:rsid w:val="31FB60B6"/>
    <w:rsid w:val="31FE5B4B"/>
    <w:rsid w:val="32022351"/>
    <w:rsid w:val="320902DE"/>
    <w:rsid w:val="3248259E"/>
    <w:rsid w:val="3264344B"/>
    <w:rsid w:val="32674CE9"/>
    <w:rsid w:val="328A6E09"/>
    <w:rsid w:val="32CE765F"/>
    <w:rsid w:val="32E763D3"/>
    <w:rsid w:val="32EB46F7"/>
    <w:rsid w:val="3320497C"/>
    <w:rsid w:val="332570A8"/>
    <w:rsid w:val="3352162D"/>
    <w:rsid w:val="336A0B90"/>
    <w:rsid w:val="33A45AC9"/>
    <w:rsid w:val="33B51A84"/>
    <w:rsid w:val="33C51C50"/>
    <w:rsid w:val="33E96246"/>
    <w:rsid w:val="34077D73"/>
    <w:rsid w:val="340B7DE9"/>
    <w:rsid w:val="341615CD"/>
    <w:rsid w:val="34291EBA"/>
    <w:rsid w:val="342B71FC"/>
    <w:rsid w:val="34366616"/>
    <w:rsid w:val="34437189"/>
    <w:rsid w:val="34437DE0"/>
    <w:rsid w:val="34A72A94"/>
    <w:rsid w:val="34F32864"/>
    <w:rsid w:val="35091707"/>
    <w:rsid w:val="35160AA0"/>
    <w:rsid w:val="35211D0E"/>
    <w:rsid w:val="35260E8C"/>
    <w:rsid w:val="35417A73"/>
    <w:rsid w:val="354F336C"/>
    <w:rsid w:val="355210D0"/>
    <w:rsid w:val="361651B5"/>
    <w:rsid w:val="362F1FC2"/>
    <w:rsid w:val="36452593"/>
    <w:rsid w:val="36494616"/>
    <w:rsid w:val="365E6403"/>
    <w:rsid w:val="365E73B1"/>
    <w:rsid w:val="366B0FB7"/>
    <w:rsid w:val="36750F60"/>
    <w:rsid w:val="367C56C9"/>
    <w:rsid w:val="36B34424"/>
    <w:rsid w:val="36D466C5"/>
    <w:rsid w:val="36DB2AF7"/>
    <w:rsid w:val="36EA5A89"/>
    <w:rsid w:val="36F32FEF"/>
    <w:rsid w:val="37046FAB"/>
    <w:rsid w:val="371C2878"/>
    <w:rsid w:val="3720430A"/>
    <w:rsid w:val="374A385F"/>
    <w:rsid w:val="37511C4C"/>
    <w:rsid w:val="37682A67"/>
    <w:rsid w:val="37702A00"/>
    <w:rsid w:val="37936580"/>
    <w:rsid w:val="37A023EF"/>
    <w:rsid w:val="37AF33BA"/>
    <w:rsid w:val="37AF6CD2"/>
    <w:rsid w:val="37B87D95"/>
    <w:rsid w:val="37C26B65"/>
    <w:rsid w:val="38082ACA"/>
    <w:rsid w:val="380908CD"/>
    <w:rsid w:val="380F0952"/>
    <w:rsid w:val="38211866"/>
    <w:rsid w:val="38356656"/>
    <w:rsid w:val="384761DC"/>
    <w:rsid w:val="384956BC"/>
    <w:rsid w:val="384E559F"/>
    <w:rsid w:val="38725AAB"/>
    <w:rsid w:val="389C3C67"/>
    <w:rsid w:val="38AA6B44"/>
    <w:rsid w:val="38BE13DB"/>
    <w:rsid w:val="38C74D5D"/>
    <w:rsid w:val="38CE55DC"/>
    <w:rsid w:val="393565A8"/>
    <w:rsid w:val="394D6D52"/>
    <w:rsid w:val="3962549D"/>
    <w:rsid w:val="396F7468"/>
    <w:rsid w:val="397353CB"/>
    <w:rsid w:val="39772D95"/>
    <w:rsid w:val="39A73CA5"/>
    <w:rsid w:val="39D555F0"/>
    <w:rsid w:val="39D80468"/>
    <w:rsid w:val="39E24C0B"/>
    <w:rsid w:val="39FD2B64"/>
    <w:rsid w:val="3A0A3CFD"/>
    <w:rsid w:val="3A186C52"/>
    <w:rsid w:val="3A237EAC"/>
    <w:rsid w:val="3A2F4904"/>
    <w:rsid w:val="3A3C6A5B"/>
    <w:rsid w:val="3A591731"/>
    <w:rsid w:val="3A6022D2"/>
    <w:rsid w:val="3A610E7B"/>
    <w:rsid w:val="3A655FB2"/>
    <w:rsid w:val="3A6C5666"/>
    <w:rsid w:val="3A791A5E"/>
    <w:rsid w:val="3A8C2A28"/>
    <w:rsid w:val="3A9D3900"/>
    <w:rsid w:val="3AA04ECA"/>
    <w:rsid w:val="3AA21583"/>
    <w:rsid w:val="3AAB2255"/>
    <w:rsid w:val="3ADA0651"/>
    <w:rsid w:val="3AED33A6"/>
    <w:rsid w:val="3B141786"/>
    <w:rsid w:val="3B411D0E"/>
    <w:rsid w:val="3B46166B"/>
    <w:rsid w:val="3B4C7172"/>
    <w:rsid w:val="3B6049CB"/>
    <w:rsid w:val="3B81174C"/>
    <w:rsid w:val="3B893FFA"/>
    <w:rsid w:val="3B965493"/>
    <w:rsid w:val="3BA71DF8"/>
    <w:rsid w:val="3BD466BC"/>
    <w:rsid w:val="3BD90D62"/>
    <w:rsid w:val="3BE178BA"/>
    <w:rsid w:val="3BF82E56"/>
    <w:rsid w:val="3C046F9E"/>
    <w:rsid w:val="3C2459F9"/>
    <w:rsid w:val="3C345458"/>
    <w:rsid w:val="3C3A7564"/>
    <w:rsid w:val="3C447595"/>
    <w:rsid w:val="3C585DB9"/>
    <w:rsid w:val="3C590E34"/>
    <w:rsid w:val="3C735C71"/>
    <w:rsid w:val="3CB45D1C"/>
    <w:rsid w:val="3CC24379"/>
    <w:rsid w:val="3CC47274"/>
    <w:rsid w:val="3CDC4526"/>
    <w:rsid w:val="3D124605"/>
    <w:rsid w:val="3D1E5F2E"/>
    <w:rsid w:val="3D51281E"/>
    <w:rsid w:val="3D55049D"/>
    <w:rsid w:val="3D66752E"/>
    <w:rsid w:val="3D7477C9"/>
    <w:rsid w:val="3D832F6C"/>
    <w:rsid w:val="3D8355D3"/>
    <w:rsid w:val="3D8D2EB0"/>
    <w:rsid w:val="3DAF2283"/>
    <w:rsid w:val="3DCE5637"/>
    <w:rsid w:val="3DEA0921"/>
    <w:rsid w:val="3DEA7988"/>
    <w:rsid w:val="3E510035"/>
    <w:rsid w:val="3E625925"/>
    <w:rsid w:val="3E6B1752"/>
    <w:rsid w:val="3E742DDB"/>
    <w:rsid w:val="3E7560B2"/>
    <w:rsid w:val="3E832B8C"/>
    <w:rsid w:val="3E8A5EF5"/>
    <w:rsid w:val="3E8D3D29"/>
    <w:rsid w:val="3E937104"/>
    <w:rsid w:val="3EA00548"/>
    <w:rsid w:val="3EA6208F"/>
    <w:rsid w:val="3EA64DEB"/>
    <w:rsid w:val="3EB86F6D"/>
    <w:rsid w:val="3EC2059B"/>
    <w:rsid w:val="3EC25FD7"/>
    <w:rsid w:val="3ED3317C"/>
    <w:rsid w:val="3EE020AB"/>
    <w:rsid w:val="3EF1250A"/>
    <w:rsid w:val="3F4D0892"/>
    <w:rsid w:val="3F5E56C6"/>
    <w:rsid w:val="3F7E0437"/>
    <w:rsid w:val="3F84512C"/>
    <w:rsid w:val="3F8B6965"/>
    <w:rsid w:val="3F960A1B"/>
    <w:rsid w:val="3FA30040"/>
    <w:rsid w:val="3FBB73C9"/>
    <w:rsid w:val="3FE13309"/>
    <w:rsid w:val="3FF10422"/>
    <w:rsid w:val="3FF7590D"/>
    <w:rsid w:val="40294E6F"/>
    <w:rsid w:val="40353AA7"/>
    <w:rsid w:val="404C3770"/>
    <w:rsid w:val="406330B7"/>
    <w:rsid w:val="406659D4"/>
    <w:rsid w:val="406E0A2E"/>
    <w:rsid w:val="406F52BF"/>
    <w:rsid w:val="40B84D47"/>
    <w:rsid w:val="40C87655"/>
    <w:rsid w:val="40D140B5"/>
    <w:rsid w:val="40D53766"/>
    <w:rsid w:val="40FE0F0E"/>
    <w:rsid w:val="410822AE"/>
    <w:rsid w:val="41105E87"/>
    <w:rsid w:val="411E79D5"/>
    <w:rsid w:val="417452B0"/>
    <w:rsid w:val="41886A2A"/>
    <w:rsid w:val="418D5EB5"/>
    <w:rsid w:val="41C62E3A"/>
    <w:rsid w:val="41E965F5"/>
    <w:rsid w:val="420E5CD2"/>
    <w:rsid w:val="422B5D33"/>
    <w:rsid w:val="423D7335"/>
    <w:rsid w:val="425B0CB6"/>
    <w:rsid w:val="42AB3D97"/>
    <w:rsid w:val="42AB6724"/>
    <w:rsid w:val="431C04DF"/>
    <w:rsid w:val="432033BE"/>
    <w:rsid w:val="43452BC5"/>
    <w:rsid w:val="43572C1C"/>
    <w:rsid w:val="4364272C"/>
    <w:rsid w:val="43671945"/>
    <w:rsid w:val="438254A7"/>
    <w:rsid w:val="438B3ED0"/>
    <w:rsid w:val="43AE32D9"/>
    <w:rsid w:val="43D63C39"/>
    <w:rsid w:val="43E07371"/>
    <w:rsid w:val="43EF0FE2"/>
    <w:rsid w:val="44006D4C"/>
    <w:rsid w:val="44AC0997"/>
    <w:rsid w:val="44B25A40"/>
    <w:rsid w:val="44B7378C"/>
    <w:rsid w:val="44CB55AC"/>
    <w:rsid w:val="450B7FC6"/>
    <w:rsid w:val="451505D5"/>
    <w:rsid w:val="4521341D"/>
    <w:rsid w:val="452B7DF8"/>
    <w:rsid w:val="453C298C"/>
    <w:rsid w:val="4558167C"/>
    <w:rsid w:val="4558210B"/>
    <w:rsid w:val="45712FED"/>
    <w:rsid w:val="4577128F"/>
    <w:rsid w:val="45DC7897"/>
    <w:rsid w:val="45EB5E6A"/>
    <w:rsid w:val="46082727"/>
    <w:rsid w:val="460C7C2A"/>
    <w:rsid w:val="463C0071"/>
    <w:rsid w:val="466E0287"/>
    <w:rsid w:val="4674536F"/>
    <w:rsid w:val="46B0304F"/>
    <w:rsid w:val="46B42F90"/>
    <w:rsid w:val="46C4551D"/>
    <w:rsid w:val="46C67A90"/>
    <w:rsid w:val="46D22C21"/>
    <w:rsid w:val="46E56143"/>
    <w:rsid w:val="470D1DC4"/>
    <w:rsid w:val="471E51AA"/>
    <w:rsid w:val="472B6F91"/>
    <w:rsid w:val="476529CC"/>
    <w:rsid w:val="476E0C2F"/>
    <w:rsid w:val="477320E2"/>
    <w:rsid w:val="477416FE"/>
    <w:rsid w:val="4807663C"/>
    <w:rsid w:val="48124C91"/>
    <w:rsid w:val="4814271D"/>
    <w:rsid w:val="4817728E"/>
    <w:rsid w:val="481B63C6"/>
    <w:rsid w:val="48284AC3"/>
    <w:rsid w:val="483B59A8"/>
    <w:rsid w:val="484E4529"/>
    <w:rsid w:val="48710218"/>
    <w:rsid w:val="48883FAF"/>
    <w:rsid w:val="48A00AFD"/>
    <w:rsid w:val="48DB77BF"/>
    <w:rsid w:val="48F06888"/>
    <w:rsid w:val="48F6744F"/>
    <w:rsid w:val="49322CB9"/>
    <w:rsid w:val="493A1BE1"/>
    <w:rsid w:val="495C6F05"/>
    <w:rsid w:val="498126DD"/>
    <w:rsid w:val="49913F18"/>
    <w:rsid w:val="49916460"/>
    <w:rsid w:val="499B3E8C"/>
    <w:rsid w:val="4A0B211B"/>
    <w:rsid w:val="4A370FED"/>
    <w:rsid w:val="4A471230"/>
    <w:rsid w:val="4A6528E0"/>
    <w:rsid w:val="4A673417"/>
    <w:rsid w:val="4A875AD1"/>
    <w:rsid w:val="4AAA7A11"/>
    <w:rsid w:val="4AB03279"/>
    <w:rsid w:val="4AB8212E"/>
    <w:rsid w:val="4ABC6B6C"/>
    <w:rsid w:val="4ABE4E5C"/>
    <w:rsid w:val="4AD93481"/>
    <w:rsid w:val="4ADD1B95"/>
    <w:rsid w:val="4B137364"/>
    <w:rsid w:val="4B1A4B97"/>
    <w:rsid w:val="4B306D59"/>
    <w:rsid w:val="4B3612A5"/>
    <w:rsid w:val="4B525B6F"/>
    <w:rsid w:val="4B596C8E"/>
    <w:rsid w:val="4B6C61F1"/>
    <w:rsid w:val="4BC0119A"/>
    <w:rsid w:val="4BC845E0"/>
    <w:rsid w:val="4BCB52A8"/>
    <w:rsid w:val="4BE34F89"/>
    <w:rsid w:val="4BEE0D35"/>
    <w:rsid w:val="4C0F7509"/>
    <w:rsid w:val="4C136147"/>
    <w:rsid w:val="4C3752D5"/>
    <w:rsid w:val="4C6C2A35"/>
    <w:rsid w:val="4CB35C07"/>
    <w:rsid w:val="4CC402ED"/>
    <w:rsid w:val="4CCD3EB0"/>
    <w:rsid w:val="4CFB24DA"/>
    <w:rsid w:val="4D1E2107"/>
    <w:rsid w:val="4D1F5A48"/>
    <w:rsid w:val="4D355CB8"/>
    <w:rsid w:val="4D407E56"/>
    <w:rsid w:val="4D616C23"/>
    <w:rsid w:val="4D6420F9"/>
    <w:rsid w:val="4D85197B"/>
    <w:rsid w:val="4D875DE8"/>
    <w:rsid w:val="4DF43316"/>
    <w:rsid w:val="4E28149C"/>
    <w:rsid w:val="4E4A12EF"/>
    <w:rsid w:val="4E524648"/>
    <w:rsid w:val="4E616913"/>
    <w:rsid w:val="4E6F51FA"/>
    <w:rsid w:val="4E727F06"/>
    <w:rsid w:val="4E7955FA"/>
    <w:rsid w:val="4E7A3D43"/>
    <w:rsid w:val="4E9911BC"/>
    <w:rsid w:val="4EA115E0"/>
    <w:rsid w:val="4EA35395"/>
    <w:rsid w:val="4EC703E0"/>
    <w:rsid w:val="4ED4439C"/>
    <w:rsid w:val="4EDA4DE4"/>
    <w:rsid w:val="4EEC578E"/>
    <w:rsid w:val="4EFD0A57"/>
    <w:rsid w:val="4F0E67C1"/>
    <w:rsid w:val="4F3F4BCC"/>
    <w:rsid w:val="4F430EB3"/>
    <w:rsid w:val="4F530677"/>
    <w:rsid w:val="4F827102"/>
    <w:rsid w:val="4F9E7CCA"/>
    <w:rsid w:val="4FCF7919"/>
    <w:rsid w:val="4FD4504B"/>
    <w:rsid w:val="4FF15EC7"/>
    <w:rsid w:val="500C5118"/>
    <w:rsid w:val="5019759F"/>
    <w:rsid w:val="50576452"/>
    <w:rsid w:val="50655768"/>
    <w:rsid w:val="50723D8A"/>
    <w:rsid w:val="50C35970"/>
    <w:rsid w:val="50E26FDF"/>
    <w:rsid w:val="51077C63"/>
    <w:rsid w:val="510C62EA"/>
    <w:rsid w:val="51257DF2"/>
    <w:rsid w:val="512D1D23"/>
    <w:rsid w:val="512E314A"/>
    <w:rsid w:val="51522536"/>
    <w:rsid w:val="51611ED1"/>
    <w:rsid w:val="517B64FE"/>
    <w:rsid w:val="517E02D6"/>
    <w:rsid w:val="519B6306"/>
    <w:rsid w:val="51CB0F54"/>
    <w:rsid w:val="51CD2F0F"/>
    <w:rsid w:val="51DE6839"/>
    <w:rsid w:val="51E63245"/>
    <w:rsid w:val="51E657BD"/>
    <w:rsid w:val="51F02CB6"/>
    <w:rsid w:val="52014762"/>
    <w:rsid w:val="52220D7A"/>
    <w:rsid w:val="524021AC"/>
    <w:rsid w:val="52426781"/>
    <w:rsid w:val="524F093C"/>
    <w:rsid w:val="5267525C"/>
    <w:rsid w:val="5288177F"/>
    <w:rsid w:val="529800BF"/>
    <w:rsid w:val="52B665F5"/>
    <w:rsid w:val="52BE405A"/>
    <w:rsid w:val="52F96ACC"/>
    <w:rsid w:val="530C3017"/>
    <w:rsid w:val="531133C7"/>
    <w:rsid w:val="53247CD4"/>
    <w:rsid w:val="53292681"/>
    <w:rsid w:val="533A753E"/>
    <w:rsid w:val="535B21AD"/>
    <w:rsid w:val="536223FA"/>
    <w:rsid w:val="538319C4"/>
    <w:rsid w:val="53876B42"/>
    <w:rsid w:val="53C47D96"/>
    <w:rsid w:val="53CC510F"/>
    <w:rsid w:val="53CF02CD"/>
    <w:rsid w:val="53DC464A"/>
    <w:rsid w:val="54197AEC"/>
    <w:rsid w:val="54314647"/>
    <w:rsid w:val="544D7446"/>
    <w:rsid w:val="54996B2C"/>
    <w:rsid w:val="54C67D59"/>
    <w:rsid w:val="54CD37CC"/>
    <w:rsid w:val="54DF20E2"/>
    <w:rsid w:val="54EF0E42"/>
    <w:rsid w:val="54F416B3"/>
    <w:rsid w:val="54F93A6F"/>
    <w:rsid w:val="550F6DEF"/>
    <w:rsid w:val="555E653C"/>
    <w:rsid w:val="55990BA9"/>
    <w:rsid w:val="55EC5382"/>
    <w:rsid w:val="55F3226C"/>
    <w:rsid w:val="56116B96"/>
    <w:rsid w:val="561454D8"/>
    <w:rsid w:val="563646D2"/>
    <w:rsid w:val="56385CF2"/>
    <w:rsid w:val="5644548A"/>
    <w:rsid w:val="564B683B"/>
    <w:rsid w:val="56766BEA"/>
    <w:rsid w:val="567A7AAD"/>
    <w:rsid w:val="568127DC"/>
    <w:rsid w:val="568C7B87"/>
    <w:rsid w:val="56911EA5"/>
    <w:rsid w:val="569451A6"/>
    <w:rsid w:val="56A75AEB"/>
    <w:rsid w:val="572A4C26"/>
    <w:rsid w:val="572D35E6"/>
    <w:rsid w:val="57661158"/>
    <w:rsid w:val="57825F9E"/>
    <w:rsid w:val="57870BC6"/>
    <w:rsid w:val="579637F7"/>
    <w:rsid w:val="57CF3412"/>
    <w:rsid w:val="581B1F4E"/>
    <w:rsid w:val="583E3A5A"/>
    <w:rsid w:val="5841471C"/>
    <w:rsid w:val="58460EE3"/>
    <w:rsid w:val="584E6E60"/>
    <w:rsid w:val="585A57CC"/>
    <w:rsid w:val="58704048"/>
    <w:rsid w:val="58711B6E"/>
    <w:rsid w:val="58796074"/>
    <w:rsid w:val="58871D28"/>
    <w:rsid w:val="58A93115"/>
    <w:rsid w:val="58D2142B"/>
    <w:rsid w:val="58DA3BB7"/>
    <w:rsid w:val="58EE5006"/>
    <w:rsid w:val="58F76517"/>
    <w:rsid w:val="59175852"/>
    <w:rsid w:val="591B6207"/>
    <w:rsid w:val="59246BE1"/>
    <w:rsid w:val="59337CAA"/>
    <w:rsid w:val="593E407D"/>
    <w:rsid w:val="594E6328"/>
    <w:rsid w:val="595F6B5F"/>
    <w:rsid w:val="597638E0"/>
    <w:rsid w:val="59771406"/>
    <w:rsid w:val="59783A34"/>
    <w:rsid w:val="599C00E4"/>
    <w:rsid w:val="59A0095D"/>
    <w:rsid w:val="59DB3743"/>
    <w:rsid w:val="59E3084A"/>
    <w:rsid w:val="5A184997"/>
    <w:rsid w:val="5A3F3D7F"/>
    <w:rsid w:val="5A7E1016"/>
    <w:rsid w:val="5A807374"/>
    <w:rsid w:val="5A850A59"/>
    <w:rsid w:val="5ABF282E"/>
    <w:rsid w:val="5AEE6194"/>
    <w:rsid w:val="5B0D392F"/>
    <w:rsid w:val="5B270145"/>
    <w:rsid w:val="5B381C08"/>
    <w:rsid w:val="5B466C30"/>
    <w:rsid w:val="5B6E2CDB"/>
    <w:rsid w:val="5B790776"/>
    <w:rsid w:val="5BC03170"/>
    <w:rsid w:val="5BCC5A39"/>
    <w:rsid w:val="5BCD2D42"/>
    <w:rsid w:val="5BF72AE4"/>
    <w:rsid w:val="5BFE7BBD"/>
    <w:rsid w:val="5C111FC8"/>
    <w:rsid w:val="5C1473E0"/>
    <w:rsid w:val="5C246B2C"/>
    <w:rsid w:val="5C2F6360"/>
    <w:rsid w:val="5C4211A9"/>
    <w:rsid w:val="5C842ABA"/>
    <w:rsid w:val="5CBC2305"/>
    <w:rsid w:val="5CD94B1D"/>
    <w:rsid w:val="5CF66C96"/>
    <w:rsid w:val="5D333896"/>
    <w:rsid w:val="5D706898"/>
    <w:rsid w:val="5DA15354"/>
    <w:rsid w:val="5DA17670"/>
    <w:rsid w:val="5DC50372"/>
    <w:rsid w:val="5DC94533"/>
    <w:rsid w:val="5DD24E5D"/>
    <w:rsid w:val="5DE66B5A"/>
    <w:rsid w:val="5DF23751"/>
    <w:rsid w:val="5DFF43DE"/>
    <w:rsid w:val="5E211531"/>
    <w:rsid w:val="5E3B75FD"/>
    <w:rsid w:val="5E4A0E97"/>
    <w:rsid w:val="5E4A1119"/>
    <w:rsid w:val="5E957A5C"/>
    <w:rsid w:val="5EC428DB"/>
    <w:rsid w:val="5ED509A5"/>
    <w:rsid w:val="5EF332DD"/>
    <w:rsid w:val="5EF7101F"/>
    <w:rsid w:val="5F1228CC"/>
    <w:rsid w:val="5F1A0FD8"/>
    <w:rsid w:val="5F231C25"/>
    <w:rsid w:val="5F3E58C0"/>
    <w:rsid w:val="5F7D7167"/>
    <w:rsid w:val="5FBB1644"/>
    <w:rsid w:val="5FCA6EB5"/>
    <w:rsid w:val="5FCF3D4A"/>
    <w:rsid w:val="5FD257C2"/>
    <w:rsid w:val="5FFC02EC"/>
    <w:rsid w:val="5FFE53D0"/>
    <w:rsid w:val="6023339D"/>
    <w:rsid w:val="60251BBC"/>
    <w:rsid w:val="603040BD"/>
    <w:rsid w:val="603737DD"/>
    <w:rsid w:val="605424A1"/>
    <w:rsid w:val="60567FC7"/>
    <w:rsid w:val="60702C40"/>
    <w:rsid w:val="60884FB9"/>
    <w:rsid w:val="609C67F0"/>
    <w:rsid w:val="60B54550"/>
    <w:rsid w:val="60D31618"/>
    <w:rsid w:val="60E01508"/>
    <w:rsid w:val="60E76E71"/>
    <w:rsid w:val="60EF2757"/>
    <w:rsid w:val="610A7DBC"/>
    <w:rsid w:val="611D00EF"/>
    <w:rsid w:val="61432D9A"/>
    <w:rsid w:val="614E6EF1"/>
    <w:rsid w:val="61581B1D"/>
    <w:rsid w:val="6166423A"/>
    <w:rsid w:val="61793671"/>
    <w:rsid w:val="619F7A9A"/>
    <w:rsid w:val="61E04298"/>
    <w:rsid w:val="61F555BE"/>
    <w:rsid w:val="620A075F"/>
    <w:rsid w:val="622B128F"/>
    <w:rsid w:val="623115E6"/>
    <w:rsid w:val="62400005"/>
    <w:rsid w:val="624126D0"/>
    <w:rsid w:val="628C7CD0"/>
    <w:rsid w:val="62B226C9"/>
    <w:rsid w:val="62BD4921"/>
    <w:rsid w:val="62D54756"/>
    <w:rsid w:val="62D8406E"/>
    <w:rsid w:val="62F34073"/>
    <w:rsid w:val="62F550F6"/>
    <w:rsid w:val="630E2DDB"/>
    <w:rsid w:val="631250C8"/>
    <w:rsid w:val="632E6981"/>
    <w:rsid w:val="63447021"/>
    <w:rsid w:val="634D4D93"/>
    <w:rsid w:val="6362757D"/>
    <w:rsid w:val="63733AA8"/>
    <w:rsid w:val="638135AD"/>
    <w:rsid w:val="638B1726"/>
    <w:rsid w:val="63BA4CBB"/>
    <w:rsid w:val="63CE60C7"/>
    <w:rsid w:val="63E75A88"/>
    <w:rsid w:val="6402578D"/>
    <w:rsid w:val="641F4B74"/>
    <w:rsid w:val="64252661"/>
    <w:rsid w:val="64486F95"/>
    <w:rsid w:val="6470717E"/>
    <w:rsid w:val="64876519"/>
    <w:rsid w:val="64A56B97"/>
    <w:rsid w:val="64A85D79"/>
    <w:rsid w:val="64AE26C6"/>
    <w:rsid w:val="64B46E27"/>
    <w:rsid w:val="64E556A9"/>
    <w:rsid w:val="64ED07CF"/>
    <w:rsid w:val="64F87A99"/>
    <w:rsid w:val="64FA53BB"/>
    <w:rsid w:val="64FD5FA7"/>
    <w:rsid w:val="65095591"/>
    <w:rsid w:val="65144757"/>
    <w:rsid w:val="65240694"/>
    <w:rsid w:val="652D27EE"/>
    <w:rsid w:val="654404B1"/>
    <w:rsid w:val="654E0736"/>
    <w:rsid w:val="655B553D"/>
    <w:rsid w:val="655B7E2E"/>
    <w:rsid w:val="65670581"/>
    <w:rsid w:val="657513D6"/>
    <w:rsid w:val="658E1FB1"/>
    <w:rsid w:val="659E2A46"/>
    <w:rsid w:val="659F41BF"/>
    <w:rsid w:val="65AF0979"/>
    <w:rsid w:val="65B51D67"/>
    <w:rsid w:val="65C82364"/>
    <w:rsid w:val="65C936A6"/>
    <w:rsid w:val="65DB6D58"/>
    <w:rsid w:val="65E81919"/>
    <w:rsid w:val="65F30067"/>
    <w:rsid w:val="663C7C5F"/>
    <w:rsid w:val="66477914"/>
    <w:rsid w:val="669D1BD8"/>
    <w:rsid w:val="66C01E90"/>
    <w:rsid w:val="66CA0D51"/>
    <w:rsid w:val="66D02156"/>
    <w:rsid w:val="66FE3167"/>
    <w:rsid w:val="671850B3"/>
    <w:rsid w:val="673F7930"/>
    <w:rsid w:val="67417141"/>
    <w:rsid w:val="677F6056"/>
    <w:rsid w:val="67983ABC"/>
    <w:rsid w:val="67B9299C"/>
    <w:rsid w:val="67BF1B44"/>
    <w:rsid w:val="67D02A2A"/>
    <w:rsid w:val="67E82071"/>
    <w:rsid w:val="680B5B3B"/>
    <w:rsid w:val="681B74A6"/>
    <w:rsid w:val="68213B87"/>
    <w:rsid w:val="682D3D04"/>
    <w:rsid w:val="684E77D6"/>
    <w:rsid w:val="68520577"/>
    <w:rsid w:val="687C2D74"/>
    <w:rsid w:val="68811093"/>
    <w:rsid w:val="68B7181F"/>
    <w:rsid w:val="68B73708"/>
    <w:rsid w:val="68BB03CC"/>
    <w:rsid w:val="68BC1203"/>
    <w:rsid w:val="68C335B2"/>
    <w:rsid w:val="68CA1553"/>
    <w:rsid w:val="68D77A31"/>
    <w:rsid w:val="68F064E9"/>
    <w:rsid w:val="690A5D6E"/>
    <w:rsid w:val="691177C7"/>
    <w:rsid w:val="69514BFC"/>
    <w:rsid w:val="695C2B81"/>
    <w:rsid w:val="695D3DA7"/>
    <w:rsid w:val="695D6686"/>
    <w:rsid w:val="696D441A"/>
    <w:rsid w:val="69765236"/>
    <w:rsid w:val="698024FA"/>
    <w:rsid w:val="698B192D"/>
    <w:rsid w:val="69B0517D"/>
    <w:rsid w:val="69CC46F8"/>
    <w:rsid w:val="6A2429FA"/>
    <w:rsid w:val="6A6F6AFC"/>
    <w:rsid w:val="6AAB4CB0"/>
    <w:rsid w:val="6AD95A7D"/>
    <w:rsid w:val="6AFF300A"/>
    <w:rsid w:val="6B0967D2"/>
    <w:rsid w:val="6B171A04"/>
    <w:rsid w:val="6B561487"/>
    <w:rsid w:val="6B6364BD"/>
    <w:rsid w:val="6B6926E0"/>
    <w:rsid w:val="6B7B7159"/>
    <w:rsid w:val="6B817C03"/>
    <w:rsid w:val="6B841E8D"/>
    <w:rsid w:val="6B8F555B"/>
    <w:rsid w:val="6B916358"/>
    <w:rsid w:val="6BAC7798"/>
    <w:rsid w:val="6BB27DB4"/>
    <w:rsid w:val="6BE40822"/>
    <w:rsid w:val="6BF37E9F"/>
    <w:rsid w:val="6BF73767"/>
    <w:rsid w:val="6C537AB1"/>
    <w:rsid w:val="6C6A0E2B"/>
    <w:rsid w:val="6C964109"/>
    <w:rsid w:val="6CA83FFB"/>
    <w:rsid w:val="6CA87DFD"/>
    <w:rsid w:val="6CB34B3B"/>
    <w:rsid w:val="6CC02668"/>
    <w:rsid w:val="6CE150BD"/>
    <w:rsid w:val="6CE772EA"/>
    <w:rsid w:val="6CF471E3"/>
    <w:rsid w:val="6CF5088D"/>
    <w:rsid w:val="6CF71B3F"/>
    <w:rsid w:val="6CF952B4"/>
    <w:rsid w:val="6D066806"/>
    <w:rsid w:val="6D08089B"/>
    <w:rsid w:val="6D0B1D5B"/>
    <w:rsid w:val="6D3135F4"/>
    <w:rsid w:val="6D602485"/>
    <w:rsid w:val="6DA22F30"/>
    <w:rsid w:val="6DAF7423"/>
    <w:rsid w:val="6DB660AC"/>
    <w:rsid w:val="6DB74A19"/>
    <w:rsid w:val="6E0779DC"/>
    <w:rsid w:val="6E0A2842"/>
    <w:rsid w:val="6E3222C6"/>
    <w:rsid w:val="6E380D0C"/>
    <w:rsid w:val="6E3C417A"/>
    <w:rsid w:val="6E8B16E4"/>
    <w:rsid w:val="6E9B7109"/>
    <w:rsid w:val="6EA6036C"/>
    <w:rsid w:val="6ED962E7"/>
    <w:rsid w:val="6F045C56"/>
    <w:rsid w:val="6F125ADD"/>
    <w:rsid w:val="6F356DDA"/>
    <w:rsid w:val="6F59550F"/>
    <w:rsid w:val="6F6873CF"/>
    <w:rsid w:val="6F753DFA"/>
    <w:rsid w:val="6F8227B2"/>
    <w:rsid w:val="6FA36659"/>
    <w:rsid w:val="6FB7683A"/>
    <w:rsid w:val="6FCA1239"/>
    <w:rsid w:val="6FD4771A"/>
    <w:rsid w:val="70156086"/>
    <w:rsid w:val="702A6C39"/>
    <w:rsid w:val="704141D2"/>
    <w:rsid w:val="70496352"/>
    <w:rsid w:val="706B1A0E"/>
    <w:rsid w:val="70757707"/>
    <w:rsid w:val="707A560C"/>
    <w:rsid w:val="708C5396"/>
    <w:rsid w:val="70970597"/>
    <w:rsid w:val="709C0183"/>
    <w:rsid w:val="70AE175A"/>
    <w:rsid w:val="70B61536"/>
    <w:rsid w:val="70D340B6"/>
    <w:rsid w:val="70EB02B8"/>
    <w:rsid w:val="70EB2ED6"/>
    <w:rsid w:val="70ED76C7"/>
    <w:rsid w:val="70F42ADA"/>
    <w:rsid w:val="70FD48F5"/>
    <w:rsid w:val="710E1AF9"/>
    <w:rsid w:val="711D5A16"/>
    <w:rsid w:val="712832BA"/>
    <w:rsid w:val="71285068"/>
    <w:rsid w:val="715A7A98"/>
    <w:rsid w:val="715E0807"/>
    <w:rsid w:val="71753CA0"/>
    <w:rsid w:val="717906ED"/>
    <w:rsid w:val="718F4678"/>
    <w:rsid w:val="719E1205"/>
    <w:rsid w:val="71AF2002"/>
    <w:rsid w:val="71BB412E"/>
    <w:rsid w:val="71D8006E"/>
    <w:rsid w:val="72281098"/>
    <w:rsid w:val="72297139"/>
    <w:rsid w:val="722B08F1"/>
    <w:rsid w:val="723B30F9"/>
    <w:rsid w:val="723F4D5F"/>
    <w:rsid w:val="724A3704"/>
    <w:rsid w:val="728063A7"/>
    <w:rsid w:val="72960D09"/>
    <w:rsid w:val="72A42E14"/>
    <w:rsid w:val="72B240D9"/>
    <w:rsid w:val="72C35F13"/>
    <w:rsid w:val="72CA21FE"/>
    <w:rsid w:val="73013330"/>
    <w:rsid w:val="730D1A7F"/>
    <w:rsid w:val="73137F9A"/>
    <w:rsid w:val="732F6B4F"/>
    <w:rsid w:val="735E35D8"/>
    <w:rsid w:val="736B3932"/>
    <w:rsid w:val="737A089E"/>
    <w:rsid w:val="73880BCD"/>
    <w:rsid w:val="7388368D"/>
    <w:rsid w:val="7391343C"/>
    <w:rsid w:val="73981611"/>
    <w:rsid w:val="739970F5"/>
    <w:rsid w:val="73C24192"/>
    <w:rsid w:val="73E31BE1"/>
    <w:rsid w:val="73F97190"/>
    <w:rsid w:val="7404785C"/>
    <w:rsid w:val="740E1BEA"/>
    <w:rsid w:val="740F729D"/>
    <w:rsid w:val="74220495"/>
    <w:rsid w:val="74260706"/>
    <w:rsid w:val="743A7791"/>
    <w:rsid w:val="74CF7DDD"/>
    <w:rsid w:val="74D34C17"/>
    <w:rsid w:val="74D85048"/>
    <w:rsid w:val="74F35D48"/>
    <w:rsid w:val="75045261"/>
    <w:rsid w:val="75226DAD"/>
    <w:rsid w:val="75281F95"/>
    <w:rsid w:val="755820BB"/>
    <w:rsid w:val="755F3023"/>
    <w:rsid w:val="75747E57"/>
    <w:rsid w:val="757D534F"/>
    <w:rsid w:val="757F36C5"/>
    <w:rsid w:val="7589197D"/>
    <w:rsid w:val="75A31161"/>
    <w:rsid w:val="75AB1644"/>
    <w:rsid w:val="75B86BA4"/>
    <w:rsid w:val="75C23B36"/>
    <w:rsid w:val="75D73501"/>
    <w:rsid w:val="75DB07CF"/>
    <w:rsid w:val="75E858CF"/>
    <w:rsid w:val="761905AB"/>
    <w:rsid w:val="761D3C95"/>
    <w:rsid w:val="761D6CDC"/>
    <w:rsid w:val="76273D53"/>
    <w:rsid w:val="76300070"/>
    <w:rsid w:val="76361FD5"/>
    <w:rsid w:val="764B1CBF"/>
    <w:rsid w:val="7650389E"/>
    <w:rsid w:val="7656207F"/>
    <w:rsid w:val="76593F16"/>
    <w:rsid w:val="766D6E7A"/>
    <w:rsid w:val="76766876"/>
    <w:rsid w:val="767A2538"/>
    <w:rsid w:val="767D6EE6"/>
    <w:rsid w:val="76B5566B"/>
    <w:rsid w:val="76BD7F94"/>
    <w:rsid w:val="76C44A92"/>
    <w:rsid w:val="76D26D4E"/>
    <w:rsid w:val="76E65F5E"/>
    <w:rsid w:val="77004391"/>
    <w:rsid w:val="77140608"/>
    <w:rsid w:val="771728F8"/>
    <w:rsid w:val="772511A5"/>
    <w:rsid w:val="772636E9"/>
    <w:rsid w:val="773109EF"/>
    <w:rsid w:val="779A3F44"/>
    <w:rsid w:val="77A13FDF"/>
    <w:rsid w:val="77A22BF4"/>
    <w:rsid w:val="77B61BA8"/>
    <w:rsid w:val="77D72EF4"/>
    <w:rsid w:val="77DB098D"/>
    <w:rsid w:val="780F3AA6"/>
    <w:rsid w:val="7810510F"/>
    <w:rsid w:val="781F337D"/>
    <w:rsid w:val="78244A5D"/>
    <w:rsid w:val="7826045F"/>
    <w:rsid w:val="784C3D32"/>
    <w:rsid w:val="78525509"/>
    <w:rsid w:val="7859644F"/>
    <w:rsid w:val="787603B5"/>
    <w:rsid w:val="789D5DA5"/>
    <w:rsid w:val="78A21BA4"/>
    <w:rsid w:val="78AD18DE"/>
    <w:rsid w:val="78D81510"/>
    <w:rsid w:val="78E26444"/>
    <w:rsid w:val="78E75DA3"/>
    <w:rsid w:val="78F971DB"/>
    <w:rsid w:val="78FE08A5"/>
    <w:rsid w:val="79181E66"/>
    <w:rsid w:val="791F174B"/>
    <w:rsid w:val="792417A2"/>
    <w:rsid w:val="794175E4"/>
    <w:rsid w:val="794403D0"/>
    <w:rsid w:val="79687467"/>
    <w:rsid w:val="79703A50"/>
    <w:rsid w:val="79955969"/>
    <w:rsid w:val="79983E20"/>
    <w:rsid w:val="79C67B14"/>
    <w:rsid w:val="79D9517B"/>
    <w:rsid w:val="79DB2893"/>
    <w:rsid w:val="79E41D48"/>
    <w:rsid w:val="79F53F55"/>
    <w:rsid w:val="79F74697"/>
    <w:rsid w:val="79FF4DD4"/>
    <w:rsid w:val="7A0676A2"/>
    <w:rsid w:val="7A281E19"/>
    <w:rsid w:val="7A431165"/>
    <w:rsid w:val="7A4F53D5"/>
    <w:rsid w:val="7A55391A"/>
    <w:rsid w:val="7A625229"/>
    <w:rsid w:val="7A6624AB"/>
    <w:rsid w:val="7A684727"/>
    <w:rsid w:val="7AD16771"/>
    <w:rsid w:val="7ADB48B0"/>
    <w:rsid w:val="7B05466C"/>
    <w:rsid w:val="7B152CE2"/>
    <w:rsid w:val="7B387814"/>
    <w:rsid w:val="7B3C7150"/>
    <w:rsid w:val="7B51418C"/>
    <w:rsid w:val="7B89704B"/>
    <w:rsid w:val="7BB76807"/>
    <w:rsid w:val="7BD05EC4"/>
    <w:rsid w:val="7BD209F2"/>
    <w:rsid w:val="7BE14791"/>
    <w:rsid w:val="7BE252E1"/>
    <w:rsid w:val="7BEF62B7"/>
    <w:rsid w:val="7C142DB9"/>
    <w:rsid w:val="7C15268D"/>
    <w:rsid w:val="7C18217D"/>
    <w:rsid w:val="7C2610D5"/>
    <w:rsid w:val="7C3170CD"/>
    <w:rsid w:val="7C3362DB"/>
    <w:rsid w:val="7C632D86"/>
    <w:rsid w:val="7C83492B"/>
    <w:rsid w:val="7C896BD7"/>
    <w:rsid w:val="7C985B01"/>
    <w:rsid w:val="7CA37C99"/>
    <w:rsid w:val="7CA5437A"/>
    <w:rsid w:val="7CA665FA"/>
    <w:rsid w:val="7CD7330C"/>
    <w:rsid w:val="7CF46F83"/>
    <w:rsid w:val="7D073EA8"/>
    <w:rsid w:val="7D2B6D8D"/>
    <w:rsid w:val="7D3B4375"/>
    <w:rsid w:val="7D473285"/>
    <w:rsid w:val="7D485454"/>
    <w:rsid w:val="7D5C1858"/>
    <w:rsid w:val="7D67516A"/>
    <w:rsid w:val="7D746231"/>
    <w:rsid w:val="7D807FDA"/>
    <w:rsid w:val="7D851DEF"/>
    <w:rsid w:val="7D867805"/>
    <w:rsid w:val="7DAF714D"/>
    <w:rsid w:val="7DB3477D"/>
    <w:rsid w:val="7DE97DE9"/>
    <w:rsid w:val="7DF21AFA"/>
    <w:rsid w:val="7E040C0B"/>
    <w:rsid w:val="7E3B1EB3"/>
    <w:rsid w:val="7E3C7D0D"/>
    <w:rsid w:val="7E3F45C2"/>
    <w:rsid w:val="7E3F6877"/>
    <w:rsid w:val="7E6C50BF"/>
    <w:rsid w:val="7EAC05F7"/>
    <w:rsid w:val="7ECF1219"/>
    <w:rsid w:val="7EE07A0E"/>
    <w:rsid w:val="7EF3140C"/>
    <w:rsid w:val="7F48034D"/>
    <w:rsid w:val="7F582BD6"/>
    <w:rsid w:val="7F6649C2"/>
    <w:rsid w:val="7F715E01"/>
    <w:rsid w:val="7FAF2DF8"/>
    <w:rsid w:val="7FB65F35"/>
    <w:rsid w:val="7FB87AE8"/>
    <w:rsid w:val="FB5E0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9"/>
    <w:qFormat/>
    <w:uiPriority w:val="0"/>
    <w:pPr>
      <w:snapToGrid w:val="0"/>
      <w:spacing w:before="50" w:beforeLines="50" w:after="50" w:afterLines="50" w:line="240" w:lineRule="auto"/>
      <w:jc w:val="left"/>
      <w:outlineLvl w:val="0"/>
    </w:pPr>
    <w:rPr>
      <w:rFonts w:ascii="宋体" w:hAnsi="宋体" w:eastAsia="黑体"/>
      <w:b/>
      <w:sz w:val="28"/>
      <w:szCs w:val="44"/>
    </w:rPr>
  </w:style>
  <w:style w:type="paragraph" w:styleId="3">
    <w:name w:val="heading 2"/>
    <w:basedOn w:val="1"/>
    <w:next w:val="1"/>
    <w:link w:val="55"/>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0"/>
    <w:pPr>
      <w:keepNext/>
      <w:keepLines/>
      <w:widowControl/>
      <w:spacing w:after="104" w:line="256" w:lineRule="auto"/>
      <w:ind w:left="10" w:hanging="10"/>
      <w:jc w:val="left"/>
      <w:outlineLvl w:val="3"/>
    </w:pPr>
    <w:rPr>
      <w:rFonts w:hint="eastAsia" w:ascii="微软雅黑" w:hAnsi="微软雅黑" w:eastAsia="微软雅黑"/>
      <w:color w:val="000000"/>
      <w:sz w:val="30"/>
      <w:szCs w:val="22"/>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440"/>
      <w:jc w:val="left"/>
    </w:pPr>
    <w:rPr>
      <w:rFonts w:ascii="等线" w:eastAsia="等线"/>
      <w:sz w:val="20"/>
      <w:szCs w:val="20"/>
    </w:rPr>
  </w:style>
  <w:style w:type="paragraph" w:styleId="7">
    <w:name w:val="index 8"/>
    <w:basedOn w:val="1"/>
    <w:next w:val="1"/>
    <w:qFormat/>
    <w:uiPriority w:val="0"/>
    <w:pPr>
      <w:ind w:left="1680" w:hanging="210"/>
    </w:pPr>
  </w:style>
  <w:style w:type="paragraph" w:styleId="8">
    <w:name w:val="index 5"/>
    <w:basedOn w:val="1"/>
    <w:next w:val="1"/>
    <w:qFormat/>
    <w:uiPriority w:val="0"/>
    <w:pPr>
      <w:ind w:left="1050" w:hanging="210"/>
    </w:pPr>
  </w:style>
  <w:style w:type="paragraph" w:styleId="9">
    <w:name w:val="Document Map"/>
    <w:basedOn w:val="1"/>
    <w:link w:val="51"/>
    <w:qFormat/>
    <w:uiPriority w:val="0"/>
  </w:style>
  <w:style w:type="paragraph" w:styleId="10">
    <w:name w:val="annotation text"/>
    <w:basedOn w:val="1"/>
    <w:link w:val="57"/>
    <w:qFormat/>
    <w:uiPriority w:val="0"/>
    <w:pPr>
      <w:jc w:val="left"/>
    </w:pPr>
  </w:style>
  <w:style w:type="paragraph" w:styleId="11">
    <w:name w:val="index 6"/>
    <w:basedOn w:val="1"/>
    <w:next w:val="1"/>
    <w:qFormat/>
    <w:uiPriority w:val="0"/>
    <w:pPr>
      <w:ind w:left="1260" w:hanging="210"/>
    </w:pPr>
  </w:style>
  <w:style w:type="paragraph" w:styleId="12">
    <w:name w:val="Salutation"/>
    <w:basedOn w:val="1"/>
    <w:next w:val="1"/>
    <w:qFormat/>
    <w:uiPriority w:val="0"/>
  </w:style>
  <w:style w:type="paragraph" w:styleId="13">
    <w:name w:val="Body Text"/>
    <w:basedOn w:val="1"/>
    <w:next w:val="7"/>
    <w:qFormat/>
    <w:uiPriority w:val="0"/>
    <w:pPr>
      <w:spacing w:after="120" w:afterLines="0" w:afterAutospacing="0"/>
    </w:pPr>
  </w:style>
  <w:style w:type="paragraph" w:styleId="14">
    <w:name w:val="Body Text Indent"/>
    <w:basedOn w:val="1"/>
    <w:next w:val="15"/>
    <w:qFormat/>
    <w:uiPriority w:val="0"/>
    <w:pPr>
      <w:ind w:left="482"/>
    </w:pPr>
    <w:rPr>
      <w:rFonts w:ascii="宋体" w:hAnsi="宋体"/>
      <w:b/>
      <w:bCs/>
    </w:rPr>
  </w:style>
  <w:style w:type="paragraph" w:styleId="15">
    <w:name w:val="Body Text First Indent 2"/>
    <w:basedOn w:val="14"/>
    <w:next w:val="16"/>
    <w:qFormat/>
    <w:uiPriority w:val="0"/>
    <w:pPr>
      <w:ind w:firstLine="420"/>
    </w:pPr>
  </w:style>
  <w:style w:type="paragraph" w:styleId="16">
    <w:name w:val="Plain Text"/>
    <w:basedOn w:val="1"/>
    <w:qFormat/>
    <w:uiPriority w:val="0"/>
    <w:rPr>
      <w:rFonts w:ascii="宋体" w:hAnsi="Courier New"/>
      <w:sz w:val="21"/>
      <w:szCs w:val="21"/>
    </w:rPr>
  </w:style>
  <w:style w:type="paragraph" w:styleId="17">
    <w:name w:val="index 4"/>
    <w:basedOn w:val="1"/>
    <w:next w:val="1"/>
    <w:qFormat/>
    <w:uiPriority w:val="0"/>
    <w:pPr>
      <w:ind w:left="840" w:hanging="210"/>
    </w:pPr>
  </w:style>
  <w:style w:type="paragraph" w:styleId="18">
    <w:name w:val="toc 5"/>
    <w:basedOn w:val="1"/>
    <w:next w:val="1"/>
    <w:qFormat/>
    <w:uiPriority w:val="0"/>
    <w:pPr>
      <w:ind w:left="960"/>
      <w:jc w:val="left"/>
    </w:pPr>
    <w:rPr>
      <w:rFonts w:ascii="等线" w:eastAsia="等线"/>
      <w:sz w:val="20"/>
      <w:szCs w:val="20"/>
    </w:rPr>
  </w:style>
  <w:style w:type="paragraph" w:styleId="19">
    <w:name w:val="toc 3"/>
    <w:basedOn w:val="1"/>
    <w:next w:val="1"/>
    <w:unhideWhenUsed/>
    <w:qFormat/>
    <w:uiPriority w:val="39"/>
    <w:pPr>
      <w:ind w:left="480"/>
      <w:jc w:val="left"/>
    </w:pPr>
    <w:rPr>
      <w:rFonts w:ascii="等线" w:eastAsia="等线"/>
      <w:sz w:val="22"/>
      <w:szCs w:val="22"/>
    </w:rPr>
  </w:style>
  <w:style w:type="paragraph" w:styleId="20">
    <w:name w:val="toc 8"/>
    <w:basedOn w:val="1"/>
    <w:next w:val="1"/>
    <w:qFormat/>
    <w:uiPriority w:val="0"/>
    <w:pPr>
      <w:ind w:left="1680"/>
      <w:jc w:val="left"/>
    </w:pPr>
    <w:rPr>
      <w:rFonts w:ascii="等线" w:eastAsia="等线"/>
      <w:sz w:val="20"/>
      <w:szCs w:val="20"/>
    </w:rPr>
  </w:style>
  <w:style w:type="paragraph" w:styleId="21">
    <w:name w:val="index 3"/>
    <w:basedOn w:val="1"/>
    <w:next w:val="1"/>
    <w:qFormat/>
    <w:uiPriority w:val="0"/>
    <w:pPr>
      <w:ind w:left="630" w:hanging="210"/>
    </w:pPr>
  </w:style>
  <w:style w:type="paragraph" w:styleId="22">
    <w:name w:val="Body Text Indent 2"/>
    <w:basedOn w:val="1"/>
    <w:qFormat/>
    <w:uiPriority w:val="0"/>
    <w:pPr>
      <w:ind w:firstLine="570"/>
    </w:pPr>
    <w:rPr>
      <w:rFonts w:ascii="楷体_GB2312" w:eastAsia="楷体_GB2312"/>
      <w:szCs w:val="20"/>
    </w:rPr>
  </w:style>
  <w:style w:type="paragraph" w:styleId="23">
    <w:name w:val="Balloon Text"/>
    <w:basedOn w:val="1"/>
    <w:link w:val="56"/>
    <w:qFormat/>
    <w:uiPriority w:val="0"/>
    <w:pPr>
      <w:spacing w:line="240" w:lineRule="auto"/>
    </w:pPr>
    <w:rPr>
      <w:sz w:val="18"/>
      <w:szCs w:val="18"/>
    </w:rPr>
  </w:style>
  <w:style w:type="paragraph" w:styleId="24">
    <w:name w:val="footer"/>
    <w:basedOn w:val="1"/>
    <w:qFormat/>
    <w:uiPriority w:val="0"/>
    <w:pPr>
      <w:tabs>
        <w:tab w:val="center" w:pos="4153"/>
        <w:tab w:val="right" w:pos="8306"/>
      </w:tabs>
      <w:snapToGrid w:val="0"/>
      <w:jc w:val="left"/>
    </w:pPr>
    <w:rPr>
      <w:sz w:val="18"/>
      <w:szCs w:val="18"/>
    </w:rPr>
  </w:style>
  <w:style w:type="paragraph" w:styleId="25">
    <w:name w:val="header"/>
    <w:basedOn w:val="1"/>
    <w:link w:val="5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spacing w:before="120"/>
      <w:jc w:val="left"/>
    </w:pPr>
    <w:rPr>
      <w:rFonts w:ascii="等线" w:eastAsia="等线"/>
      <w:b/>
      <w:bCs/>
    </w:rPr>
  </w:style>
  <w:style w:type="paragraph" w:styleId="27">
    <w:name w:val="toc 4"/>
    <w:basedOn w:val="1"/>
    <w:next w:val="1"/>
    <w:qFormat/>
    <w:uiPriority w:val="0"/>
    <w:pPr>
      <w:ind w:left="720"/>
      <w:jc w:val="left"/>
    </w:pPr>
    <w:rPr>
      <w:rFonts w:ascii="等线" w:eastAsia="等线"/>
      <w:sz w:val="20"/>
      <w:szCs w:val="20"/>
    </w:rPr>
  </w:style>
  <w:style w:type="paragraph" w:styleId="28">
    <w:name w:val="index heading"/>
    <w:basedOn w:val="1"/>
    <w:next w:val="29"/>
    <w:qFormat/>
    <w:uiPriority w:val="0"/>
  </w:style>
  <w:style w:type="paragraph" w:styleId="29">
    <w:name w:val="index 1"/>
    <w:basedOn w:val="1"/>
    <w:next w:val="1"/>
    <w:qFormat/>
    <w:uiPriority w:val="0"/>
    <w:pPr>
      <w:ind w:left="210" w:hanging="210"/>
    </w:pPr>
  </w:style>
  <w:style w:type="paragraph" w:styleId="30">
    <w:name w:val="footnote text"/>
    <w:basedOn w:val="1"/>
    <w:link w:val="47"/>
    <w:qFormat/>
    <w:uiPriority w:val="0"/>
    <w:pPr>
      <w:snapToGrid w:val="0"/>
      <w:jc w:val="left"/>
    </w:pPr>
    <w:rPr>
      <w:sz w:val="18"/>
      <w:szCs w:val="18"/>
    </w:rPr>
  </w:style>
  <w:style w:type="paragraph" w:styleId="31">
    <w:name w:val="toc 6"/>
    <w:basedOn w:val="1"/>
    <w:next w:val="1"/>
    <w:qFormat/>
    <w:uiPriority w:val="0"/>
    <w:pPr>
      <w:ind w:left="1200"/>
      <w:jc w:val="left"/>
    </w:pPr>
    <w:rPr>
      <w:rFonts w:ascii="等线" w:eastAsia="等线"/>
      <w:sz w:val="20"/>
      <w:szCs w:val="20"/>
    </w:rPr>
  </w:style>
  <w:style w:type="paragraph" w:styleId="32">
    <w:name w:val="index 7"/>
    <w:basedOn w:val="1"/>
    <w:next w:val="1"/>
    <w:qFormat/>
    <w:uiPriority w:val="0"/>
    <w:pPr>
      <w:ind w:left="1470" w:hanging="210"/>
    </w:pPr>
  </w:style>
  <w:style w:type="paragraph" w:styleId="33">
    <w:name w:val="index 9"/>
    <w:basedOn w:val="1"/>
    <w:next w:val="1"/>
    <w:qFormat/>
    <w:uiPriority w:val="0"/>
    <w:pPr>
      <w:ind w:left="1890" w:hanging="210"/>
    </w:pPr>
  </w:style>
  <w:style w:type="paragraph" w:styleId="34">
    <w:name w:val="table of figures"/>
    <w:basedOn w:val="1"/>
    <w:next w:val="1"/>
    <w:qFormat/>
    <w:uiPriority w:val="0"/>
    <w:pPr>
      <w:ind w:left="420" w:hanging="420"/>
    </w:pPr>
  </w:style>
  <w:style w:type="paragraph" w:styleId="35">
    <w:name w:val="toc 2"/>
    <w:basedOn w:val="1"/>
    <w:next w:val="1"/>
    <w:unhideWhenUsed/>
    <w:qFormat/>
    <w:uiPriority w:val="39"/>
    <w:pPr>
      <w:ind w:left="240"/>
      <w:jc w:val="left"/>
    </w:pPr>
    <w:rPr>
      <w:rFonts w:ascii="等线" w:eastAsia="等线"/>
      <w:b/>
      <w:bCs/>
      <w:sz w:val="22"/>
      <w:szCs w:val="22"/>
    </w:rPr>
  </w:style>
  <w:style w:type="paragraph" w:styleId="36">
    <w:name w:val="toc 9"/>
    <w:basedOn w:val="1"/>
    <w:next w:val="1"/>
    <w:qFormat/>
    <w:uiPriority w:val="0"/>
    <w:pPr>
      <w:ind w:left="1920"/>
      <w:jc w:val="left"/>
    </w:pPr>
    <w:rPr>
      <w:rFonts w:ascii="等线" w:eastAsia="等线"/>
      <w:sz w:val="20"/>
      <w:szCs w:val="20"/>
    </w:rPr>
  </w:style>
  <w:style w:type="paragraph" w:styleId="37">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rPr>
  </w:style>
  <w:style w:type="paragraph" w:styleId="38">
    <w:name w:val="index 2"/>
    <w:basedOn w:val="1"/>
    <w:next w:val="1"/>
    <w:qFormat/>
    <w:uiPriority w:val="0"/>
    <w:pPr>
      <w:ind w:left="420" w:hanging="210"/>
    </w:pPr>
  </w:style>
  <w:style w:type="paragraph" w:styleId="39">
    <w:name w:val="annotation subject"/>
    <w:basedOn w:val="10"/>
    <w:next w:val="10"/>
    <w:link w:val="60"/>
    <w:qFormat/>
    <w:uiPriority w:val="0"/>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unhideWhenUsed/>
    <w:qFormat/>
    <w:uiPriority w:val="99"/>
    <w:rPr>
      <w:color w:val="0563C1"/>
      <w:u w:val="single"/>
    </w:rPr>
  </w:style>
  <w:style w:type="character" w:styleId="45">
    <w:name w:val="annotation reference"/>
    <w:qFormat/>
    <w:uiPriority w:val="0"/>
    <w:rPr>
      <w:sz w:val="21"/>
      <w:szCs w:val="21"/>
    </w:rPr>
  </w:style>
  <w:style w:type="character" w:styleId="46">
    <w:name w:val="footnote reference"/>
    <w:qFormat/>
    <w:uiPriority w:val="0"/>
    <w:rPr>
      <w:vertAlign w:val="superscript"/>
    </w:rPr>
  </w:style>
  <w:style w:type="character" w:customStyle="1" w:styleId="47">
    <w:name w:val="脚注文本 字符"/>
    <w:link w:val="30"/>
    <w:qFormat/>
    <w:uiPriority w:val="0"/>
    <w:rPr>
      <w:kern w:val="2"/>
      <w:sz w:val="18"/>
      <w:szCs w:val="18"/>
    </w:rPr>
  </w:style>
  <w:style w:type="character" w:customStyle="1" w:styleId="48">
    <w:name w:val="font41"/>
    <w:qFormat/>
    <w:uiPriority w:val="0"/>
    <w:rPr>
      <w:rFonts w:hint="eastAsia" w:ascii="宋体" w:hAnsi="宋体" w:eastAsia="宋体" w:cs="宋体"/>
      <w:color w:val="000000"/>
      <w:sz w:val="16"/>
      <w:szCs w:val="16"/>
      <w:u w:val="none"/>
    </w:rPr>
  </w:style>
  <w:style w:type="character" w:customStyle="1" w:styleId="49">
    <w:name w:val="标题 1 字符"/>
    <w:link w:val="2"/>
    <w:qFormat/>
    <w:uiPriority w:val="0"/>
    <w:rPr>
      <w:rFonts w:ascii="宋体" w:hAnsi="宋体" w:eastAsia="黑体"/>
      <w:b/>
      <w:kern w:val="2"/>
      <w:sz w:val="28"/>
      <w:szCs w:val="44"/>
    </w:rPr>
  </w:style>
  <w:style w:type="character" w:customStyle="1" w:styleId="50">
    <w:name w:val="标题 3 字符"/>
    <w:link w:val="4"/>
    <w:semiHidden/>
    <w:qFormat/>
    <w:uiPriority w:val="0"/>
    <w:rPr>
      <w:b/>
      <w:bCs/>
      <w:kern w:val="2"/>
      <w:sz w:val="32"/>
      <w:szCs w:val="32"/>
    </w:rPr>
  </w:style>
  <w:style w:type="character" w:customStyle="1" w:styleId="51">
    <w:name w:val="文档结构图 字符"/>
    <w:link w:val="9"/>
    <w:qFormat/>
    <w:uiPriority w:val="0"/>
    <w:rPr>
      <w:kern w:val="2"/>
      <w:sz w:val="24"/>
      <w:szCs w:val="24"/>
    </w:rPr>
  </w:style>
  <w:style w:type="character" w:customStyle="1" w:styleId="52">
    <w:name w:val="font01"/>
    <w:qFormat/>
    <w:uiPriority w:val="0"/>
    <w:rPr>
      <w:rFonts w:ascii="Wingdings 2" w:hAnsi="Wingdings 2" w:eastAsia="Wingdings 2" w:cs="Wingdings 2"/>
      <w:color w:val="000000"/>
      <w:sz w:val="16"/>
      <w:szCs w:val="16"/>
      <w:u w:val="none"/>
    </w:rPr>
  </w:style>
  <w:style w:type="character" w:customStyle="1" w:styleId="53">
    <w:name w:val="font11"/>
    <w:qFormat/>
    <w:uiPriority w:val="0"/>
    <w:rPr>
      <w:rFonts w:hint="eastAsia" w:ascii="宋体" w:hAnsi="宋体" w:eastAsia="宋体" w:cs="宋体"/>
      <w:color w:val="000000"/>
      <w:sz w:val="16"/>
      <w:szCs w:val="16"/>
      <w:u w:val="none"/>
    </w:rPr>
  </w:style>
  <w:style w:type="character" w:customStyle="1" w:styleId="54">
    <w:name w:val="页眉 字符"/>
    <w:link w:val="25"/>
    <w:qFormat/>
    <w:uiPriority w:val="0"/>
    <w:rPr>
      <w:kern w:val="2"/>
      <w:sz w:val="18"/>
      <w:szCs w:val="18"/>
    </w:rPr>
  </w:style>
  <w:style w:type="character" w:customStyle="1" w:styleId="55">
    <w:name w:val="标题 2 字符"/>
    <w:link w:val="3"/>
    <w:semiHidden/>
    <w:qFormat/>
    <w:uiPriority w:val="0"/>
    <w:rPr>
      <w:rFonts w:ascii="等线 Light" w:hAnsi="等线 Light" w:eastAsia="等线 Light" w:cs="Times New Roman"/>
      <w:b/>
      <w:bCs/>
      <w:kern w:val="2"/>
      <w:sz w:val="32"/>
      <w:szCs w:val="32"/>
    </w:rPr>
  </w:style>
  <w:style w:type="character" w:customStyle="1" w:styleId="56">
    <w:name w:val="批注框文本 字符"/>
    <w:link w:val="23"/>
    <w:qFormat/>
    <w:uiPriority w:val="0"/>
    <w:rPr>
      <w:kern w:val="2"/>
      <w:sz w:val="18"/>
      <w:szCs w:val="18"/>
    </w:rPr>
  </w:style>
  <w:style w:type="character" w:customStyle="1" w:styleId="57">
    <w:name w:val="批注文字 字符"/>
    <w:link w:val="10"/>
    <w:qFormat/>
    <w:uiPriority w:val="0"/>
    <w:rPr>
      <w:kern w:val="2"/>
      <w:sz w:val="24"/>
      <w:szCs w:val="24"/>
    </w:rPr>
  </w:style>
  <w:style w:type="character" w:customStyle="1" w:styleId="58">
    <w:name w:val="font21"/>
    <w:qFormat/>
    <w:uiPriority w:val="0"/>
    <w:rPr>
      <w:rFonts w:hint="eastAsia" w:ascii="宋体" w:hAnsi="宋体" w:eastAsia="宋体" w:cs="宋体"/>
      <w:color w:val="000000"/>
      <w:sz w:val="16"/>
      <w:szCs w:val="16"/>
      <w:u w:val="none"/>
    </w:rPr>
  </w:style>
  <w:style w:type="character" w:customStyle="1" w:styleId="59">
    <w:name w:val="标题 4 字符"/>
    <w:link w:val="5"/>
    <w:qFormat/>
    <w:uiPriority w:val="0"/>
    <w:rPr>
      <w:rFonts w:hint="eastAsia" w:ascii="微软雅黑" w:hAnsi="微软雅黑" w:eastAsia="微软雅黑" w:cs="微软雅黑"/>
      <w:color w:val="000000"/>
      <w:sz w:val="30"/>
    </w:rPr>
  </w:style>
  <w:style w:type="character" w:customStyle="1" w:styleId="60">
    <w:name w:val="批注主题 字符"/>
    <w:link w:val="39"/>
    <w:qFormat/>
    <w:uiPriority w:val="0"/>
    <w:rPr>
      <w:b/>
      <w:bCs/>
      <w:kern w:val="2"/>
      <w:sz w:val="24"/>
      <w:szCs w:val="24"/>
    </w:rPr>
  </w:style>
  <w:style w:type="paragraph" w:customStyle="1" w:styleId="61">
    <w:name w:val="Char"/>
    <w:basedOn w:val="1"/>
    <w:qFormat/>
    <w:uiPriority w:val="0"/>
    <w:pPr>
      <w:widowControl/>
      <w:spacing w:after="160" w:line="240" w:lineRule="exact"/>
      <w:jc w:val="left"/>
    </w:pPr>
    <w:rPr>
      <w:rFonts w:ascii="Arial" w:hAnsi="Arial" w:eastAsia="Times New Roman" w:cs="Verdana"/>
      <w:b/>
      <w:kern w:val="0"/>
      <w:lang w:eastAsia="en-US"/>
    </w:rPr>
  </w:style>
  <w:style w:type="paragraph" w:customStyle="1" w:styleId="62">
    <w:name w:val="Char Char Char Char Char Char Char Char Char Char Char Char Char"/>
    <w:basedOn w:val="1"/>
    <w:next w:val="1"/>
    <w:qFormat/>
    <w:uiPriority w:val="0"/>
    <w:pPr>
      <w:ind w:firstLine="200"/>
    </w:pPr>
  </w:style>
  <w:style w:type="paragraph" w:customStyle="1" w:styleId="63">
    <w:name w:val="目录标题"/>
    <w:basedOn w:val="2"/>
    <w:next w:val="1"/>
    <w:qFormat/>
    <w:uiPriority w:val="39"/>
    <w:pPr>
      <w:widowControl/>
      <w:spacing w:before="480" w:after="0" w:line="276" w:lineRule="auto"/>
      <w:outlineLvl w:val="9"/>
    </w:pPr>
    <w:rPr>
      <w:rFonts w:ascii="等线 Light" w:hAnsi="等线 Light" w:eastAsia="等线 Light"/>
      <w:color w:val="2F5496"/>
      <w:kern w:val="0"/>
      <w:szCs w:val="28"/>
    </w:rPr>
  </w:style>
  <w:style w:type="paragraph" w:customStyle="1" w:styleId="64">
    <w:name w:val="标题②"/>
    <w:basedOn w:val="3"/>
    <w:next w:val="3"/>
    <w:qFormat/>
    <w:uiPriority w:val="0"/>
    <w:pPr>
      <w:widowControl/>
      <w:spacing w:before="50" w:beforeLines="50" w:after="50" w:afterLines="50" w:line="240" w:lineRule="auto"/>
      <w:jc w:val="left"/>
    </w:pPr>
    <w:rPr>
      <w:rFonts w:ascii="楷体_GB2312" w:hAnsi="楷体_GB2312" w:eastAsia="楷体"/>
      <w:color w:val="000000"/>
      <w:sz w:val="24"/>
    </w:rPr>
  </w:style>
  <w:style w:type="paragraph" w:customStyle="1" w:styleId="65">
    <w:name w:val="表格"/>
    <w:basedOn w:val="1"/>
    <w:next w:val="1"/>
    <w:qFormat/>
    <w:uiPriority w:val="0"/>
    <w:pPr>
      <w:adjustRightInd w:val="0"/>
      <w:snapToGrid w:val="0"/>
      <w:spacing w:line="180" w:lineRule="exact"/>
      <w:ind w:firstLine="0" w:firstLineChars="0"/>
    </w:pPr>
    <w:rPr>
      <w:sz w:val="13"/>
    </w:rPr>
  </w:style>
  <w:style w:type="paragraph" w:customStyle="1" w:styleId="66">
    <w:name w:val="标题2"/>
    <w:basedOn w:val="3"/>
    <w:next w:val="3"/>
    <w:qFormat/>
    <w:uiPriority w:val="0"/>
    <w:pPr>
      <w:spacing w:before="50" w:beforeLines="50" w:after="50" w:afterLines="50" w:line="240" w:lineRule="auto"/>
      <w:jc w:val="left"/>
    </w:pPr>
    <w:rPr>
      <w:rFonts w:ascii="楷体_GB2312" w:hAnsi="楷体_GB2312" w:eastAsia="楷体"/>
      <w:color w:val="000000"/>
      <w:sz w:val="24"/>
    </w:rPr>
  </w:style>
  <w:style w:type="paragraph" w:customStyle="1" w:styleId="67">
    <w:name w:val="默认段落字体 Para Char Char Char Char"/>
    <w:basedOn w:val="1"/>
    <w:qFormat/>
    <w:uiPriority w:val="0"/>
    <w:rPr>
      <w:szCs w:val="20"/>
    </w:rPr>
  </w:style>
  <w:style w:type="paragraph" w:customStyle="1" w:styleId="68">
    <w:name w:val="标题3"/>
    <w:basedOn w:val="4"/>
    <w:next w:val="4"/>
    <w:qFormat/>
    <w:uiPriority w:val="0"/>
    <w:pPr>
      <w:spacing w:before="100" w:after="100" w:line="240" w:lineRule="auto"/>
      <w:jc w:val="left"/>
    </w:pPr>
    <w:rPr>
      <w:rFonts w:eastAsia="楷体"/>
      <w:b w:val="0"/>
      <w:sz w:val="24"/>
    </w:rPr>
  </w:style>
  <w:style w:type="paragraph" w:customStyle="1" w:styleId="69">
    <w:name w:val="Char4 Char Char Char"/>
    <w:basedOn w:val="1"/>
    <w:qFormat/>
    <w:uiPriority w:val="0"/>
    <w:pPr>
      <w:adjustRightInd w:val="0"/>
      <w:snapToGrid w:val="0"/>
      <w:ind w:firstLine="200"/>
    </w:pPr>
  </w:style>
  <w:style w:type="paragraph" w:customStyle="1" w:styleId="70">
    <w:name w:val="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1">
    <w:name w:val="四号正文"/>
    <w:basedOn w:val="1"/>
    <w:qFormat/>
    <w:uiPriority w:val="0"/>
    <w:pPr>
      <w:spacing w:line="360" w:lineRule="auto"/>
    </w:pPr>
    <w:rPr>
      <w:rFonts w:ascii="??" w:hAnsi="??" w:eastAsia="宋体"/>
      <w:color w:val="000000"/>
      <w:kern w:val="0"/>
      <w:sz w:val="28"/>
      <w:szCs w:val="21"/>
    </w:rPr>
  </w:style>
  <w:style w:type="paragraph" w:customStyle="1" w:styleId="7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customStyle="1" w:styleId="73">
    <w:name w:val="List Paragraph"/>
    <w:basedOn w:val="1"/>
    <w:qFormat/>
    <w:uiPriority w:val="0"/>
    <w:pPr>
      <w:ind w:firstLine="420" w:firstLineChars="200"/>
    </w:pPr>
    <w:rPr>
      <w:rFonts w:ascii="Calibri" w:hAnsi="Calibri"/>
      <w:szCs w:val="22"/>
    </w:rPr>
  </w:style>
  <w:style w:type="character" w:customStyle="1" w:styleId="74">
    <w:name w:val="font31"/>
    <w:basedOn w:val="42"/>
    <w:qFormat/>
    <w:uiPriority w:val="0"/>
    <w:rPr>
      <w:rFonts w:hint="eastAsia" w:ascii="仿宋_GB2312" w:eastAsia="仿宋_GB2312" w:cs="仿宋_GB2312"/>
      <w:b/>
      <w:bCs/>
      <w:color w:val="000000"/>
      <w:sz w:val="21"/>
      <w:szCs w:val="21"/>
      <w:u w:val="none"/>
    </w:rPr>
  </w:style>
  <w:style w:type="character" w:customStyle="1" w:styleId="75">
    <w:name w:val="font61"/>
    <w:basedOn w:val="42"/>
    <w:qFormat/>
    <w:uiPriority w:val="0"/>
    <w:rPr>
      <w:rFonts w:hint="default" w:ascii="Arial" w:hAnsi="Arial" w:cs="Arial"/>
      <w:color w:val="000000"/>
      <w:sz w:val="20"/>
      <w:szCs w:val="20"/>
      <w:u w:val="none"/>
    </w:rPr>
  </w:style>
  <w:style w:type="character" w:customStyle="1" w:styleId="76">
    <w:name w:val="Char Char3"/>
    <w:qFormat/>
    <w:uiPriority w:val="0"/>
    <w:rPr>
      <w:rFonts w:ascii="Times New Roman" w:hAnsi="Times New Roman" w:eastAsia="宋体"/>
      <w:kern w:val="2"/>
      <w:sz w:val="24"/>
      <w:lang w:val="en-US" w:eastAsia="zh-CN"/>
    </w:rPr>
  </w:style>
  <w:style w:type="character" w:customStyle="1" w:styleId="77">
    <w:name w:val="font101"/>
    <w:basedOn w:val="4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13384</Words>
  <Characters>15725</Characters>
  <Lines>100</Lines>
  <Paragraphs>28</Paragraphs>
  <TotalTime>10</TotalTime>
  <ScaleCrop>false</ScaleCrop>
  <LinksUpToDate>false</LinksUpToDate>
  <CharactersWithSpaces>15893</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2020-11-03T00:17:00Z</dcterms:created>
  <dc:creator>friend78</dc:creator>
  <cp:lastModifiedBy>user</cp:lastModifiedBy>
  <cp:lastPrinted>2023-01-06T11:13:00Z</cp:lastPrinted>
  <dcterms:modified xsi:type="dcterms:W3CDTF">2026-04-30T16:14:49Z</dcterms:modified>
  <dc:title>项目绩效评价报告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BB594A54D8194DF0B6B72938FDD2228C</vt:lpwstr>
  </property>
</Properties>
</file>