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both"/>
        <w:rPr>
          <w:rFonts w:ascii="Times New Roman" w:hAnsi="Times New Roman" w:cs="Times New Roman"/>
          <w:sz w:val="20"/>
        </w:rPr>
      </w:pPr>
      <w:bookmarkStart w:id="73" w:name="_GoBack"/>
      <w:bookmarkEnd w:id="73"/>
      <w:r>
        <mc:AlternateContent>
          <mc:Choice Requires="wps">
            <w:drawing>
              <wp:anchor distT="0" distB="0" distL="114300" distR="114300" simplePos="0" relativeHeight="251659264" behindDoc="0" locked="0" layoutInCell="1" allowOverlap="1">
                <wp:simplePos x="0" y="0"/>
                <wp:positionH relativeFrom="column">
                  <wp:posOffset>1452245</wp:posOffset>
                </wp:positionH>
                <wp:positionV relativeFrom="paragraph">
                  <wp:posOffset>-43180</wp:posOffset>
                </wp:positionV>
                <wp:extent cx="540385" cy="1064260"/>
                <wp:effectExtent l="0" t="0" r="0" b="0"/>
                <wp:wrapNone/>
                <wp:docPr id="9" name="矩形 9"/>
                <wp:cNvGraphicFramePr/>
                <a:graphic xmlns:a="http://schemas.openxmlformats.org/drawingml/2006/main">
                  <a:graphicData uri="http://schemas.microsoft.com/office/word/2010/wordprocessingShape">
                    <wps:wsp>
                      <wps:cNvSpPr/>
                      <wps:spPr>
                        <a:xfrm flipH="1">
                          <a:off x="0" y="0"/>
                          <a:ext cx="540385" cy="1064260"/>
                        </a:xfrm>
                        <a:prstGeom prst="rect">
                          <a:avLst/>
                        </a:prstGeom>
                        <a:noFill/>
                        <a:ln>
                          <a:noFill/>
                        </a:ln>
                      </wps:spPr>
                      <wps:txbx>
                        <w:txbxContent>
                          <w:p>
                            <w:pPr>
                              <w:kinsoku w:val="0"/>
                              <w:overflowPunct w:val="0"/>
                              <w:ind w:firstLine="640"/>
                              <w:textAlignment w:val="baseline"/>
                              <w:rPr>
                                <w:rFonts w:ascii="Calibri" w:hAnsi="Calibri" w:cs="华康行楷体 W5"/>
                                <w:color w:val="000000"/>
                                <w:kern w:val="24"/>
                                <w:sz w:val="32"/>
                                <w:szCs w:val="32"/>
                              </w:rPr>
                            </w:pPr>
                            <w:r>
                              <w:rPr>
                                <w:rFonts w:ascii="Calibri" w:hAnsi="Calibri" w:cs="华康行楷体 W5"/>
                                <w:color w:val="000000"/>
                                <w:kern w:val="24"/>
                                <w:sz w:val="32"/>
                                <w:szCs w:val="32"/>
                              </w:rPr>
                              <w:t xml:space="preserve"> </w:t>
                            </w:r>
                            <w:r>
                              <w:rPr>
                                <w:rFonts w:hint="eastAsia" w:ascii="Calibri" w:cs="华康行楷体 W5"/>
                                <w:b/>
                                <w:bCs/>
                                <w:color w:val="000000"/>
                                <w:kern w:val="24"/>
                                <w:sz w:val="44"/>
                                <w:szCs w:val="44"/>
                              </w:rPr>
                              <w:t>融  策</w:t>
                            </w:r>
                          </w:p>
                        </w:txbxContent>
                      </wps:txbx>
                      <wps:bodyPr anchor="ctr" anchorCtr="0" upright="1">
                        <a:spAutoFit/>
                      </wps:bodyPr>
                    </wps:wsp>
                  </a:graphicData>
                </a:graphic>
              </wp:anchor>
            </w:drawing>
          </mc:Choice>
          <mc:Fallback>
            <w:pict>
              <v:rect id="_x0000_s1026" o:spid="_x0000_s1026" o:spt="1" style="position:absolute;left:0pt;flip:x;margin-left:114.35pt;margin-top:-3.4pt;height:83.8pt;width:42.55pt;z-index:251659264;v-text-anchor:middle;mso-width-relative:page;mso-height-relative:page;" filled="f" stroked="f" coordsize="21600,21600" o:gfxdata="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BYAAABkcnMvUEsBAhQA&#10;FAAAAAgAh07iQHhJ0ZTXAAAACgEAAA8AAAAAAAAAAQAgAAAAOAAAAGRycy9kb3ducmV2LnhtbFBL&#10;AQIUABQAAAAIAIdO4kAJe6k9qAEAADIDAAAOAAAAAAAAAAEAIAAAADwBAABkcnMvZTJvRG9jLnht&#10;bFBLBQYAAAAABgAGAFkBAABWBQAAAAA=&#10;">
                <v:fill on="f" focussize="0,0"/>
                <v:stroke on="f"/>
                <v:imagedata o:title=""/>
                <o:lock v:ext="edit" aspectratio="f"/>
                <v:textbox style="mso-fit-shape-to-text:t;">
                  <w:txbxContent>
                    <w:p>
                      <w:pPr>
                        <w:kinsoku w:val="0"/>
                        <w:overflowPunct w:val="0"/>
                        <w:ind w:firstLine="640"/>
                        <w:textAlignment w:val="baseline"/>
                        <w:rPr>
                          <w:rFonts w:ascii="Calibri" w:hAnsi="Calibri" w:cs="华康行楷体 W5"/>
                          <w:color w:val="000000"/>
                          <w:kern w:val="24"/>
                          <w:sz w:val="32"/>
                          <w:szCs w:val="32"/>
                        </w:rPr>
                      </w:pPr>
                      <w:r>
                        <w:rPr>
                          <w:rFonts w:ascii="Calibri" w:hAnsi="Calibri" w:cs="华康行楷体 W5"/>
                          <w:color w:val="000000"/>
                          <w:kern w:val="24"/>
                          <w:sz w:val="32"/>
                          <w:szCs w:val="32"/>
                        </w:rPr>
                        <w:t xml:space="preserve"> </w:t>
                      </w:r>
                      <w:r>
                        <w:rPr>
                          <w:rFonts w:hint="eastAsia" w:ascii="Calibri" w:cs="华康行楷体 W5"/>
                          <w:b/>
                          <w:bCs/>
                          <w:color w:val="000000"/>
                          <w:kern w:val="24"/>
                          <w:sz w:val="44"/>
                          <w:szCs w:val="44"/>
                        </w:rPr>
                        <w:t>融  策</w:t>
                      </w:r>
                    </w:p>
                  </w:txbxContent>
                </v:textbox>
              </v:rect>
            </w:pict>
          </mc:Fallback>
        </mc:AlternateContent>
      </w:r>
      <w:r>
        <w:drawing>
          <wp:inline distT="0" distB="0" distL="114300" distR="114300">
            <wp:extent cx="1209040" cy="1215390"/>
            <wp:effectExtent l="0" t="0" r="10160" b="3810"/>
            <wp:docPr id="8" name="图片 3" descr="40298525532955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402985255329551457"/>
                    <pic:cNvPicPr>
                      <a:picLocks noChangeAspect="1"/>
                    </pic:cNvPicPr>
                  </pic:nvPicPr>
                  <pic:blipFill>
                    <a:blip r:embed="rId12"/>
                    <a:stretch>
                      <a:fillRect/>
                    </a:stretch>
                  </pic:blipFill>
                  <pic:spPr>
                    <a:xfrm>
                      <a:off x="0" y="0"/>
                      <a:ext cx="1209040" cy="1215390"/>
                    </a:xfrm>
                    <a:prstGeom prst="rect">
                      <a:avLst/>
                    </a:prstGeom>
                    <a:solidFill>
                      <a:srgbClr val="FFFFFF"/>
                    </a:solidFill>
                    <a:ln>
                      <a:noFill/>
                    </a:ln>
                  </pic:spPr>
                </pic:pic>
              </a:graphicData>
            </a:graphic>
          </wp:inline>
        </w:drawing>
      </w:r>
    </w:p>
    <w:p>
      <w:pPr>
        <w:widowControl/>
        <w:spacing w:after="172" w:line="259" w:lineRule="auto"/>
        <w:ind w:firstLine="0" w:firstLineChars="0"/>
        <w:jc w:val="left"/>
        <w:rPr>
          <w:rFonts w:hint="default" w:ascii="Times New Roman" w:hAnsi="Times New Roman" w:cs="Times New Roman"/>
          <w:b/>
          <w:bCs/>
          <w:sz w:val="44"/>
          <w:szCs w:val="44"/>
          <w:highlight w:val="none"/>
          <w:lang w:eastAsia="zh-CN"/>
        </w:rPr>
      </w:pPr>
    </w:p>
    <w:p>
      <w:pPr>
        <w:widowControl/>
        <w:spacing w:after="172" w:line="259" w:lineRule="auto"/>
        <w:ind w:firstLine="0" w:firstLineChars="0"/>
        <w:jc w:val="both"/>
        <w:rPr>
          <w:rFonts w:hint="default" w:ascii="Times New Roman" w:hAnsi="Times New Roman" w:cs="Times New Roman"/>
          <w:b/>
          <w:bCs/>
          <w:sz w:val="44"/>
          <w:szCs w:val="44"/>
          <w:highlight w:val="none"/>
          <w:lang w:eastAsia="zh-CN"/>
        </w:rPr>
      </w:pPr>
    </w:p>
    <w:p>
      <w:pPr>
        <w:pStyle w:val="13"/>
        <w:rPr>
          <w:rFonts w:hint="default" w:ascii="Times New Roman" w:hAnsi="Times New Roman" w:cs="Times New Roman"/>
          <w:b/>
          <w:bCs/>
          <w:sz w:val="44"/>
          <w:szCs w:val="44"/>
          <w:highlight w:val="none"/>
          <w:lang w:eastAsia="zh-CN"/>
        </w:rPr>
      </w:pPr>
    </w:p>
    <w:p>
      <w:pPr>
        <w:pStyle w:val="7"/>
        <w:rPr>
          <w:rFonts w:hint="default"/>
          <w:lang w:eastAsia="zh-CN"/>
        </w:rPr>
      </w:pPr>
    </w:p>
    <w:p>
      <w:pPr>
        <w:pStyle w:val="7"/>
        <w:rPr>
          <w:rFonts w:hint="default"/>
          <w:lang w:eastAsia="zh-CN"/>
        </w:rPr>
      </w:pPr>
    </w:p>
    <w:p>
      <w:pPr>
        <w:pStyle w:val="13"/>
        <w:rPr>
          <w:rFonts w:hint="default"/>
          <w:lang w:eastAsia="zh-CN"/>
        </w:rPr>
      </w:pPr>
    </w:p>
    <w:p>
      <w:pPr>
        <w:pStyle w:val="24"/>
        <w:autoSpaceDE w:val="0"/>
        <w:autoSpaceDN w:val="0"/>
        <w:spacing w:line="600" w:lineRule="exact"/>
        <w:ind w:firstLine="0" w:firstLineChars="0"/>
        <w:jc w:val="center"/>
        <w:rPr>
          <w:rFonts w:hint="eastAsia" w:ascii="Times New Roman" w:hAnsi="Times New Roman" w:eastAsia="方正小标宋简体" w:cs="Times New Roman"/>
          <w:kern w:val="0"/>
          <w:sz w:val="44"/>
          <w:szCs w:val="44"/>
          <w:lang w:val="en-US" w:eastAsia="zh-CN" w:bidi="zh-CN"/>
        </w:rPr>
      </w:pPr>
      <w:r>
        <w:rPr>
          <w:rFonts w:hint="eastAsia" w:ascii="Times New Roman" w:hAnsi="Times New Roman" w:eastAsia="方正小标宋简体" w:cs="Times New Roman"/>
          <w:kern w:val="0"/>
          <w:sz w:val="44"/>
          <w:szCs w:val="44"/>
          <w:lang w:val="en-US" w:eastAsia="zh-CN" w:bidi="zh-CN"/>
        </w:rPr>
        <w:t>阿坝县残疾人联合会</w:t>
      </w:r>
    </w:p>
    <w:p>
      <w:pPr>
        <w:pStyle w:val="24"/>
        <w:autoSpaceDE w:val="0"/>
        <w:autoSpaceDN w:val="0"/>
        <w:spacing w:line="600" w:lineRule="exact"/>
        <w:ind w:firstLine="0" w:firstLineChars="0"/>
        <w:jc w:val="center"/>
        <w:rPr>
          <w:rFonts w:hint="default" w:ascii="Times New Roman" w:hAnsi="Times New Roman" w:eastAsia="方正小标宋简体" w:cs="Times New Roman"/>
          <w:kern w:val="0"/>
          <w:sz w:val="44"/>
          <w:szCs w:val="44"/>
          <w:lang w:val="en-US" w:eastAsia="zh-CN" w:bidi="zh-CN"/>
        </w:rPr>
      </w:pPr>
      <w:r>
        <w:rPr>
          <w:rFonts w:hint="eastAsia" w:ascii="Times New Roman" w:hAnsi="Times New Roman" w:eastAsia="方正小标宋简体" w:cs="Times New Roman"/>
          <w:kern w:val="0"/>
          <w:sz w:val="44"/>
          <w:szCs w:val="44"/>
          <w:lang w:val="en-US" w:eastAsia="zh-CN" w:bidi="zh-CN"/>
        </w:rPr>
        <w:t>2022年部门整体支出</w:t>
      </w:r>
      <w:r>
        <w:rPr>
          <w:rFonts w:hint="default" w:ascii="Times New Roman" w:hAnsi="Times New Roman" w:eastAsia="方正小标宋简体" w:cs="Times New Roman"/>
          <w:kern w:val="0"/>
          <w:sz w:val="44"/>
          <w:szCs w:val="44"/>
          <w:lang w:val="en-US" w:eastAsia="zh-CN" w:bidi="zh-CN"/>
        </w:rPr>
        <w:t>绩效评价报告</w:t>
      </w:r>
    </w:p>
    <w:p>
      <w:pPr>
        <w:spacing w:line="240" w:lineRule="auto"/>
        <w:ind w:firstLine="0" w:firstLineChars="0"/>
        <w:jc w:val="center"/>
        <w:rPr>
          <w:rFonts w:hint="default" w:ascii="黑体" w:hAnsi="黑体" w:eastAsia="黑体" w:cs="Times New Roman"/>
          <w:b/>
          <w:sz w:val="32"/>
          <w:szCs w:val="32"/>
        </w:rPr>
      </w:pPr>
      <w:r>
        <w:rPr>
          <w:rFonts w:hint="default" w:ascii="黑体" w:hAnsi="黑体" w:eastAsia="黑体" w:cs="Times New Roman"/>
          <w:b/>
          <w:sz w:val="32"/>
          <w:szCs w:val="32"/>
        </w:rPr>
        <w:t>川</w:t>
      </w:r>
      <w:r>
        <w:rPr>
          <w:rFonts w:hint="default" w:ascii="黑体" w:hAnsi="黑体" w:eastAsia="黑体" w:cs="Times New Roman"/>
          <w:b/>
          <w:sz w:val="32"/>
          <w:szCs w:val="32"/>
          <w:lang w:val="en-US" w:eastAsia="zh-CN"/>
        </w:rPr>
        <w:t>融策</w:t>
      </w:r>
      <w:r>
        <w:rPr>
          <w:rFonts w:hint="default" w:ascii="黑体" w:hAnsi="黑体" w:eastAsia="黑体" w:cs="Times New Roman"/>
          <w:b/>
          <w:sz w:val="32"/>
          <w:szCs w:val="32"/>
        </w:rPr>
        <w:t>绩评〔202</w:t>
      </w:r>
      <w:r>
        <w:rPr>
          <w:rFonts w:hint="eastAsia" w:ascii="黑体" w:hAnsi="黑体" w:eastAsia="黑体" w:cs="Times New Roman"/>
          <w:b/>
          <w:sz w:val="32"/>
          <w:szCs w:val="32"/>
          <w:lang w:val="en-US" w:eastAsia="zh-CN"/>
        </w:rPr>
        <w:t>3</w:t>
      </w:r>
      <w:r>
        <w:rPr>
          <w:rFonts w:hint="default" w:ascii="黑体" w:hAnsi="黑体" w:eastAsia="黑体" w:cs="Times New Roman"/>
          <w:b/>
          <w:sz w:val="32"/>
          <w:szCs w:val="32"/>
        </w:rPr>
        <w:t>〕第</w:t>
      </w:r>
      <w:r>
        <w:rPr>
          <w:rFonts w:hint="eastAsia" w:ascii="黑体" w:hAnsi="黑体" w:eastAsia="黑体" w:cs="Times New Roman"/>
          <w:b/>
          <w:sz w:val="32"/>
          <w:szCs w:val="32"/>
          <w:lang w:val="en-US" w:eastAsia="zh-CN"/>
        </w:rPr>
        <w:t>××</w:t>
      </w:r>
      <w:r>
        <w:rPr>
          <w:rFonts w:hint="default" w:ascii="黑体" w:hAnsi="黑体" w:eastAsia="黑体" w:cs="Times New Roman"/>
          <w:b/>
          <w:sz w:val="32"/>
          <w:szCs w:val="32"/>
        </w:rPr>
        <w:t>号</w:t>
      </w:r>
    </w:p>
    <w:p>
      <w:pPr>
        <w:pStyle w:val="24"/>
        <w:autoSpaceDE w:val="0"/>
        <w:autoSpaceDN w:val="0"/>
        <w:spacing w:line="600" w:lineRule="exact"/>
        <w:ind w:firstLine="0" w:firstLineChars="0"/>
        <w:jc w:val="center"/>
        <w:rPr>
          <w:rFonts w:hint="default" w:ascii="黑体" w:hAnsi="黑体" w:eastAsia="黑体" w:cs="Times New Roman"/>
          <w:b/>
          <w:sz w:val="32"/>
          <w:szCs w:val="32"/>
        </w:rPr>
      </w:pPr>
      <w:r>
        <w:rPr>
          <w:rFonts w:hint="eastAsia" w:ascii="Times New Roman" w:hAnsi="Times New Roman" w:eastAsia="方正小标宋简体" w:cs="Times New Roman"/>
          <w:kern w:val="0"/>
          <w:sz w:val="44"/>
          <w:szCs w:val="44"/>
          <w:lang w:val="en-US" w:eastAsia="zh-CN" w:bidi="zh-CN"/>
        </w:rPr>
        <w:t>（征求意见稿）</w:t>
      </w:r>
    </w:p>
    <w:p>
      <w:pPr>
        <w:rPr>
          <w:rFonts w:hint="default"/>
          <w:highlight w:val="none"/>
        </w:rPr>
      </w:pPr>
    </w:p>
    <w:p>
      <w:pPr>
        <w:pStyle w:val="13"/>
        <w:rPr>
          <w:rFonts w:hint="default"/>
          <w:highlight w:val="none"/>
        </w:rPr>
      </w:pPr>
    </w:p>
    <w:p>
      <w:pPr>
        <w:pStyle w:val="7"/>
        <w:rPr>
          <w:rFonts w:hint="default"/>
        </w:rPr>
      </w:pPr>
    </w:p>
    <w:p>
      <w:pPr>
        <w:autoSpaceDE w:val="0"/>
        <w:autoSpaceDN w:val="0"/>
        <w:spacing w:line="600" w:lineRule="exact"/>
        <w:ind w:firstLine="0" w:firstLineChars="0"/>
        <w:jc w:val="center"/>
        <w:rPr>
          <w:rFonts w:ascii="Times New Roman" w:hAnsi="Times New Roman" w:eastAsia="黑体" w:cs="Times New Roman"/>
          <w:b/>
          <w:bCs/>
          <w:color w:val="000000"/>
          <w:w w:val="90"/>
          <w:kern w:val="0"/>
          <w:sz w:val="44"/>
          <w:szCs w:val="44"/>
          <w:lang w:val="zh-CN" w:bidi="zh-CN"/>
        </w:rPr>
      </w:pPr>
      <w:r>
        <w:rPr>
          <w:rFonts w:ascii="Times New Roman" w:hAnsi="Times New Roman" w:eastAsia="黑体" w:cs="Times New Roman"/>
          <w:b/>
          <w:bCs/>
          <w:color w:val="000000"/>
          <w:w w:val="90"/>
          <w:kern w:val="0"/>
          <w:sz w:val="44"/>
          <w:szCs w:val="44"/>
          <w:lang w:val="zh-CN" w:bidi="zh-CN"/>
        </w:rPr>
        <w:t>四 川 融 策 会 计 师 事 务 所 有 限 公 司</w:t>
      </w:r>
    </w:p>
    <w:p>
      <w:pPr>
        <w:spacing w:line="600" w:lineRule="exact"/>
        <w:ind w:firstLine="0" w:firstLineChars="0"/>
        <w:jc w:val="center"/>
        <w:rPr>
          <w:rFonts w:ascii="Times New Roman" w:hAnsi="Times New Roman" w:eastAsia="黑体" w:cs="Times New Roman"/>
          <w:b/>
          <w:bCs/>
          <w:color w:val="000000"/>
          <w:sz w:val="44"/>
          <w:szCs w:val="44"/>
          <w:lang w:val="en-US"/>
        </w:rPr>
      </w:pPr>
      <w:r>
        <w:rPr>
          <w:rFonts w:ascii="Times New Roman" w:hAnsi="Times New Roman" w:eastAsia="黑体" w:cs="Times New Roman"/>
          <w:b/>
          <w:bCs/>
          <w:color w:val="000000"/>
          <w:sz w:val="44"/>
          <w:szCs w:val="44"/>
          <w:lang w:val="en-US"/>
        </w:rPr>
        <w:t>Sichuan Rongce Accounting Firm Co</w:t>
      </w:r>
      <w:r>
        <w:rPr>
          <w:rFonts w:hint="eastAsia" w:ascii="Times New Roman" w:hAnsi="Times New Roman" w:eastAsia="黑体" w:cs="Times New Roman"/>
          <w:b/>
          <w:bCs/>
          <w:color w:val="000000"/>
          <w:sz w:val="44"/>
          <w:szCs w:val="44"/>
          <w:lang w:val="en-US"/>
        </w:rPr>
        <w:t>.</w:t>
      </w:r>
      <w:r>
        <w:rPr>
          <w:rFonts w:ascii="Times New Roman" w:hAnsi="Times New Roman" w:eastAsia="黑体" w:cs="Times New Roman"/>
          <w:b/>
          <w:bCs/>
          <w:color w:val="000000"/>
          <w:sz w:val="44"/>
          <w:szCs w:val="44"/>
          <w:lang w:val="en-US"/>
        </w:rPr>
        <w:t xml:space="preserve"> Ltd</w:t>
      </w:r>
    </w:p>
    <w:p>
      <w:pPr>
        <w:spacing w:line="240" w:lineRule="auto"/>
        <w:ind w:firstLine="0" w:firstLineChars="0"/>
        <w:jc w:val="center"/>
        <w:rPr>
          <w:rFonts w:hint="eastAsia" w:ascii="Times New Roman" w:hAnsi="Times New Roman" w:eastAsia="黑体" w:cs="Times New Roman"/>
          <w:b/>
          <w:bCs/>
          <w:color w:val="000000"/>
          <w:sz w:val="44"/>
          <w:szCs w:val="44"/>
        </w:rPr>
      </w:pPr>
      <w:r>
        <w:rPr>
          <w:rFonts w:ascii="Times New Roman" w:hAnsi="Times New Roman" w:eastAsia="黑体" w:cs="Times New Roman"/>
          <w:b/>
          <w:bCs/>
          <w:color w:val="000000"/>
          <w:sz w:val="44"/>
          <w:szCs w:val="44"/>
        </w:rPr>
        <w:t>202</w:t>
      </w:r>
      <w:r>
        <w:rPr>
          <w:rFonts w:hint="eastAsia" w:ascii="Times New Roman" w:hAnsi="Times New Roman" w:eastAsia="黑体" w:cs="Times New Roman"/>
          <w:b/>
          <w:bCs/>
          <w:color w:val="000000"/>
          <w:sz w:val="44"/>
          <w:szCs w:val="44"/>
          <w:lang w:val="en-US"/>
        </w:rPr>
        <w:t>3</w:t>
      </w:r>
      <w:r>
        <w:rPr>
          <w:rFonts w:ascii="Times New Roman" w:hAnsi="Times New Roman" w:eastAsia="黑体" w:cs="Times New Roman"/>
          <w:b/>
          <w:bCs/>
          <w:color w:val="000000"/>
          <w:sz w:val="44"/>
          <w:szCs w:val="44"/>
        </w:rPr>
        <w:t>年</w:t>
      </w:r>
      <w:r>
        <w:rPr>
          <w:rFonts w:hint="eastAsia" w:ascii="Times New Roman" w:hAnsi="Times New Roman" w:eastAsia="黑体" w:cs="Times New Roman"/>
          <w:b/>
          <w:bCs/>
          <w:color w:val="000000"/>
          <w:sz w:val="44"/>
          <w:szCs w:val="44"/>
          <w:lang w:val="en-US" w:eastAsia="zh-CN"/>
        </w:rPr>
        <w:t>11</w:t>
      </w:r>
      <w:r>
        <w:rPr>
          <w:rFonts w:ascii="Times New Roman" w:hAnsi="Times New Roman" w:eastAsia="黑体" w:cs="Times New Roman"/>
          <w:b/>
          <w:bCs/>
          <w:color w:val="000000"/>
          <w:sz w:val="44"/>
          <w:szCs w:val="44"/>
        </w:rPr>
        <w:t>月</w:t>
      </w:r>
      <w:r>
        <w:rPr>
          <w:rFonts w:hint="eastAsia" w:eastAsia="黑体" w:cs="Times New Roman"/>
          <w:b/>
          <w:bCs/>
          <w:color w:val="000000"/>
          <w:sz w:val="44"/>
          <w:szCs w:val="44"/>
          <w:lang w:val="en-US" w:eastAsia="zh-CN"/>
        </w:rPr>
        <w:t>30</w:t>
      </w:r>
      <w:r>
        <w:rPr>
          <w:rFonts w:ascii="Times New Roman" w:hAnsi="Times New Roman" w:eastAsia="黑体" w:cs="Times New Roman"/>
          <w:b/>
          <w:bCs/>
          <w:color w:val="000000"/>
          <w:sz w:val="44"/>
          <w:szCs w:val="44"/>
        </w:rPr>
        <w:t>日</w:t>
      </w:r>
    </w:p>
    <w:p>
      <w:pPr>
        <w:spacing w:line="240" w:lineRule="auto"/>
        <w:ind w:firstLine="0" w:firstLineChars="0"/>
        <w:jc w:val="center"/>
        <w:rPr>
          <w:rFonts w:hint="eastAsia" w:ascii="Times New Roman" w:hAnsi="Times New Roman" w:eastAsia="黑体" w:cs="Times New Roman"/>
          <w:b/>
          <w:bCs/>
          <w:color w:val="000000"/>
          <w:sz w:val="44"/>
          <w:szCs w:val="44"/>
        </w:rPr>
        <w:sectPr>
          <w:headerReference r:id="rId5" w:type="default"/>
          <w:footerReference r:id="rId6" w:type="default"/>
          <w:footerReference r:id="rId7" w:type="even"/>
          <w:pgSz w:w="11906" w:h="16838"/>
          <w:pgMar w:top="1417" w:right="1417" w:bottom="1417" w:left="1417" w:header="851" w:footer="992" w:gutter="283"/>
          <w:pgBorders>
            <w:top w:val="none" w:sz="0" w:space="0"/>
            <w:left w:val="none" w:sz="0" w:space="0"/>
            <w:bottom w:val="none" w:sz="0" w:space="0"/>
            <w:right w:val="none" w:sz="0" w:space="0"/>
          </w:pgBorders>
          <w:cols w:space="720" w:num="1"/>
          <w:docGrid w:type="lines" w:linePitch="318" w:charSpace="0"/>
        </w:sectPr>
      </w:pPr>
    </w:p>
    <w:p>
      <w:pPr>
        <w:pStyle w:val="26"/>
        <w:tabs>
          <w:tab w:val="right" w:leader="dot" w:pos="8786"/>
        </w:tabs>
        <w:spacing w:before="120"/>
        <w:ind w:firstLine="560"/>
        <w:jc w:val="center"/>
        <w:rPr>
          <w:rFonts w:hint="eastAsia" w:ascii="仿宋_GB2312" w:hAnsi="仿宋_GB2312" w:eastAsia="仿宋_GB2312" w:cs="仿宋_GB2312"/>
          <w:b w:val="0"/>
          <w:bCs/>
          <w:kern w:val="2"/>
          <w:sz w:val="28"/>
          <w:szCs w:val="28"/>
          <w:lang w:val="en-US" w:eastAsia="zh-CN" w:bidi="ar-SA"/>
        </w:rPr>
      </w:pPr>
      <w:r>
        <w:rPr>
          <w:rFonts w:hint="default" w:ascii="Times New Roman" w:hAnsi="Times New Roman" w:eastAsia="黑体" w:cs="Times New Roman"/>
          <w:b/>
          <w:bCs w:val="0"/>
          <w:sz w:val="36"/>
          <w:szCs w:val="36"/>
          <w:highlight w:val="none"/>
        </w:rPr>
        <w:t>目  录</w:t>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TOC \o "1-4" \h \z \u </w:instrText>
      </w:r>
      <w:r>
        <w:rPr>
          <w:rFonts w:hint="eastAsia" w:ascii="仿宋_GB2312" w:hAnsi="仿宋_GB2312" w:eastAsia="仿宋_GB2312" w:cs="仿宋_GB2312"/>
          <w:b w:val="0"/>
          <w:bCs/>
          <w:sz w:val="28"/>
          <w:szCs w:val="28"/>
        </w:rPr>
        <w:fldChar w:fldCharType="separate"/>
      </w:r>
    </w:p>
    <w:p>
      <w:pPr>
        <w:pStyle w:val="26"/>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_Toc12890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摘  要</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_Toc12890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26"/>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_Toc29114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一、部门概况</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_Toc29114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35"/>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_Toc4894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（一）部门机构设置、编制、职责</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_Toc4894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_Toc27673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val="en-US" w:eastAsia="zh-CN"/>
        </w:rPr>
        <w:t>1、</w:t>
      </w:r>
      <w:r>
        <w:rPr>
          <w:rFonts w:hint="eastAsia" w:ascii="仿宋_GB2312" w:hAnsi="仿宋_GB2312" w:eastAsia="仿宋_GB2312" w:cs="仿宋_GB2312"/>
          <w:b w:val="0"/>
          <w:bCs w:val="0"/>
          <w:sz w:val="28"/>
          <w:szCs w:val="28"/>
          <w:highlight w:val="none"/>
        </w:rPr>
        <w:t>部门机构设置</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_Toc27673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_Toc22180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val="en-US" w:eastAsia="zh-CN"/>
        </w:rPr>
        <w:t>2</w:t>
      </w:r>
      <w:r>
        <w:rPr>
          <w:rFonts w:hint="eastAsia" w:ascii="仿宋_GB2312" w:hAnsi="仿宋_GB2312" w:eastAsia="仿宋_GB2312" w:cs="仿宋_GB2312"/>
          <w:b w:val="0"/>
          <w:bCs w:val="0"/>
          <w:sz w:val="28"/>
          <w:szCs w:val="28"/>
          <w:highlight w:val="none"/>
        </w:rPr>
        <w:t>、部门编制</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_Toc22180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_Toc28606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val="en-US" w:eastAsia="zh-CN"/>
        </w:rPr>
        <w:t>3、部门职能</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_Toc28606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35"/>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_Toc11953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val="en-US" w:eastAsia="zh-CN"/>
        </w:rPr>
        <w:t>（二）部门预算</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_Toc11953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_Toc21957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1、</w:t>
      </w:r>
      <w:r>
        <w:rPr>
          <w:rFonts w:hint="eastAsia" w:ascii="仿宋_GB2312" w:hAnsi="仿宋_GB2312" w:eastAsia="仿宋_GB2312" w:cs="仿宋_GB2312"/>
          <w:b w:val="0"/>
          <w:bCs w:val="0"/>
          <w:kern w:val="0"/>
          <w:sz w:val="28"/>
          <w:szCs w:val="28"/>
          <w:highlight w:val="none"/>
          <w:lang w:val="en-US" w:eastAsia="zh-CN" w:bidi="ar"/>
        </w:rPr>
        <w:t>近三年</w:t>
      </w:r>
      <w:r>
        <w:rPr>
          <w:rFonts w:hint="eastAsia" w:ascii="仿宋_GB2312" w:hAnsi="仿宋_GB2312" w:eastAsia="仿宋_GB2312" w:cs="仿宋_GB2312"/>
          <w:b w:val="0"/>
          <w:bCs w:val="0"/>
          <w:sz w:val="28"/>
          <w:szCs w:val="28"/>
          <w:highlight w:val="none"/>
          <w:lang w:eastAsia="zh-CN"/>
        </w:rPr>
        <w:t>阿坝县残疾人联合会</w:t>
      </w:r>
      <w:r>
        <w:rPr>
          <w:rFonts w:hint="eastAsia" w:ascii="仿宋_GB2312" w:hAnsi="仿宋_GB2312" w:eastAsia="仿宋_GB2312" w:cs="仿宋_GB2312"/>
          <w:b w:val="0"/>
          <w:bCs w:val="0"/>
          <w:sz w:val="28"/>
          <w:szCs w:val="28"/>
          <w:highlight w:val="none"/>
        </w:rPr>
        <w:t>整体支出预算及使用情况</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_Toc21957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_Toc27826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2、20</w:t>
      </w:r>
      <w:r>
        <w:rPr>
          <w:rFonts w:hint="eastAsia" w:ascii="仿宋_GB2312" w:hAnsi="仿宋_GB2312" w:eastAsia="仿宋_GB2312" w:cs="仿宋_GB2312"/>
          <w:b w:val="0"/>
          <w:bCs w:val="0"/>
          <w:sz w:val="28"/>
          <w:szCs w:val="28"/>
          <w:highlight w:val="none"/>
          <w:lang w:val="en-US" w:eastAsia="zh-CN"/>
        </w:rPr>
        <w:t>22</w:t>
      </w:r>
      <w:r>
        <w:rPr>
          <w:rFonts w:hint="eastAsia" w:ascii="仿宋_GB2312" w:hAnsi="仿宋_GB2312" w:eastAsia="仿宋_GB2312" w:cs="仿宋_GB2312"/>
          <w:b w:val="0"/>
          <w:bCs w:val="0"/>
          <w:sz w:val="28"/>
          <w:szCs w:val="28"/>
          <w:highlight w:val="none"/>
        </w:rPr>
        <w:t>年</w:t>
      </w:r>
      <w:r>
        <w:rPr>
          <w:rFonts w:hint="eastAsia" w:ascii="仿宋_GB2312" w:hAnsi="仿宋_GB2312" w:eastAsia="仿宋_GB2312" w:cs="仿宋_GB2312"/>
          <w:b w:val="0"/>
          <w:bCs w:val="0"/>
          <w:sz w:val="28"/>
          <w:szCs w:val="28"/>
          <w:highlight w:val="none"/>
          <w:lang w:eastAsia="zh-CN"/>
        </w:rPr>
        <w:t>阿坝县残疾人联合会</w:t>
      </w:r>
      <w:r>
        <w:rPr>
          <w:rFonts w:hint="eastAsia" w:ascii="仿宋_GB2312" w:hAnsi="仿宋_GB2312" w:eastAsia="仿宋_GB2312" w:cs="仿宋_GB2312"/>
          <w:b w:val="0"/>
          <w:bCs w:val="0"/>
          <w:sz w:val="28"/>
          <w:szCs w:val="28"/>
          <w:highlight w:val="none"/>
        </w:rPr>
        <w:t>预算及支出情况</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_Toc27826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5</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35"/>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_Toc7072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val="en-US" w:eastAsia="zh-CN"/>
        </w:rPr>
        <w:t>（三）部门固定资产</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_Toc7072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35"/>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_Toc11042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（四）部门管理</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_Toc11042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7</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_Toc363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1、决策管理</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_Toc363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7</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_Toc8978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2、财务管理</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_Toc8978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8</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_Toc30667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3、资产管理</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_Toc30667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35"/>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_Toc5888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（五）</w:t>
      </w:r>
      <w:r>
        <w:rPr>
          <w:rFonts w:hint="eastAsia" w:ascii="仿宋_GB2312" w:hAnsi="仿宋_GB2312" w:eastAsia="仿宋_GB2312" w:cs="仿宋_GB2312"/>
          <w:b w:val="0"/>
          <w:bCs w:val="0"/>
          <w:sz w:val="28"/>
          <w:szCs w:val="28"/>
          <w:highlight w:val="none"/>
          <w:lang w:eastAsia="zh-CN"/>
        </w:rPr>
        <w:t>阿坝县残疾人联合会</w:t>
      </w:r>
      <w:r>
        <w:rPr>
          <w:rFonts w:hint="eastAsia" w:ascii="仿宋_GB2312" w:hAnsi="仿宋_GB2312" w:eastAsia="仿宋_GB2312" w:cs="仿宋_GB2312"/>
          <w:b w:val="0"/>
          <w:bCs w:val="0"/>
          <w:sz w:val="28"/>
          <w:szCs w:val="28"/>
          <w:highlight w:val="none"/>
        </w:rPr>
        <w:t>202</w:t>
      </w:r>
      <w:r>
        <w:rPr>
          <w:rFonts w:hint="eastAsia" w:ascii="仿宋_GB2312" w:hAnsi="仿宋_GB2312" w:eastAsia="仿宋_GB2312" w:cs="仿宋_GB2312"/>
          <w:b w:val="0"/>
          <w:bCs w:val="0"/>
          <w:sz w:val="28"/>
          <w:szCs w:val="28"/>
          <w:highlight w:val="none"/>
          <w:lang w:val="en-US" w:eastAsia="zh-CN"/>
        </w:rPr>
        <w:t>2</w:t>
      </w:r>
      <w:r>
        <w:rPr>
          <w:rFonts w:hint="eastAsia" w:ascii="仿宋_GB2312" w:hAnsi="仿宋_GB2312" w:eastAsia="仿宋_GB2312" w:cs="仿宋_GB2312"/>
          <w:b w:val="0"/>
          <w:bCs w:val="0"/>
          <w:sz w:val="28"/>
          <w:szCs w:val="28"/>
          <w:highlight w:val="none"/>
        </w:rPr>
        <w:t>年</w:t>
      </w:r>
      <w:r>
        <w:rPr>
          <w:rFonts w:hint="eastAsia" w:ascii="仿宋_GB2312" w:hAnsi="仿宋_GB2312" w:eastAsia="仿宋_GB2312" w:cs="仿宋_GB2312"/>
          <w:b w:val="0"/>
          <w:bCs w:val="0"/>
          <w:kern w:val="2"/>
          <w:sz w:val="28"/>
          <w:szCs w:val="28"/>
          <w:highlight w:val="none"/>
          <w:lang w:val="en-US" w:eastAsia="zh-CN" w:bidi="ar-SA"/>
        </w:rPr>
        <w:t>重点工作</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_Toc5888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10</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26"/>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_Toc16880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二、评价思路和实施过程</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_Toc16880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35"/>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_Toc17765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（一）评价目的</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_Toc17765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35"/>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_Toc5228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（二）评价方法</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_Toc5228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35"/>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_Toc10392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（三）数据采集方法及过程</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_Toc10392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26"/>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_Toc32764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三、评价结论及绩效分析</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_Toc32764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35"/>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_Toc14084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（一）评价结论</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_Toc14084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35"/>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_Toc12161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（二）绩效分析</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_Toc12161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_Toc11707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rPr>
        <w:t>1、部门预算管理情况分析</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_Toc11707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_Toc31404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val="en-US" w:eastAsia="zh-CN"/>
        </w:rPr>
        <w:t>2、专项预算管理情况分析</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_Toc31404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18</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_Toc234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val="en-US" w:eastAsia="zh-CN"/>
        </w:rPr>
        <w:t>3</w:t>
      </w:r>
      <w:r>
        <w:rPr>
          <w:rFonts w:hint="eastAsia" w:ascii="仿宋_GB2312" w:hAnsi="仿宋_GB2312" w:eastAsia="仿宋_GB2312" w:cs="仿宋_GB2312"/>
          <w:b w:val="0"/>
          <w:bCs w:val="0"/>
          <w:sz w:val="28"/>
          <w:szCs w:val="28"/>
          <w:highlight w:val="none"/>
        </w:rPr>
        <w:t>、</w:t>
      </w:r>
      <w:r>
        <w:rPr>
          <w:rFonts w:hint="eastAsia" w:ascii="仿宋_GB2312" w:hAnsi="仿宋_GB2312" w:eastAsia="仿宋_GB2312" w:cs="仿宋_GB2312"/>
          <w:b w:val="0"/>
          <w:bCs w:val="0"/>
          <w:sz w:val="28"/>
          <w:szCs w:val="28"/>
          <w:highlight w:val="none"/>
          <w:lang w:val="en-US" w:eastAsia="zh-CN"/>
        </w:rPr>
        <w:t>绩效结果应用</w:t>
      </w:r>
      <w:r>
        <w:rPr>
          <w:rFonts w:hint="eastAsia" w:ascii="仿宋_GB2312" w:hAnsi="仿宋_GB2312" w:eastAsia="仿宋_GB2312" w:cs="仿宋_GB2312"/>
          <w:b w:val="0"/>
          <w:bCs w:val="0"/>
          <w:sz w:val="28"/>
          <w:szCs w:val="28"/>
          <w:highlight w:val="none"/>
        </w:rPr>
        <w:t>情况分析</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_Toc234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20</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_Toc6962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val="en-US" w:eastAsia="zh-CN"/>
        </w:rPr>
        <w:t>4、自评质量情况</w:t>
      </w:r>
      <w:r>
        <w:rPr>
          <w:rFonts w:hint="eastAsia" w:ascii="仿宋_GB2312" w:hAnsi="仿宋_GB2312" w:eastAsia="仿宋_GB2312" w:cs="仿宋_GB2312"/>
          <w:b w:val="0"/>
          <w:bCs w:val="0"/>
          <w:sz w:val="28"/>
          <w:szCs w:val="28"/>
          <w:highlight w:val="none"/>
        </w:rPr>
        <w:t>分析</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_Toc6962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26"/>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_Toc10434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val="en-US" w:eastAsia="zh-CN"/>
        </w:rPr>
        <w:t>四</w:t>
      </w:r>
      <w:r>
        <w:rPr>
          <w:rFonts w:hint="eastAsia" w:ascii="仿宋_GB2312" w:hAnsi="仿宋_GB2312" w:eastAsia="仿宋_GB2312" w:cs="仿宋_GB2312"/>
          <w:b w:val="0"/>
          <w:bCs w:val="0"/>
          <w:sz w:val="28"/>
          <w:szCs w:val="28"/>
          <w:highlight w:val="none"/>
        </w:rPr>
        <w:t>、评价发现的主要问题</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_Toc10434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35"/>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_Toc135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eastAsia="zh-CN"/>
        </w:rPr>
        <w:t>（</w:t>
      </w:r>
      <w:r>
        <w:rPr>
          <w:rFonts w:hint="eastAsia" w:ascii="仿宋_GB2312" w:hAnsi="仿宋_GB2312" w:eastAsia="仿宋_GB2312" w:cs="仿宋_GB2312"/>
          <w:b w:val="0"/>
          <w:bCs w:val="0"/>
          <w:sz w:val="28"/>
          <w:szCs w:val="28"/>
          <w:highlight w:val="none"/>
          <w:lang w:val="en-US" w:eastAsia="zh-CN"/>
        </w:rPr>
        <w:t>一）绩效管理方面</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_Toc135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_Toc30414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eastAsia="zh-CN"/>
        </w:rPr>
        <w:t>（</w:t>
      </w:r>
      <w:r>
        <w:rPr>
          <w:rFonts w:hint="eastAsia" w:ascii="仿宋_GB2312" w:hAnsi="仿宋_GB2312" w:eastAsia="仿宋_GB2312" w:cs="仿宋_GB2312"/>
          <w:b w:val="0"/>
          <w:bCs w:val="0"/>
          <w:sz w:val="28"/>
          <w:szCs w:val="28"/>
          <w:highlight w:val="none"/>
          <w:lang w:val="en-US" w:eastAsia="zh-CN"/>
        </w:rPr>
        <w:t>二）财务管理方面</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_Toc30414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19"/>
        <w:tabs>
          <w:tab w:val="right" w:leader="dot" w:pos="8786"/>
        </w:tabs>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HYPERLINK \l _Toc24165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highlight w:val="none"/>
          <w:lang w:eastAsia="zh-CN"/>
        </w:rPr>
        <w:t>（</w:t>
      </w:r>
      <w:r>
        <w:rPr>
          <w:rFonts w:hint="eastAsia" w:ascii="仿宋_GB2312" w:hAnsi="仿宋_GB2312" w:eastAsia="仿宋_GB2312" w:cs="仿宋_GB2312"/>
          <w:b w:val="0"/>
          <w:bCs w:val="0"/>
          <w:sz w:val="28"/>
          <w:szCs w:val="28"/>
          <w:highlight w:val="none"/>
          <w:lang w:val="en-US" w:eastAsia="zh-CN"/>
        </w:rPr>
        <w:t>三）人员管理方面</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_Toc24165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27</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26"/>
        <w:tabs>
          <w:tab w:val="right" w:leader="dot" w:pos="8786"/>
        </w:tabs>
        <w:spacing w:before="120"/>
        <w:ind w:firstLine="560"/>
        <w:jc w:val="center"/>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fldChar w:fldCharType="end"/>
      </w:r>
      <w:bookmarkStart w:id="0" w:name="_Toc15798"/>
      <w:bookmarkStart w:id="1" w:name="_Toc149"/>
    </w:p>
    <w:p>
      <w:pPr>
        <w:rPr>
          <w:rFonts w:hint="default"/>
          <w:highlight w:val="none"/>
        </w:rPr>
      </w:pPr>
      <w:r>
        <w:rPr>
          <w:rFonts w:hint="eastAsia" w:ascii="仿宋_GB2312" w:hAnsi="仿宋_GB2312" w:eastAsia="仿宋_GB2312" w:cs="仿宋_GB2312"/>
          <w:bCs w:val="0"/>
          <w:szCs w:val="28"/>
          <w:highlight w:val="none"/>
        </w:rPr>
        <w:br w:type="page"/>
      </w:r>
    </w:p>
    <w:p>
      <w:pPr>
        <w:pStyle w:val="2"/>
        <w:spacing w:before="156" w:after="156"/>
        <w:ind w:firstLine="640"/>
        <w:jc w:val="center"/>
        <w:rPr>
          <w:rFonts w:hint="default" w:ascii="Times New Roman" w:hAnsi="Times New Roman" w:eastAsia="微软雅黑" w:cs="Times New Roman"/>
          <w:sz w:val="32"/>
          <w:szCs w:val="32"/>
          <w:highlight w:val="none"/>
        </w:rPr>
      </w:pPr>
      <w:bookmarkStart w:id="2" w:name="_Toc12890"/>
      <w:bookmarkStart w:id="3" w:name="_Toc16510"/>
      <w:bookmarkStart w:id="4" w:name="_Toc10794"/>
      <w:r>
        <w:rPr>
          <w:rFonts w:hint="default" w:ascii="Times New Roman" w:hAnsi="Times New Roman" w:eastAsia="微软雅黑" w:cs="Times New Roman"/>
          <w:sz w:val="32"/>
          <w:highlight w:val="none"/>
        </w:rPr>
        <w:t>摘  要</w:t>
      </w:r>
      <w:bookmarkEnd w:id="0"/>
      <w:bookmarkEnd w:id="1"/>
      <w:bookmarkEnd w:id="2"/>
      <w:bookmarkEnd w:id="3"/>
      <w:bookmarkEnd w:id="4"/>
    </w:p>
    <w:p>
      <w:pPr>
        <w:numPr>
          <w:ilvl w:val="0"/>
          <w:numId w:val="1"/>
        </w:numPr>
        <w:tabs>
          <w:tab w:val="center" w:pos="4405"/>
        </w:tabs>
        <w:overflowPunct w:val="0"/>
        <w:autoSpaceDE w:val="0"/>
        <w:autoSpaceDN w:val="0"/>
        <w:adjustRightInd w:val="0"/>
        <w:spacing w:line="600" w:lineRule="exact"/>
        <w:ind w:firstLine="0" w:firstLineChars="0"/>
        <w:rPr>
          <w:rFonts w:hint="default" w:ascii="Times New Roman" w:hAnsi="Times New Roman" w:eastAsia="黑体" w:cs="Times New Roman"/>
          <w:b/>
          <w:bCs/>
          <w:sz w:val="30"/>
          <w:szCs w:val="30"/>
          <w:highlight w:val="none"/>
        </w:rPr>
      </w:pPr>
      <w:r>
        <w:rPr>
          <w:rFonts w:hint="default" w:ascii="Times New Roman" w:hAnsi="Times New Roman" w:eastAsia="黑体" w:cs="Times New Roman"/>
          <w:b/>
          <w:bCs/>
          <w:sz w:val="30"/>
          <w:szCs w:val="30"/>
          <w:highlight w:val="none"/>
        </w:rPr>
        <w:t>概述</w:t>
      </w:r>
    </w:p>
    <w:p>
      <w:pPr>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阿坝县残疾人联合会为独立核算全额拨款参照公务员法管理的事业单位，无下属二级预算单位，执行事业单位财务会计制度。内设机构为办公室、就业扶贫股、教育股、康复股。</w:t>
      </w:r>
    </w:p>
    <w:p>
      <w:pPr>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根据《中共阿坝县委办公室印发〈阿坝县残疾人联合会主要职责、内设机构和人员编制规定〉的通知》（阿县委办发〔2011〕1号），县残疾人联合会事业编制6名。其中：理事长1名（为正科级）。</w:t>
      </w:r>
    </w:p>
    <w:p>
      <w:pPr>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截止2022年底单位在职人数7人，其中核定事业编制6人，行政工勤1名。</w:t>
      </w:r>
    </w:p>
    <w:p>
      <w:pPr>
        <w:tabs>
          <w:tab w:val="center" w:pos="4405"/>
        </w:tabs>
        <w:overflowPunct w:val="0"/>
        <w:autoSpaceDE w:val="0"/>
        <w:autoSpaceDN w:val="0"/>
        <w:adjustRightInd w:val="0"/>
        <w:spacing w:line="600" w:lineRule="exact"/>
        <w:ind w:firstLine="0" w:firstLineChars="0"/>
        <w:rPr>
          <w:rFonts w:hint="default" w:ascii="Times New Roman" w:hAnsi="Times New Roman" w:eastAsia="黑体" w:cs="Times New Roman"/>
          <w:b/>
          <w:bCs/>
          <w:sz w:val="30"/>
          <w:szCs w:val="30"/>
          <w:highlight w:val="none"/>
        </w:rPr>
      </w:pPr>
      <w:r>
        <w:rPr>
          <w:rFonts w:hint="default" w:ascii="Times New Roman" w:hAnsi="Times New Roman" w:eastAsia="黑体" w:cs="Times New Roman"/>
          <w:b/>
          <w:bCs/>
          <w:sz w:val="30"/>
          <w:szCs w:val="30"/>
          <w:highlight w:val="none"/>
        </w:rPr>
        <w:t>二、评价结论和绩效分析</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lang w:val="en-US" w:eastAsia="zh-CN" w:bidi="ar"/>
        </w:rPr>
        <w:t>通过数据采集，对</w:t>
      </w:r>
      <w:r>
        <w:rPr>
          <w:rFonts w:hint="eastAsia" w:eastAsia="仿宋_GB2312" w:cs="Times New Roman"/>
          <w:color w:val="auto"/>
          <w:kern w:val="0"/>
          <w:sz w:val="32"/>
          <w:szCs w:val="32"/>
          <w:highlight w:val="none"/>
          <w:lang w:val="en-US" w:eastAsia="zh-CN" w:bidi="ar"/>
        </w:rPr>
        <w:t>2022年</w:t>
      </w:r>
      <w:r>
        <w:rPr>
          <w:rFonts w:hint="eastAsia" w:eastAsia="仿宋_GB2312" w:cs="Times New Roman"/>
          <w:color w:val="000000"/>
          <w:kern w:val="0"/>
          <w:sz w:val="32"/>
          <w:szCs w:val="32"/>
          <w:highlight w:val="none"/>
          <w:lang w:val="en-US" w:eastAsia="zh-CN" w:bidi="ar"/>
        </w:rPr>
        <w:t>阿坝县残疾人联合会</w:t>
      </w:r>
      <w:r>
        <w:rPr>
          <w:rFonts w:hint="default" w:ascii="Times New Roman" w:hAnsi="Times New Roman" w:eastAsia="仿宋_GB2312" w:cs="Times New Roman"/>
          <w:color w:val="000000"/>
          <w:kern w:val="0"/>
          <w:sz w:val="32"/>
          <w:szCs w:val="32"/>
          <w:highlight w:val="none"/>
          <w:lang w:val="en-US" w:eastAsia="zh-CN" w:bidi="ar"/>
        </w:rPr>
        <w:t>部门整体支出绩效进行客观评价，得分</w:t>
      </w:r>
      <w:r>
        <w:rPr>
          <w:rFonts w:hint="eastAsia" w:eastAsia="仿宋_GB2312" w:cs="Times New Roman"/>
          <w:color w:val="000000"/>
          <w:kern w:val="0"/>
          <w:sz w:val="32"/>
          <w:szCs w:val="32"/>
          <w:highlight w:val="none"/>
          <w:lang w:val="en-US" w:eastAsia="zh-CN" w:bidi="ar"/>
        </w:rPr>
        <w:t>64</w:t>
      </w:r>
      <w:r>
        <w:rPr>
          <w:rFonts w:hint="default" w:ascii="Times New Roman" w:hAnsi="Times New Roman" w:eastAsia="仿宋_GB2312" w:cs="Times New Roman"/>
          <w:color w:val="000000"/>
          <w:kern w:val="0"/>
          <w:sz w:val="32"/>
          <w:szCs w:val="32"/>
          <w:highlight w:val="none"/>
          <w:lang w:val="en-US" w:eastAsia="zh-CN" w:bidi="ar"/>
        </w:rPr>
        <w:t>分</w:t>
      </w:r>
      <w:r>
        <w:rPr>
          <w:rFonts w:hint="eastAsia" w:eastAsia="仿宋_GB2312" w:cs="Times New Roman"/>
          <w:color w:val="000000"/>
          <w:kern w:val="0"/>
          <w:sz w:val="32"/>
          <w:szCs w:val="32"/>
          <w:highlight w:val="none"/>
          <w:lang w:val="en-US" w:eastAsia="zh-CN" w:bidi="ar"/>
        </w:rPr>
        <w:t>，百分制换算得分为84.21分</w:t>
      </w:r>
      <w:r>
        <w:rPr>
          <w:rFonts w:hint="default" w:ascii="Times New Roman" w:hAnsi="Times New Roman" w:eastAsia="仿宋_GB2312" w:cs="Times New Roman"/>
          <w:color w:val="000000"/>
          <w:kern w:val="0"/>
          <w:sz w:val="32"/>
          <w:szCs w:val="32"/>
          <w:highlight w:val="none"/>
          <w:lang w:val="en-US" w:eastAsia="zh-CN" w:bidi="ar"/>
        </w:rPr>
        <w:t>。</w:t>
      </w:r>
    </w:p>
    <w:p>
      <w:pPr>
        <w:widowControl/>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eastAsia" w:eastAsia="仿宋_GB2312" w:cs="Times New Roman"/>
          <w:b/>
          <w:bCs/>
          <w:color w:val="000000"/>
          <w:kern w:val="0"/>
          <w:highlight w:val="none"/>
          <w:lang w:val="en-US" w:eastAsia="zh-CN" w:bidi="ar"/>
        </w:rPr>
        <w:t>1</w:t>
      </w:r>
      <w:r>
        <w:rPr>
          <w:rFonts w:hint="default" w:ascii="Times New Roman" w:hAnsi="Times New Roman" w:eastAsia="仿宋_GB2312" w:cs="Times New Roman"/>
          <w:b/>
          <w:bCs/>
          <w:color w:val="000000"/>
          <w:kern w:val="0"/>
          <w:highlight w:val="none"/>
          <w:lang w:bidi="ar"/>
        </w:rPr>
        <w:t xml:space="preserve"> 部门整体支出汇总得分表</w:t>
      </w:r>
    </w:p>
    <w:tbl>
      <w:tblPr>
        <w:tblStyle w:val="4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6"/>
        <w:gridCol w:w="1251"/>
        <w:gridCol w:w="1489"/>
        <w:gridCol w:w="1944"/>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675"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指标</w:t>
            </w:r>
          </w:p>
        </w:tc>
        <w:tc>
          <w:tcPr>
            <w:tcW w:w="695"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826"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评价权重</w:t>
            </w:r>
          </w:p>
        </w:tc>
        <w:tc>
          <w:tcPr>
            <w:tcW w:w="1080"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评价权重</w:t>
            </w:r>
            <w:r>
              <w:rPr>
                <w:rFonts w:hint="default" w:ascii="Times New Roman" w:hAnsi="Times New Roman" w:eastAsia="仿宋_GB2312" w:cs="Times New Roman"/>
                <w:b/>
                <w:bCs/>
                <w:color w:val="000000"/>
                <w:kern w:val="0"/>
                <w:highlight w:val="none"/>
                <w:lang w:bidi="ar"/>
              </w:rPr>
              <w:t>得分</w:t>
            </w:r>
          </w:p>
        </w:tc>
        <w:tc>
          <w:tcPr>
            <w:tcW w:w="721"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default" w:ascii="Times New Roman" w:hAnsi="Times New Roman" w:eastAsia="仿宋_GB2312" w:cs="Times New Roman"/>
                <w:color w:val="000000"/>
                <w:kern w:val="0"/>
                <w:highlight w:val="none"/>
                <w:lang w:val="en-US" w:eastAsia="zh-CN" w:bidi="ar"/>
              </w:rPr>
              <w:t>部门预算管理</w:t>
            </w:r>
          </w:p>
        </w:tc>
        <w:tc>
          <w:tcPr>
            <w:tcW w:w="1251"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60</w:t>
            </w:r>
          </w:p>
        </w:tc>
        <w:tc>
          <w:tcPr>
            <w:tcW w:w="1489"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44</w:t>
            </w:r>
          </w:p>
        </w:tc>
        <w:tc>
          <w:tcPr>
            <w:tcW w:w="19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37</w:t>
            </w:r>
          </w:p>
        </w:tc>
        <w:tc>
          <w:tcPr>
            <w:tcW w:w="129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专项预算管理</w:t>
            </w:r>
          </w:p>
        </w:tc>
        <w:tc>
          <w:tcPr>
            <w:tcW w:w="1251"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20</w:t>
            </w:r>
          </w:p>
        </w:tc>
        <w:tc>
          <w:tcPr>
            <w:tcW w:w="1489"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20</w:t>
            </w:r>
          </w:p>
        </w:tc>
        <w:tc>
          <w:tcPr>
            <w:tcW w:w="19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19</w:t>
            </w:r>
          </w:p>
        </w:tc>
        <w:tc>
          <w:tcPr>
            <w:tcW w:w="129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95.00%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绩效结果应用</w:t>
            </w:r>
          </w:p>
        </w:tc>
        <w:tc>
          <w:tcPr>
            <w:tcW w:w="1251"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w:t>
            </w:r>
          </w:p>
        </w:tc>
        <w:tc>
          <w:tcPr>
            <w:tcW w:w="1489"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2</w:t>
            </w:r>
          </w:p>
        </w:tc>
        <w:tc>
          <w:tcPr>
            <w:tcW w:w="19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2</w:t>
            </w:r>
          </w:p>
        </w:tc>
        <w:tc>
          <w:tcPr>
            <w:tcW w:w="129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default" w:ascii="Times New Roman" w:hAnsi="Times New Roman" w:eastAsia="仿宋_GB2312" w:cs="Times New Roman"/>
                <w:color w:val="000000"/>
                <w:kern w:val="0"/>
                <w:highlight w:val="none"/>
                <w:lang w:val="en-US" w:eastAsia="zh-CN" w:bidi="ar"/>
              </w:rPr>
              <w:t>自评质量</w:t>
            </w:r>
          </w:p>
        </w:tc>
        <w:tc>
          <w:tcPr>
            <w:tcW w:w="1251"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w:t>
            </w:r>
          </w:p>
        </w:tc>
        <w:tc>
          <w:tcPr>
            <w:tcW w:w="1489"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w:t>
            </w:r>
          </w:p>
        </w:tc>
        <w:tc>
          <w:tcPr>
            <w:tcW w:w="19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6</w:t>
            </w:r>
          </w:p>
        </w:tc>
        <w:tc>
          <w:tcPr>
            <w:tcW w:w="129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675"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1251"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100</w:t>
            </w:r>
          </w:p>
        </w:tc>
        <w:tc>
          <w:tcPr>
            <w:tcW w:w="1489"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76</w:t>
            </w:r>
          </w:p>
        </w:tc>
        <w:tc>
          <w:tcPr>
            <w:tcW w:w="1944"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64</w:t>
            </w:r>
          </w:p>
        </w:tc>
        <w:tc>
          <w:tcPr>
            <w:tcW w:w="1298"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84.21%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7" w:type="pct"/>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百分制换算得分合计</w:t>
            </w:r>
          </w:p>
        </w:tc>
        <w:tc>
          <w:tcPr>
            <w:tcW w:w="1944"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84.21</w:t>
            </w:r>
          </w:p>
        </w:tc>
        <w:tc>
          <w:tcPr>
            <w:tcW w:w="1298"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84.21%</w:t>
            </w:r>
          </w:p>
        </w:tc>
      </w:tr>
    </w:tbl>
    <w:p>
      <w:pPr>
        <w:snapToGrid w:val="0"/>
        <w:spacing w:line="600" w:lineRule="atLeast"/>
        <w:ind w:left="0" w:leftChars="0" w:firstLine="0" w:firstLineChars="0"/>
        <w:jc w:val="left"/>
        <w:rPr>
          <w:rFonts w:hint="default" w:ascii="Times New Roman" w:hAnsi="Times New Roman" w:eastAsia="仿宋" w:cs="Times New Roman"/>
          <w:b/>
          <w:sz w:val="36"/>
          <w:szCs w:val="44"/>
          <w:highlight w:val="none"/>
          <w:lang w:eastAsia="zh-CN"/>
        </w:rPr>
        <w:sectPr>
          <w:headerReference r:id="rId8" w:type="default"/>
          <w:footerReference r:id="rId9" w:type="default"/>
          <w:footnotePr>
            <w:numFmt w:val="decimalEnclosedCircleChinese"/>
          </w:footnotePr>
          <w:pgSz w:w="11906" w:h="16838"/>
          <w:pgMar w:top="1304" w:right="1418" w:bottom="1276" w:left="1418" w:header="851" w:footer="992" w:gutter="284"/>
          <w:pgBorders>
            <w:top w:val="none" w:sz="0" w:space="0"/>
            <w:left w:val="none" w:sz="0" w:space="0"/>
            <w:bottom w:val="none" w:sz="0" w:space="0"/>
            <w:right w:val="none" w:sz="0" w:space="0"/>
          </w:pgBorders>
          <w:pgNumType w:fmt="decimal" w:start="1"/>
          <w:cols w:space="720" w:num="1"/>
          <w:docGrid w:type="lines" w:linePitch="312" w:charSpace="0"/>
        </w:sectPr>
      </w:pPr>
    </w:p>
    <w:p>
      <w:pPr>
        <w:snapToGrid w:val="0"/>
        <w:spacing w:line="600" w:lineRule="atLeast"/>
        <w:ind w:left="0" w:leftChars="0" w:firstLine="0" w:firstLineChars="0"/>
        <w:jc w:val="left"/>
        <w:rPr>
          <w:rFonts w:hint="default" w:ascii="Times New Roman" w:hAnsi="Times New Roman" w:eastAsia="仿宋" w:cs="Times New Roman"/>
          <w:b/>
          <w:sz w:val="36"/>
          <w:szCs w:val="44"/>
          <w:highlight w:val="none"/>
          <w:lang w:eastAsia="zh-CN"/>
        </w:rPr>
      </w:pPr>
      <w:r>
        <w:rPr>
          <w:rFonts w:hint="eastAsia"/>
          <w:b/>
          <w:sz w:val="44"/>
          <w:szCs w:val="44"/>
          <w:u w:val="single"/>
          <w:shd w:val="clear" w:color="auto" w:fill="FFFFFF"/>
        </w:rPr>
        <w:drawing>
          <wp:inline distT="0" distB="0" distL="114300" distR="114300">
            <wp:extent cx="5481320" cy="1125220"/>
            <wp:effectExtent l="0" t="0" r="5080" b="2540"/>
            <wp:docPr id="4" name="图片 1" descr="113e0fc710a5a4f3d65bc20155a40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113e0fc710a5a4f3d65bc20155a406f"/>
                    <pic:cNvPicPr>
                      <a:picLocks noChangeAspect="1"/>
                    </pic:cNvPicPr>
                  </pic:nvPicPr>
                  <pic:blipFill>
                    <a:blip r:embed="rId13"/>
                    <a:stretch>
                      <a:fillRect/>
                    </a:stretch>
                  </pic:blipFill>
                  <pic:spPr>
                    <a:xfrm>
                      <a:off x="0" y="0"/>
                      <a:ext cx="5481320" cy="1125220"/>
                    </a:xfrm>
                    <a:prstGeom prst="rect">
                      <a:avLst/>
                    </a:prstGeom>
                    <a:noFill/>
                    <a:ln>
                      <a:noFill/>
                    </a:ln>
                  </pic:spPr>
                </pic:pic>
              </a:graphicData>
            </a:graphic>
          </wp:inline>
        </w:drawing>
      </w:r>
    </w:p>
    <w:p>
      <w:pPr>
        <w:snapToGrid w:val="0"/>
        <w:spacing w:line="600" w:lineRule="atLeast"/>
        <w:ind w:firstLine="723"/>
        <w:jc w:val="center"/>
        <w:rPr>
          <w:rFonts w:hint="default" w:ascii="Times New Roman" w:hAnsi="Times New Roman" w:eastAsia="黑体" w:cs="Times New Roman"/>
          <w:b/>
          <w:sz w:val="36"/>
          <w:szCs w:val="36"/>
          <w:highlight w:val="none"/>
          <w:lang w:val="en-US" w:eastAsia="zh-CN"/>
        </w:rPr>
      </w:pPr>
      <w:r>
        <w:rPr>
          <w:rFonts w:hint="default" w:ascii="Times New Roman" w:hAnsi="Times New Roman" w:eastAsia="仿宋" w:cs="Times New Roman"/>
          <w:b/>
          <w:sz w:val="36"/>
          <w:szCs w:val="44"/>
          <w:highlight w:val="none"/>
          <w:lang w:val="en-US" w:eastAsia="zh-CN"/>
        </w:rPr>
        <w:t xml:space="preserve">                 </w:t>
      </w:r>
      <w:r>
        <w:rPr>
          <w:rFonts w:hint="default" w:ascii="Times New Roman" w:hAnsi="Times New Roman" w:eastAsia="黑体" w:cs="Times New Roman"/>
          <w:b/>
          <w:sz w:val="32"/>
          <w:szCs w:val="32"/>
          <w:highlight w:val="none"/>
          <w:lang w:val="en-US" w:eastAsia="zh-CN"/>
        </w:rPr>
        <w:t>川融策绩评〔2023〕第</w:t>
      </w:r>
      <w:r>
        <w:rPr>
          <w:rFonts w:hint="eastAsia" w:eastAsia="黑体" w:cs="Times New Roman"/>
          <w:b/>
          <w:sz w:val="32"/>
          <w:szCs w:val="32"/>
          <w:highlight w:val="none"/>
          <w:lang w:val="en-US" w:eastAsia="zh-CN"/>
        </w:rPr>
        <w:t>××</w:t>
      </w:r>
      <w:r>
        <w:rPr>
          <w:rFonts w:hint="default" w:ascii="Times New Roman" w:hAnsi="Times New Roman" w:eastAsia="黑体" w:cs="Times New Roman"/>
          <w:b/>
          <w:sz w:val="32"/>
          <w:szCs w:val="32"/>
          <w:highlight w:val="none"/>
          <w:lang w:val="en-US" w:eastAsia="zh-CN"/>
        </w:rPr>
        <w:t>号</w:t>
      </w:r>
    </w:p>
    <w:p>
      <w:pPr>
        <w:ind w:firstLine="0" w:firstLineChars="0"/>
        <w:jc w:val="center"/>
        <w:rPr>
          <w:rFonts w:hint="default" w:ascii="Times New Roman" w:hAnsi="Times New Roman" w:cs="Times New Roman"/>
          <w:b/>
          <w:bCs/>
          <w:spacing w:val="-14"/>
          <w:sz w:val="36"/>
          <w:szCs w:val="36"/>
          <w:highlight w:val="none"/>
          <w:lang w:val="en-US" w:eastAsia="zh-CN"/>
        </w:rPr>
      </w:pPr>
    </w:p>
    <w:p>
      <w:pPr>
        <w:autoSpaceDE w:val="0"/>
        <w:autoSpaceDN w:val="0"/>
        <w:spacing w:line="600" w:lineRule="exact"/>
        <w:ind w:firstLine="0" w:firstLineChars="0"/>
        <w:jc w:val="center"/>
        <w:rPr>
          <w:rFonts w:hint="eastAsia" w:ascii="Times New Roman" w:hAnsi="Times New Roman" w:eastAsia="方正小标宋简体" w:cs="Times New Roman"/>
          <w:kern w:val="0"/>
          <w:sz w:val="44"/>
          <w:szCs w:val="44"/>
          <w:lang w:val="en-US" w:eastAsia="zh-CN" w:bidi="zh-CN"/>
        </w:rPr>
      </w:pPr>
      <w:r>
        <w:rPr>
          <w:rFonts w:hint="eastAsia" w:ascii="Times New Roman" w:hAnsi="Times New Roman" w:eastAsia="方正小标宋简体" w:cs="Times New Roman"/>
          <w:kern w:val="0"/>
          <w:sz w:val="44"/>
          <w:szCs w:val="44"/>
          <w:lang w:val="en-US" w:eastAsia="zh-CN" w:bidi="zh-CN"/>
        </w:rPr>
        <w:t>阿坝县残疾人联合会</w:t>
      </w:r>
    </w:p>
    <w:p>
      <w:pPr>
        <w:autoSpaceDE w:val="0"/>
        <w:autoSpaceDN w:val="0"/>
        <w:spacing w:line="600" w:lineRule="exact"/>
        <w:ind w:firstLine="0" w:firstLineChars="0"/>
        <w:jc w:val="center"/>
        <w:rPr>
          <w:rFonts w:hint="default" w:ascii="Times New Roman" w:hAnsi="Times New Roman" w:eastAsia="方正小标宋简体" w:cs="Times New Roman"/>
          <w:kern w:val="0"/>
          <w:sz w:val="44"/>
          <w:szCs w:val="44"/>
          <w:lang w:val="en-US" w:eastAsia="zh-CN" w:bidi="zh-CN"/>
        </w:rPr>
      </w:pPr>
      <w:r>
        <w:rPr>
          <w:rFonts w:hint="eastAsia" w:ascii="Times New Roman" w:hAnsi="Times New Roman" w:eastAsia="方正小标宋简体" w:cs="Times New Roman"/>
          <w:kern w:val="0"/>
          <w:sz w:val="44"/>
          <w:szCs w:val="44"/>
          <w:lang w:val="en-US" w:eastAsia="zh-CN" w:bidi="zh-CN"/>
        </w:rPr>
        <w:t>2022年部门整体支出</w:t>
      </w:r>
      <w:r>
        <w:rPr>
          <w:rFonts w:hint="default" w:ascii="Times New Roman" w:hAnsi="Times New Roman" w:eastAsia="方正小标宋简体" w:cs="Times New Roman"/>
          <w:kern w:val="0"/>
          <w:sz w:val="44"/>
          <w:szCs w:val="44"/>
          <w:lang w:val="en-US" w:eastAsia="zh-CN" w:bidi="zh-CN"/>
        </w:rPr>
        <w:t>绩效评价报告</w:t>
      </w:r>
    </w:p>
    <w:p>
      <w:pPr>
        <w:pStyle w:val="24"/>
        <w:autoSpaceDE w:val="0"/>
        <w:autoSpaceDN w:val="0"/>
        <w:spacing w:line="600" w:lineRule="exact"/>
        <w:ind w:firstLine="0" w:firstLineChars="0"/>
        <w:jc w:val="center"/>
        <w:rPr>
          <w:rFonts w:hint="default" w:ascii="黑体" w:hAnsi="黑体" w:eastAsia="黑体" w:cs="Times New Roman"/>
          <w:b/>
          <w:sz w:val="32"/>
          <w:szCs w:val="32"/>
        </w:rPr>
      </w:pPr>
      <w:r>
        <w:rPr>
          <w:rFonts w:hint="eastAsia" w:ascii="Times New Roman" w:hAnsi="Times New Roman" w:eastAsia="方正小标宋简体" w:cs="Times New Roman"/>
          <w:kern w:val="0"/>
          <w:sz w:val="44"/>
          <w:szCs w:val="44"/>
          <w:lang w:val="en-US" w:eastAsia="zh-CN" w:bidi="zh-CN"/>
        </w:rPr>
        <w:t>（征求意见稿）</w:t>
      </w:r>
    </w:p>
    <w:p>
      <w:pPr>
        <w:autoSpaceDE w:val="0"/>
        <w:autoSpaceDN w:val="0"/>
        <w:spacing w:line="600" w:lineRule="exact"/>
        <w:ind w:firstLine="0" w:firstLineChars="0"/>
        <w:jc w:val="center"/>
        <w:rPr>
          <w:rFonts w:hint="default" w:ascii="Times New Roman" w:hAnsi="Times New Roman" w:eastAsia="方正小标宋简体" w:cs="Times New Roman"/>
          <w:kern w:val="0"/>
          <w:sz w:val="44"/>
          <w:szCs w:val="44"/>
          <w:lang w:val="en-US" w:eastAsia="zh-CN" w:bidi="zh-CN"/>
        </w:rPr>
      </w:pPr>
    </w:p>
    <w:p>
      <w:pPr>
        <w:spacing w:line="520" w:lineRule="exact"/>
        <w:ind w:firstLine="0" w:firstLineChars="0"/>
        <w:rPr>
          <w:rFonts w:hint="default" w:ascii="黑体" w:hAnsi="黑体" w:eastAsia="黑体" w:cs="黑体"/>
          <w:b/>
          <w:sz w:val="32"/>
          <w:szCs w:val="32"/>
          <w:lang w:val="zh-CN" w:eastAsia="zh-CN"/>
        </w:rPr>
      </w:pPr>
      <w:r>
        <w:rPr>
          <w:rFonts w:hint="eastAsia" w:ascii="黑体" w:hAnsi="黑体" w:eastAsia="黑体" w:cs="黑体"/>
          <w:b/>
          <w:sz w:val="32"/>
          <w:szCs w:val="32"/>
          <w:lang w:val="en-US" w:eastAsia="zh-CN"/>
        </w:rPr>
        <w:t>阿坝县财政局</w:t>
      </w:r>
      <w:r>
        <w:rPr>
          <w:rFonts w:hint="default" w:ascii="黑体" w:hAnsi="黑体" w:eastAsia="黑体" w:cs="黑体"/>
          <w:b/>
          <w:sz w:val="32"/>
          <w:szCs w:val="32"/>
          <w:lang w:val="zh-CN" w:eastAsia="zh-CN"/>
        </w:rPr>
        <w:t>：</w:t>
      </w:r>
    </w:p>
    <w:p>
      <w:pPr>
        <w:spacing w:line="600" w:lineRule="exact"/>
        <w:ind w:left="0" w:leftChars="0" w:firstLine="640" w:firstLineChars="200"/>
        <w:jc w:val="both"/>
        <w:rPr>
          <w:rFonts w:hint="default" w:ascii="Times New Roman" w:hAnsi="Times New Roman" w:eastAsia="仿宋_GB2312" w:cs="Times New Roman"/>
          <w:kern w:val="0"/>
          <w:sz w:val="32"/>
          <w:szCs w:val="32"/>
          <w:highlight w:val="none"/>
          <w:shd w:val="clear" w:color="auto" w:fill="FFFFFF"/>
        </w:rPr>
      </w:pPr>
      <w:r>
        <w:rPr>
          <w:rFonts w:hint="eastAsia" w:ascii="Times New Roman" w:hAnsi="Times New Roman" w:eastAsia="仿宋_GB2312" w:cs="Times New Roman"/>
          <w:color w:val="auto"/>
          <w:kern w:val="0"/>
          <w:sz w:val="32"/>
          <w:szCs w:val="32"/>
          <w:highlight w:val="none"/>
          <w:shd w:val="clear" w:color="auto" w:fill="FFFFFF"/>
          <w:lang w:val="en-US" w:eastAsia="zh-CN"/>
        </w:rPr>
        <w:t>我们接受委托，于</w:t>
      </w:r>
      <w:r>
        <w:rPr>
          <w:rFonts w:hint="default" w:ascii="Times New Roman" w:hAnsi="Times New Roman" w:eastAsia="仿宋_GB2312" w:cs="Times New Roman"/>
          <w:color w:val="auto"/>
          <w:kern w:val="0"/>
          <w:sz w:val="32"/>
          <w:szCs w:val="32"/>
          <w:highlight w:val="none"/>
          <w:shd w:val="clear" w:color="auto" w:fill="FFFFFF"/>
          <w:lang w:val="en-US" w:eastAsia="zh-CN"/>
        </w:rPr>
        <w:t>202</w:t>
      </w:r>
      <w:r>
        <w:rPr>
          <w:rFonts w:hint="eastAsia" w:eastAsia="仿宋_GB2312" w:cs="Times New Roman"/>
          <w:color w:val="auto"/>
          <w:kern w:val="0"/>
          <w:sz w:val="32"/>
          <w:szCs w:val="32"/>
          <w:highlight w:val="none"/>
          <w:shd w:val="clear" w:color="auto" w:fill="FFFFFF"/>
          <w:lang w:val="en-US" w:eastAsia="zh-CN"/>
        </w:rPr>
        <w:t>3</w:t>
      </w:r>
      <w:r>
        <w:rPr>
          <w:rFonts w:hint="eastAsia" w:ascii="Times New Roman" w:hAnsi="Times New Roman" w:eastAsia="仿宋_GB2312" w:cs="Times New Roman"/>
          <w:color w:val="auto"/>
          <w:kern w:val="0"/>
          <w:sz w:val="32"/>
          <w:szCs w:val="32"/>
          <w:highlight w:val="none"/>
          <w:shd w:val="clear" w:color="auto" w:fill="FFFFFF"/>
          <w:lang w:val="en-US" w:eastAsia="zh-CN"/>
        </w:rPr>
        <w:t>年</w:t>
      </w:r>
      <w:r>
        <w:rPr>
          <w:rFonts w:hint="eastAsia" w:eastAsia="仿宋_GB2312" w:cs="Times New Roman"/>
          <w:color w:val="auto"/>
          <w:kern w:val="0"/>
          <w:sz w:val="32"/>
          <w:szCs w:val="32"/>
          <w:highlight w:val="none"/>
          <w:shd w:val="clear" w:color="auto" w:fill="FFFFFF"/>
          <w:lang w:val="en-US" w:eastAsia="zh-CN"/>
        </w:rPr>
        <w:t>10</w:t>
      </w:r>
      <w:r>
        <w:rPr>
          <w:rFonts w:hint="eastAsia" w:ascii="Times New Roman" w:hAnsi="Times New Roman" w:eastAsia="仿宋_GB2312" w:cs="Times New Roman"/>
          <w:color w:val="auto"/>
          <w:kern w:val="0"/>
          <w:sz w:val="32"/>
          <w:szCs w:val="32"/>
          <w:highlight w:val="none"/>
          <w:shd w:val="clear" w:color="auto" w:fill="FFFFFF"/>
          <w:lang w:val="en-US" w:eastAsia="zh-CN"/>
        </w:rPr>
        <w:t>月</w:t>
      </w:r>
      <w:r>
        <w:rPr>
          <w:rFonts w:hint="eastAsia" w:eastAsia="仿宋_GB2312" w:cs="Times New Roman"/>
          <w:color w:val="auto"/>
          <w:kern w:val="0"/>
          <w:sz w:val="32"/>
          <w:szCs w:val="32"/>
          <w:highlight w:val="none"/>
          <w:shd w:val="clear" w:color="auto" w:fill="FFFFFF"/>
          <w:lang w:val="en-US" w:eastAsia="zh-CN"/>
        </w:rPr>
        <w:t>22</w:t>
      </w:r>
      <w:r>
        <w:rPr>
          <w:rFonts w:hint="eastAsia" w:ascii="Times New Roman" w:hAnsi="Times New Roman" w:eastAsia="仿宋_GB2312" w:cs="Times New Roman"/>
          <w:color w:val="auto"/>
          <w:kern w:val="0"/>
          <w:sz w:val="32"/>
          <w:szCs w:val="32"/>
          <w:highlight w:val="none"/>
          <w:shd w:val="clear" w:color="auto" w:fill="FFFFFF"/>
          <w:lang w:val="en-US" w:eastAsia="zh-CN"/>
        </w:rPr>
        <w:t>日-202</w:t>
      </w:r>
      <w:r>
        <w:rPr>
          <w:rFonts w:hint="eastAsia" w:eastAsia="仿宋_GB2312" w:cs="Times New Roman"/>
          <w:color w:val="auto"/>
          <w:kern w:val="0"/>
          <w:sz w:val="32"/>
          <w:szCs w:val="32"/>
          <w:highlight w:val="none"/>
          <w:shd w:val="clear" w:color="auto" w:fill="FFFFFF"/>
          <w:lang w:val="en-US" w:eastAsia="zh-CN"/>
        </w:rPr>
        <w:t>3</w:t>
      </w:r>
      <w:r>
        <w:rPr>
          <w:rFonts w:hint="eastAsia" w:ascii="Times New Roman" w:hAnsi="Times New Roman" w:eastAsia="仿宋_GB2312" w:cs="Times New Roman"/>
          <w:color w:val="auto"/>
          <w:kern w:val="0"/>
          <w:sz w:val="32"/>
          <w:szCs w:val="32"/>
          <w:highlight w:val="none"/>
          <w:shd w:val="clear" w:color="auto" w:fill="FFFFFF"/>
          <w:lang w:val="en-US" w:eastAsia="zh-CN"/>
        </w:rPr>
        <w:t>年</w:t>
      </w:r>
      <w:r>
        <w:rPr>
          <w:rFonts w:hint="eastAsia" w:eastAsia="仿宋_GB2312" w:cs="Times New Roman"/>
          <w:color w:val="auto"/>
          <w:kern w:val="0"/>
          <w:sz w:val="32"/>
          <w:szCs w:val="32"/>
          <w:highlight w:val="none"/>
          <w:shd w:val="clear" w:color="auto" w:fill="FFFFFF"/>
          <w:lang w:val="en-US" w:eastAsia="zh-CN"/>
        </w:rPr>
        <w:t>11</w:t>
      </w:r>
      <w:r>
        <w:rPr>
          <w:rFonts w:hint="eastAsia" w:ascii="Times New Roman" w:hAnsi="Times New Roman" w:eastAsia="仿宋_GB2312" w:cs="Times New Roman"/>
          <w:color w:val="auto"/>
          <w:kern w:val="0"/>
          <w:sz w:val="32"/>
          <w:szCs w:val="32"/>
          <w:highlight w:val="none"/>
          <w:shd w:val="clear" w:color="auto" w:fill="FFFFFF"/>
          <w:lang w:val="en-US" w:eastAsia="zh-CN"/>
        </w:rPr>
        <w:t>月</w:t>
      </w:r>
      <w:r>
        <w:rPr>
          <w:rFonts w:hint="eastAsia" w:eastAsia="仿宋_GB2312" w:cs="Times New Roman"/>
          <w:color w:val="auto"/>
          <w:kern w:val="0"/>
          <w:sz w:val="32"/>
          <w:szCs w:val="32"/>
          <w:highlight w:val="none"/>
          <w:shd w:val="clear" w:color="auto" w:fill="FFFFFF"/>
          <w:lang w:val="en-US" w:eastAsia="zh-CN"/>
        </w:rPr>
        <w:t>30</w:t>
      </w:r>
      <w:r>
        <w:rPr>
          <w:rFonts w:hint="eastAsia" w:ascii="Times New Roman" w:hAnsi="Times New Roman" w:eastAsia="仿宋_GB2312" w:cs="Times New Roman"/>
          <w:color w:val="auto"/>
          <w:kern w:val="0"/>
          <w:sz w:val="32"/>
          <w:szCs w:val="32"/>
          <w:highlight w:val="none"/>
          <w:shd w:val="clear" w:color="auto" w:fill="FFFFFF"/>
          <w:lang w:val="en-US" w:eastAsia="zh-CN"/>
        </w:rPr>
        <w:t>日对</w:t>
      </w:r>
      <w:r>
        <w:rPr>
          <w:rFonts w:hint="eastAsia" w:eastAsia="仿宋_GB2312" w:cs="Times New Roman"/>
          <w:color w:val="auto"/>
          <w:kern w:val="0"/>
          <w:sz w:val="32"/>
          <w:szCs w:val="32"/>
          <w:highlight w:val="none"/>
          <w:shd w:val="clear" w:color="auto" w:fill="FFFFFF"/>
          <w:lang w:val="en-US" w:eastAsia="zh-CN"/>
        </w:rPr>
        <w:t>“阿坝县残疾人联合会2022年部门整体支出”</w:t>
      </w:r>
      <w:r>
        <w:rPr>
          <w:rFonts w:hint="eastAsia" w:ascii="Times New Roman" w:hAnsi="Times New Roman" w:eastAsia="仿宋_GB2312" w:cs="Times New Roman"/>
          <w:color w:val="auto"/>
          <w:kern w:val="0"/>
          <w:sz w:val="32"/>
          <w:szCs w:val="32"/>
          <w:highlight w:val="none"/>
          <w:shd w:val="clear" w:color="auto" w:fill="FFFFFF"/>
          <w:lang w:val="en-US" w:eastAsia="zh-CN"/>
        </w:rPr>
        <w:t>财政支出进行绩效评价。</w:t>
      </w:r>
      <w:r>
        <w:rPr>
          <w:rFonts w:hint="eastAsia" w:eastAsia="仿宋_GB2312" w:cs="Times New Roman"/>
          <w:color w:val="auto"/>
          <w:kern w:val="0"/>
          <w:sz w:val="32"/>
          <w:szCs w:val="32"/>
          <w:highlight w:val="none"/>
          <w:shd w:val="clear" w:color="auto" w:fill="FFFFFF"/>
          <w:lang w:val="en-US" w:eastAsia="zh-CN"/>
        </w:rPr>
        <w:t>阿坝县残疾人联合会</w:t>
      </w:r>
      <w:r>
        <w:rPr>
          <w:rFonts w:hint="eastAsia" w:ascii="Times New Roman" w:hAnsi="Times New Roman" w:eastAsia="仿宋_GB2312" w:cs="Times New Roman"/>
          <w:color w:val="auto"/>
          <w:kern w:val="0"/>
          <w:sz w:val="32"/>
          <w:szCs w:val="32"/>
          <w:highlight w:val="none"/>
          <w:shd w:val="clear" w:color="auto" w:fill="FFFFFF"/>
          <w:lang w:val="en-US" w:eastAsia="zh-CN"/>
        </w:rPr>
        <w:t>作为被评价单位，提供了与本次</w:t>
      </w:r>
      <w:r>
        <w:rPr>
          <w:rFonts w:hint="eastAsia" w:eastAsia="仿宋_GB2312" w:cs="Times New Roman"/>
          <w:color w:val="auto"/>
          <w:kern w:val="0"/>
          <w:sz w:val="32"/>
          <w:szCs w:val="32"/>
          <w:highlight w:val="none"/>
          <w:shd w:val="clear" w:color="auto" w:fill="FFFFFF"/>
          <w:lang w:val="en-US" w:eastAsia="zh-CN"/>
        </w:rPr>
        <w:t>部门整体支出</w:t>
      </w:r>
      <w:r>
        <w:rPr>
          <w:rFonts w:hint="eastAsia" w:ascii="Times New Roman" w:hAnsi="Times New Roman" w:eastAsia="仿宋_GB2312" w:cs="Times New Roman"/>
          <w:color w:val="auto"/>
          <w:kern w:val="0"/>
          <w:sz w:val="32"/>
          <w:szCs w:val="32"/>
          <w:highlight w:val="none"/>
          <w:shd w:val="clear" w:color="auto" w:fill="FFFFFF"/>
          <w:lang w:val="en-US" w:eastAsia="zh-CN"/>
        </w:rPr>
        <w:t>绩效评价相关的资料，并对这些资料的真实性、合法性和完整性负责。我们的责任是依据被评价单位提供的评价基础资料，根据《国务院关于深化预算管理制度改革的决定》（国发〔2014〕45号）、《预算法》以及《四川省财政支出绩效评价管理办法》的规定，按照《中共四川省委 四川省人民政府关于全面实施预算绩效管理的实施意见》（川委发〔2019〕8号）、《四川省财政厅关于开展2023年财政重点绩效评价工作的通知》（川财绩〔2023〕9号）和《阿坝州财政局关于做好财政厅2023年政策和项目支出绩效评价工作的通知》（阿州财监绩〔2023〕21号）</w:t>
      </w:r>
      <w:r>
        <w:rPr>
          <w:rFonts w:hint="eastAsia" w:eastAsia="仿宋_GB2312" w:cs="Times New Roman"/>
          <w:color w:val="auto"/>
          <w:kern w:val="0"/>
          <w:sz w:val="32"/>
          <w:szCs w:val="32"/>
          <w:highlight w:val="none"/>
          <w:shd w:val="clear" w:color="auto" w:fill="FFFFFF"/>
          <w:lang w:val="en-US" w:eastAsia="zh-CN"/>
        </w:rPr>
        <w:t>《阿坝县财政局关于开展2023年部门、政策和项目支出绩效评价工作的通知》（阿县财监绩〔2023〕30号）</w:t>
      </w:r>
      <w:r>
        <w:rPr>
          <w:rFonts w:hint="eastAsia" w:ascii="Times New Roman" w:hAnsi="Times New Roman" w:eastAsia="仿宋_GB2312" w:cs="Times New Roman"/>
          <w:color w:val="auto"/>
          <w:kern w:val="0"/>
          <w:sz w:val="32"/>
          <w:szCs w:val="32"/>
          <w:highlight w:val="none"/>
          <w:shd w:val="clear" w:color="auto" w:fill="FFFFFF"/>
          <w:lang w:val="en-US" w:eastAsia="zh-CN"/>
        </w:rPr>
        <w:t>的相关要求，遵循科学性、规范性、客观性和公正性的原则，对</w:t>
      </w:r>
      <w:r>
        <w:rPr>
          <w:rFonts w:hint="eastAsia" w:eastAsia="仿宋_GB2312" w:cs="Times New Roman"/>
          <w:color w:val="auto"/>
          <w:kern w:val="0"/>
          <w:sz w:val="32"/>
          <w:szCs w:val="32"/>
          <w:highlight w:val="none"/>
          <w:shd w:val="clear" w:color="auto" w:fill="FFFFFF"/>
          <w:lang w:val="en-US" w:eastAsia="zh-CN"/>
        </w:rPr>
        <w:t>“阿坝县残疾人联合会2022年部门整体支出”</w:t>
      </w:r>
      <w:r>
        <w:rPr>
          <w:rFonts w:hint="eastAsia" w:ascii="Times New Roman" w:hAnsi="Times New Roman" w:eastAsia="仿宋_GB2312" w:cs="Times New Roman"/>
          <w:color w:val="auto"/>
          <w:kern w:val="0"/>
          <w:sz w:val="32"/>
          <w:szCs w:val="32"/>
          <w:highlight w:val="none"/>
          <w:shd w:val="clear" w:color="auto" w:fill="FFFFFF"/>
          <w:lang w:val="en-US" w:eastAsia="zh-CN"/>
        </w:rPr>
        <w:t>财政支出绩效实施了评价，形成本评价报告。我们相信，我们的评价工作为发表意见提供了合理的基础。本次评价具体情况如下：</w:t>
      </w:r>
    </w:p>
    <w:p>
      <w:pPr>
        <w:pStyle w:val="2"/>
        <w:spacing w:before="156" w:after="156" w:line="600" w:lineRule="exact"/>
        <w:ind w:firstLine="602"/>
        <w:rPr>
          <w:rFonts w:hint="default" w:ascii="Times New Roman" w:hAnsi="Times New Roman" w:cs="Times New Roman"/>
          <w:sz w:val="30"/>
          <w:szCs w:val="30"/>
          <w:highlight w:val="none"/>
        </w:rPr>
      </w:pPr>
      <w:bookmarkStart w:id="5" w:name="_Toc16362"/>
      <w:bookmarkStart w:id="6" w:name="_Toc29114"/>
      <w:bookmarkStart w:id="7" w:name="_Toc8760"/>
      <w:bookmarkStart w:id="8" w:name="_Toc8512"/>
      <w:r>
        <w:rPr>
          <w:rFonts w:hint="default" w:ascii="Times New Roman" w:hAnsi="Times New Roman" w:cs="Times New Roman"/>
          <w:sz w:val="30"/>
          <w:szCs w:val="30"/>
          <w:highlight w:val="none"/>
        </w:rPr>
        <w:t>一、</w:t>
      </w:r>
      <w:bookmarkEnd w:id="5"/>
      <w:r>
        <w:rPr>
          <w:rFonts w:hint="default" w:ascii="Times New Roman" w:hAnsi="Times New Roman" w:cs="Times New Roman"/>
          <w:sz w:val="30"/>
          <w:szCs w:val="30"/>
          <w:highlight w:val="none"/>
        </w:rPr>
        <w:t>部门概况</w:t>
      </w:r>
      <w:bookmarkEnd w:id="6"/>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highlight w:val="none"/>
        </w:rPr>
      </w:pPr>
      <w:bookmarkStart w:id="9" w:name="_Toc4894"/>
      <w:r>
        <w:rPr>
          <w:rFonts w:hint="default" w:ascii="Times New Roman" w:hAnsi="Times New Roman" w:eastAsia="楷体_GB2312" w:cs="Times New Roman"/>
          <w:color w:val="auto"/>
          <w:sz w:val="32"/>
          <w:highlight w:val="none"/>
        </w:rPr>
        <w:t>（一）部门机构设置、编制、职责</w:t>
      </w:r>
      <w:bookmarkEnd w:id="9"/>
    </w:p>
    <w:p>
      <w:pPr>
        <w:pStyle w:val="4"/>
        <w:pageBreakBefore w:val="0"/>
        <w:widowControl w:val="0"/>
        <w:kinsoku/>
        <w:wordWrap/>
        <w:overflowPunct/>
        <w:topLinePunct w:val="0"/>
        <w:autoSpaceDE/>
        <w:autoSpaceDN/>
        <w:bidi w:val="0"/>
        <w:adjustRightInd/>
        <w:spacing w:line="600" w:lineRule="exact"/>
        <w:ind w:firstLine="640"/>
        <w:textAlignment w:val="auto"/>
        <w:rPr>
          <w:rFonts w:hint="default" w:ascii="Times New Roman" w:hAnsi="Times New Roman" w:eastAsia="仿宋_GB2312" w:cs="Times New Roman"/>
          <w:highlight w:val="none"/>
        </w:rPr>
      </w:pPr>
      <w:bookmarkStart w:id="10" w:name="_Toc27673"/>
      <w:bookmarkStart w:id="11" w:name="_Toc28022"/>
      <w:bookmarkStart w:id="12" w:name="_Toc55586766"/>
      <w:r>
        <w:rPr>
          <w:rFonts w:hint="default" w:ascii="Times New Roman" w:hAnsi="Times New Roman" w:eastAsia="仿宋_GB2312" w:cs="Times New Roman"/>
          <w:highlight w:val="none"/>
          <w:lang w:val="en-US" w:eastAsia="zh-CN"/>
        </w:rPr>
        <w:t>1、</w:t>
      </w:r>
      <w:r>
        <w:rPr>
          <w:rFonts w:hint="default" w:ascii="Times New Roman" w:hAnsi="Times New Roman" w:eastAsia="仿宋_GB2312" w:cs="Times New Roman"/>
          <w:highlight w:val="none"/>
        </w:rPr>
        <w:t>部门机构设置</w:t>
      </w:r>
      <w:bookmarkEnd w:id="10"/>
      <w:bookmarkEnd w:id="11"/>
      <w:bookmarkEnd w:id="12"/>
    </w:p>
    <w:p>
      <w:pPr>
        <w:spacing w:line="600" w:lineRule="exact"/>
        <w:ind w:left="0" w:leftChars="0" w:firstLine="640" w:firstLineChars="200"/>
        <w:jc w:val="both"/>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eastAsia" w:eastAsia="仿宋_GB2312" w:cs="Times New Roman"/>
          <w:color w:val="auto"/>
          <w:kern w:val="0"/>
          <w:sz w:val="32"/>
          <w:szCs w:val="32"/>
          <w:highlight w:val="none"/>
          <w:shd w:val="clear" w:color="auto" w:fill="FFFFFF"/>
          <w:lang w:val="en-US" w:eastAsia="zh-CN"/>
        </w:rPr>
        <w:t>阿坝县残疾人联合会为独立核算全额拨款参照公务员法管理的事业单位，无下属二级预算单位，执行事业单位财务会计制度。内设机构为办公室、就业扶贫股、教育股、康复股。</w:t>
      </w:r>
    </w:p>
    <w:p>
      <w:pPr>
        <w:pStyle w:val="4"/>
        <w:spacing w:line="600" w:lineRule="exact"/>
        <w:ind w:firstLine="640"/>
        <w:rPr>
          <w:rFonts w:hint="default" w:ascii="Times New Roman" w:hAnsi="Times New Roman" w:eastAsia="仿宋_GB2312" w:cs="Times New Roman"/>
          <w:kern w:val="0"/>
          <w:sz w:val="32"/>
          <w:szCs w:val="32"/>
          <w:highlight w:val="none"/>
          <w:shd w:val="clear" w:color="auto" w:fill="FFFFFF"/>
        </w:rPr>
      </w:pPr>
      <w:bookmarkStart w:id="13" w:name="_Toc553"/>
      <w:bookmarkStart w:id="14" w:name="_Toc22180"/>
      <w:bookmarkStart w:id="15" w:name="_Toc55586767"/>
      <w:r>
        <w:rPr>
          <w:rFonts w:hint="default" w:ascii="Times New Roman" w:hAnsi="Times New Roman" w:eastAsia="仿宋_GB2312" w:cs="Times New Roman"/>
          <w:highlight w:val="none"/>
          <w:lang w:val="en-US" w:eastAsia="zh-CN"/>
        </w:rPr>
        <w:t>2</w:t>
      </w:r>
      <w:r>
        <w:rPr>
          <w:rFonts w:hint="default" w:ascii="Times New Roman" w:hAnsi="Times New Roman" w:eastAsia="仿宋_GB2312" w:cs="Times New Roman"/>
          <w:highlight w:val="none"/>
        </w:rPr>
        <w:t>、部门编制</w:t>
      </w:r>
      <w:bookmarkEnd w:id="13"/>
      <w:bookmarkEnd w:id="14"/>
      <w:bookmarkEnd w:id="15"/>
    </w:p>
    <w:p>
      <w:pPr>
        <w:keepNext w:val="0"/>
        <w:keepLines w:val="0"/>
        <w:pageBreakBefore w:val="0"/>
        <w:kinsoku/>
        <w:wordWrap/>
        <w:overflowPunct/>
        <w:topLinePunct w:val="0"/>
        <w:autoSpaceDE/>
        <w:autoSpaceDN/>
        <w:bidi w:val="0"/>
        <w:ind w:firstLine="640"/>
        <w:jc w:val="both"/>
        <w:textAlignment w:val="auto"/>
        <w:rPr>
          <w:rFonts w:hint="default" w:ascii="Times New Roman" w:hAnsi="Times New Roman" w:eastAsia="仿宋_GB2312" w:cs="Times New Roman"/>
          <w:b/>
          <w:bCs/>
          <w:color w:val="000000"/>
          <w:kern w:val="0"/>
          <w:sz w:val="28"/>
          <w:szCs w:val="28"/>
          <w:highlight w:val="none"/>
          <w:shd w:val="clear" w:color="auto" w:fill="FFFFFF"/>
          <w:lang w:val="en-US" w:eastAsia="zh-CN"/>
        </w:rPr>
      </w:pPr>
      <w:r>
        <w:rPr>
          <w:rFonts w:hint="default" w:ascii="Times New Roman" w:hAnsi="Times New Roman" w:eastAsia="仿宋_GB2312" w:cs="Times New Roman"/>
          <w:b/>
          <w:bCs/>
          <w:kern w:val="2"/>
          <w:sz w:val="32"/>
          <w:szCs w:val="32"/>
          <w:highlight w:val="none"/>
          <w:lang w:val="en-US" w:eastAsia="zh-CN" w:bidi="ar-SA"/>
        </w:rPr>
        <w:t>（1）人员配备</w:t>
      </w:r>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根据</w:t>
      </w:r>
      <w:r>
        <w:rPr>
          <w:rFonts w:hint="default" w:ascii="Times New Roman" w:hAnsi="Times New Roman" w:eastAsia="仿宋_GB2312" w:cs="Times New Roman"/>
          <w:sz w:val="32"/>
          <w:szCs w:val="32"/>
          <w:highlight w:val="none"/>
          <w:lang w:eastAsia="zh-CN"/>
        </w:rPr>
        <w:t>《中共</w:t>
      </w:r>
      <w:r>
        <w:rPr>
          <w:rFonts w:hint="eastAsia" w:eastAsia="仿宋_GB2312" w:cs="Times New Roman"/>
          <w:sz w:val="32"/>
          <w:szCs w:val="32"/>
          <w:highlight w:val="none"/>
          <w:lang w:eastAsia="zh-CN"/>
        </w:rPr>
        <w:t>阿坝县</w:t>
      </w:r>
      <w:r>
        <w:rPr>
          <w:rFonts w:hint="default" w:ascii="Times New Roman" w:hAnsi="Times New Roman" w:eastAsia="仿宋_GB2312" w:cs="Times New Roman"/>
          <w:sz w:val="32"/>
          <w:szCs w:val="32"/>
          <w:highlight w:val="none"/>
          <w:lang w:eastAsia="zh-CN"/>
        </w:rPr>
        <w:t>委</w:t>
      </w:r>
      <w:r>
        <w:rPr>
          <w:rFonts w:hint="eastAsia" w:eastAsia="仿宋_GB2312" w:cs="Times New Roman"/>
          <w:sz w:val="32"/>
          <w:szCs w:val="32"/>
          <w:highlight w:val="none"/>
          <w:lang w:val="en-US" w:eastAsia="zh-CN"/>
        </w:rPr>
        <w:t>办公室</w:t>
      </w:r>
      <w:r>
        <w:rPr>
          <w:rFonts w:hint="default" w:ascii="Times New Roman" w:hAnsi="Times New Roman" w:eastAsia="仿宋_GB2312" w:cs="Times New Roman"/>
          <w:sz w:val="32"/>
          <w:szCs w:val="32"/>
          <w:highlight w:val="none"/>
          <w:lang w:eastAsia="zh-CN"/>
        </w:rPr>
        <w:t>印发〈</w:t>
      </w:r>
      <w:r>
        <w:rPr>
          <w:rFonts w:hint="eastAsia" w:eastAsia="仿宋_GB2312" w:cs="Times New Roman"/>
          <w:sz w:val="32"/>
          <w:szCs w:val="32"/>
          <w:highlight w:val="none"/>
          <w:lang w:val="en-US" w:eastAsia="zh-CN"/>
        </w:rPr>
        <w:t>阿坝县残疾人联合会主要职责、内设机构和人员编制规定</w:t>
      </w:r>
      <w:r>
        <w:rPr>
          <w:rFonts w:hint="default" w:ascii="Times New Roman" w:hAnsi="Times New Roman" w:eastAsia="仿宋_GB2312" w:cs="Times New Roman"/>
          <w:sz w:val="32"/>
          <w:szCs w:val="32"/>
          <w:highlight w:val="none"/>
          <w:lang w:eastAsia="zh-CN"/>
        </w:rPr>
        <w:t>〉的通知》（</w:t>
      </w:r>
      <w:r>
        <w:rPr>
          <w:rFonts w:hint="eastAsia" w:eastAsia="仿宋_GB2312" w:cs="Times New Roman"/>
          <w:sz w:val="32"/>
          <w:szCs w:val="32"/>
          <w:highlight w:val="none"/>
          <w:lang w:val="en-US" w:eastAsia="zh-CN"/>
        </w:rPr>
        <w:t>阿县委办发</w:t>
      </w:r>
      <w:r>
        <w:rPr>
          <w:rFonts w:hint="default" w:ascii="Times New Roman" w:hAnsi="Times New Roman" w:eastAsia="仿宋_GB2312" w:cs="Times New Roman"/>
          <w:sz w:val="32"/>
          <w:szCs w:val="32"/>
          <w:highlight w:val="none"/>
          <w:lang w:eastAsia="zh-CN"/>
        </w:rPr>
        <w:t>〔20</w:t>
      </w:r>
      <w:r>
        <w:rPr>
          <w:rFonts w:hint="eastAsia" w:eastAsia="仿宋_GB2312" w:cs="Times New Roman"/>
          <w:sz w:val="32"/>
          <w:szCs w:val="32"/>
          <w:highlight w:val="none"/>
          <w:lang w:val="en-US" w:eastAsia="zh-CN"/>
        </w:rPr>
        <w:t>11</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号）</w:t>
      </w:r>
      <w:r>
        <w:rPr>
          <w:rFonts w:hint="eastAsia" w:eastAsia="仿宋_GB2312" w:cs="Times New Roman"/>
          <w:color w:val="000000"/>
          <w:kern w:val="0"/>
          <w:sz w:val="32"/>
          <w:szCs w:val="32"/>
          <w:highlight w:val="none"/>
          <w:lang w:val="en-US" w:eastAsia="zh-CN" w:bidi="ar"/>
        </w:rPr>
        <w:t>，县</w:t>
      </w:r>
      <w:r>
        <w:rPr>
          <w:rFonts w:hint="eastAsia" w:eastAsia="仿宋_GB2312" w:cs="Times New Roman"/>
          <w:sz w:val="32"/>
          <w:szCs w:val="32"/>
          <w:highlight w:val="none"/>
          <w:lang w:val="en-US" w:eastAsia="zh-CN"/>
        </w:rPr>
        <w:t>残疾人联合会事业</w:t>
      </w:r>
      <w:r>
        <w:rPr>
          <w:rFonts w:hint="eastAsia" w:eastAsia="仿宋_GB2312" w:cs="Times New Roman"/>
          <w:color w:val="000000"/>
          <w:kern w:val="0"/>
          <w:sz w:val="32"/>
          <w:szCs w:val="32"/>
          <w:highlight w:val="none"/>
          <w:lang w:val="en-US" w:eastAsia="zh-CN" w:bidi="ar"/>
        </w:rPr>
        <w:t>编制6名。其中：理事长1名（为正科级）。</w:t>
      </w:r>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截止2022年底</w:t>
      </w:r>
      <w:r>
        <w:rPr>
          <w:rFonts w:hint="eastAsia" w:eastAsia="仿宋_GB2312" w:cs="Times New Roman"/>
          <w:color w:val="000000"/>
          <w:kern w:val="0"/>
          <w:sz w:val="32"/>
          <w:szCs w:val="32"/>
          <w:highlight w:val="none"/>
          <w:lang w:val="en-US" w:eastAsia="zh-CN" w:bidi="ar"/>
        </w:rPr>
        <w:t>单位在职人数7人，其中</w:t>
      </w:r>
      <w:r>
        <w:rPr>
          <w:rFonts w:hint="default" w:ascii="Times New Roman" w:hAnsi="Times New Roman" w:eastAsia="仿宋_GB2312" w:cs="Times New Roman"/>
          <w:color w:val="000000"/>
          <w:kern w:val="0"/>
          <w:sz w:val="32"/>
          <w:szCs w:val="32"/>
          <w:highlight w:val="none"/>
          <w:lang w:val="en-US" w:eastAsia="zh-CN" w:bidi="ar"/>
        </w:rPr>
        <w:t>核定</w:t>
      </w:r>
      <w:r>
        <w:rPr>
          <w:rFonts w:hint="eastAsia" w:eastAsia="仿宋_GB2312" w:cs="Times New Roman"/>
          <w:color w:val="000000"/>
          <w:kern w:val="0"/>
          <w:sz w:val="32"/>
          <w:szCs w:val="32"/>
          <w:highlight w:val="none"/>
          <w:lang w:val="en-US" w:eastAsia="zh-CN" w:bidi="ar"/>
        </w:rPr>
        <w:t>事业</w:t>
      </w:r>
      <w:r>
        <w:rPr>
          <w:rFonts w:hint="default" w:ascii="Times New Roman" w:hAnsi="Times New Roman" w:eastAsia="仿宋_GB2312" w:cs="Times New Roman"/>
          <w:color w:val="000000"/>
          <w:kern w:val="0"/>
          <w:sz w:val="32"/>
          <w:szCs w:val="32"/>
          <w:highlight w:val="none"/>
          <w:lang w:val="en-US" w:eastAsia="zh-CN" w:bidi="ar"/>
        </w:rPr>
        <w:t>编制</w:t>
      </w:r>
      <w:r>
        <w:rPr>
          <w:rFonts w:hint="eastAsia" w:eastAsia="仿宋_GB2312" w:cs="Times New Roman"/>
          <w:color w:val="000000"/>
          <w:kern w:val="0"/>
          <w:sz w:val="32"/>
          <w:szCs w:val="32"/>
          <w:highlight w:val="none"/>
          <w:lang w:val="en-US" w:eastAsia="zh-CN" w:bidi="ar"/>
        </w:rPr>
        <w:t>6</w:t>
      </w:r>
      <w:r>
        <w:rPr>
          <w:rFonts w:hint="default" w:ascii="Times New Roman" w:hAnsi="Times New Roman" w:eastAsia="仿宋_GB2312" w:cs="Times New Roman"/>
          <w:color w:val="000000"/>
          <w:kern w:val="0"/>
          <w:sz w:val="32"/>
          <w:szCs w:val="32"/>
          <w:highlight w:val="none"/>
          <w:lang w:val="en-US" w:eastAsia="zh-CN" w:bidi="ar"/>
        </w:rPr>
        <w:t>人</w:t>
      </w:r>
      <w:r>
        <w:rPr>
          <w:rFonts w:hint="eastAsia" w:eastAsia="仿宋_GB2312" w:cs="Times New Roman"/>
          <w:color w:val="000000"/>
          <w:kern w:val="0"/>
          <w:sz w:val="32"/>
          <w:szCs w:val="32"/>
          <w:highlight w:val="none"/>
          <w:lang w:val="en-US" w:eastAsia="zh-CN" w:bidi="ar"/>
        </w:rPr>
        <w:t>，行政工勤1名</w:t>
      </w:r>
      <w:r>
        <w:rPr>
          <w:rFonts w:hint="default" w:ascii="Times New Roman" w:hAnsi="Times New Roman" w:eastAsia="仿宋_GB2312" w:cs="Times New Roman"/>
          <w:color w:val="000000"/>
          <w:kern w:val="0"/>
          <w:sz w:val="32"/>
          <w:szCs w:val="32"/>
          <w:highlight w:val="none"/>
          <w:lang w:val="en-US" w:eastAsia="zh-CN" w:bidi="ar"/>
        </w:rPr>
        <w:t>。</w:t>
      </w:r>
    </w:p>
    <w:p>
      <w:pPr>
        <w:keepNext w:val="0"/>
        <w:keepLines w:val="0"/>
        <w:pageBreakBefore w:val="0"/>
        <w:kinsoku/>
        <w:wordWrap/>
        <w:overflowPunct/>
        <w:topLinePunct w:val="0"/>
        <w:autoSpaceDE/>
        <w:autoSpaceDN/>
        <w:bidi w:val="0"/>
        <w:ind w:firstLine="640"/>
        <w:jc w:val="both"/>
        <w:textAlignment w:val="auto"/>
        <w:rPr>
          <w:rFonts w:hint="default" w:ascii="Times New Roman" w:hAnsi="Times New Roman" w:eastAsia="仿宋_GB2312" w:cs="Times New Roman"/>
          <w:b/>
          <w:bCs/>
          <w:color w:val="000000"/>
          <w:kern w:val="0"/>
          <w:sz w:val="32"/>
          <w:szCs w:val="32"/>
          <w:highlight w:val="none"/>
          <w:shd w:val="clear" w:color="auto" w:fill="FFFFFF"/>
          <w:lang w:val="en-US" w:eastAsia="zh-CN"/>
        </w:rPr>
      </w:pPr>
      <w:r>
        <w:rPr>
          <w:rFonts w:hint="default" w:ascii="Times New Roman" w:hAnsi="Times New Roman" w:eastAsia="仿宋_GB2312" w:cs="Times New Roman"/>
          <w:b/>
          <w:bCs/>
          <w:kern w:val="2"/>
          <w:sz w:val="32"/>
          <w:szCs w:val="32"/>
          <w:highlight w:val="none"/>
          <w:lang w:val="en-US" w:eastAsia="zh-CN" w:bidi="ar-SA"/>
        </w:rPr>
        <w:t>（2）人员结构</w:t>
      </w:r>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阿坝县残疾人联合会</w:t>
      </w:r>
      <w:r>
        <w:rPr>
          <w:rFonts w:hint="default" w:ascii="Times New Roman" w:hAnsi="Times New Roman" w:eastAsia="仿宋_GB2312" w:cs="Times New Roman"/>
          <w:color w:val="000000"/>
          <w:kern w:val="0"/>
          <w:sz w:val="32"/>
          <w:szCs w:val="32"/>
          <w:highlight w:val="none"/>
          <w:lang w:val="en-US" w:eastAsia="zh-CN" w:bidi="ar"/>
        </w:rPr>
        <w:t>在岗人员男性</w:t>
      </w:r>
      <w:r>
        <w:rPr>
          <w:rFonts w:hint="eastAsia" w:eastAsia="仿宋_GB2312" w:cs="Times New Roman"/>
          <w:color w:val="000000"/>
          <w:kern w:val="0"/>
          <w:sz w:val="32"/>
          <w:szCs w:val="32"/>
          <w:highlight w:val="none"/>
          <w:lang w:val="en-US" w:eastAsia="zh-CN" w:bidi="ar"/>
        </w:rPr>
        <w:t>4</w:t>
      </w:r>
      <w:r>
        <w:rPr>
          <w:rFonts w:hint="default" w:ascii="Times New Roman" w:hAnsi="Times New Roman" w:eastAsia="仿宋_GB2312" w:cs="Times New Roman"/>
          <w:color w:val="000000"/>
          <w:kern w:val="0"/>
          <w:sz w:val="32"/>
          <w:szCs w:val="32"/>
          <w:highlight w:val="none"/>
          <w:lang w:val="en-US" w:eastAsia="zh-CN" w:bidi="ar"/>
        </w:rPr>
        <w:t>人，女性</w:t>
      </w:r>
      <w:r>
        <w:rPr>
          <w:rFonts w:hint="eastAsia"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人，男女比例为</w:t>
      </w:r>
      <w:r>
        <w:rPr>
          <w:rFonts w:hint="eastAsia" w:eastAsia="仿宋_GB2312" w:cs="Times New Roman"/>
          <w:color w:val="000000"/>
          <w:kern w:val="0"/>
          <w:sz w:val="32"/>
          <w:szCs w:val="32"/>
          <w:highlight w:val="none"/>
          <w:lang w:val="en-US" w:eastAsia="zh-CN" w:bidi="ar"/>
        </w:rPr>
        <w:t>4：3</w:t>
      </w:r>
      <w:r>
        <w:rPr>
          <w:rFonts w:hint="default" w:ascii="Times New Roman" w:hAnsi="Times New Roman" w:eastAsia="仿宋_GB2312" w:cs="Times New Roman"/>
          <w:color w:val="000000"/>
          <w:kern w:val="0"/>
          <w:sz w:val="32"/>
          <w:szCs w:val="32"/>
          <w:highlight w:val="none"/>
          <w:lang w:val="en-US" w:eastAsia="zh-CN" w:bidi="ar"/>
        </w:rPr>
        <w:t>；平均年龄为</w:t>
      </w:r>
      <w:r>
        <w:rPr>
          <w:rFonts w:hint="eastAsia" w:eastAsia="仿宋_GB2312" w:cs="Times New Roman"/>
          <w:color w:val="000000"/>
          <w:kern w:val="0"/>
          <w:sz w:val="32"/>
          <w:szCs w:val="32"/>
          <w:highlight w:val="none"/>
          <w:lang w:val="en-US" w:eastAsia="zh-CN" w:bidi="ar"/>
        </w:rPr>
        <w:t>45</w:t>
      </w:r>
      <w:r>
        <w:rPr>
          <w:rFonts w:hint="default" w:ascii="Times New Roman" w:hAnsi="Times New Roman" w:eastAsia="仿宋_GB2312" w:cs="Times New Roman"/>
          <w:color w:val="000000"/>
          <w:kern w:val="0"/>
          <w:sz w:val="32"/>
          <w:szCs w:val="32"/>
          <w:highlight w:val="none"/>
          <w:lang w:val="en-US" w:eastAsia="zh-CN" w:bidi="ar"/>
        </w:rPr>
        <w:t>岁，其中</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9岁共计</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人，占总数的</w:t>
      </w:r>
      <w:r>
        <w:rPr>
          <w:rFonts w:hint="eastAsia" w:eastAsia="仿宋_GB2312" w:cs="Times New Roman"/>
          <w:color w:val="000000"/>
          <w:kern w:val="0"/>
          <w:sz w:val="32"/>
          <w:szCs w:val="32"/>
          <w:highlight w:val="none"/>
          <w:lang w:val="en-US" w:eastAsia="zh-CN" w:bidi="ar"/>
        </w:rPr>
        <w:t>14.29</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9岁</w:t>
      </w:r>
      <w:r>
        <w:rPr>
          <w:rFonts w:hint="default" w:eastAsia="仿宋_GB2312" w:cs="Times New Roman"/>
          <w:color w:val="000000"/>
          <w:kern w:val="0"/>
          <w:sz w:val="32"/>
          <w:szCs w:val="32"/>
          <w:highlight w:val="none"/>
          <w:lang w:val="en-US" w:eastAsia="zh-CN" w:bidi="ar"/>
        </w:rPr>
        <w:t>共计</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14.29</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4</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4</w:t>
      </w:r>
      <w:r>
        <w:rPr>
          <w:rFonts w:hint="default" w:ascii="Times New Roman" w:hAnsi="Times New Roman" w:eastAsia="仿宋_GB2312" w:cs="Times New Roman"/>
          <w:color w:val="000000"/>
          <w:kern w:val="0"/>
          <w:sz w:val="32"/>
          <w:szCs w:val="32"/>
          <w:highlight w:val="none"/>
          <w:lang w:val="en-US" w:eastAsia="zh-CN" w:bidi="ar"/>
        </w:rPr>
        <w:t>9岁共计</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14.29</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；5</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5</w:t>
      </w:r>
      <w:r>
        <w:rPr>
          <w:rFonts w:hint="default" w:ascii="Times New Roman" w:hAnsi="Times New Roman" w:eastAsia="仿宋_GB2312" w:cs="Times New Roman"/>
          <w:color w:val="000000"/>
          <w:kern w:val="0"/>
          <w:sz w:val="32"/>
          <w:szCs w:val="32"/>
          <w:highlight w:val="none"/>
          <w:lang w:val="en-US" w:eastAsia="zh-CN" w:bidi="ar"/>
        </w:rPr>
        <w:t>9岁共计</w:t>
      </w:r>
      <w:r>
        <w:rPr>
          <w:rFonts w:hint="eastAsia" w:eastAsia="仿宋_GB2312" w:cs="Times New Roman"/>
          <w:color w:val="000000"/>
          <w:kern w:val="0"/>
          <w:sz w:val="32"/>
          <w:szCs w:val="32"/>
          <w:highlight w:val="none"/>
          <w:lang w:val="en-US" w:eastAsia="zh-CN" w:bidi="ar"/>
        </w:rPr>
        <w:t>4</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57.13</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（如图1-1所示）。</w:t>
      </w:r>
    </w:p>
    <w:p>
      <w:pPr>
        <w:spacing w:line="360" w:lineRule="auto"/>
        <w:jc w:val="center"/>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lang w:val="en-US" w:eastAsia="zh-CN"/>
        </w:rPr>
        <w:t>图1-1  202</w:t>
      </w:r>
      <w:r>
        <w:rPr>
          <w:rFonts w:hint="eastAsia" w:eastAsia="仿宋_GB2312" w:cs="Times New Roman"/>
          <w:b/>
          <w:bCs/>
          <w:color w:val="000000"/>
          <w:kern w:val="0"/>
          <w:sz w:val="24"/>
          <w:szCs w:val="24"/>
          <w:highlight w:val="none"/>
          <w:shd w:val="clear" w:color="auto" w:fill="FFFFFF"/>
          <w:lang w:val="en-US" w:eastAsia="zh-CN"/>
        </w:rPr>
        <w:t>2</w:t>
      </w:r>
      <w:r>
        <w:rPr>
          <w:rFonts w:hint="default" w:ascii="Times New Roman" w:hAnsi="Times New Roman" w:eastAsia="仿宋_GB2312" w:cs="Times New Roman"/>
          <w:b/>
          <w:bCs/>
          <w:color w:val="000000"/>
          <w:kern w:val="0"/>
          <w:sz w:val="24"/>
          <w:szCs w:val="24"/>
          <w:highlight w:val="none"/>
          <w:shd w:val="clear" w:color="auto" w:fill="FFFFFF"/>
          <w:lang w:val="en-US" w:eastAsia="zh-CN"/>
        </w:rPr>
        <w:t>年人员年龄结构图</w:t>
      </w:r>
    </w:p>
    <w:p>
      <w:pPr>
        <w:spacing w:line="360" w:lineRule="auto"/>
        <w:jc w:val="center"/>
        <w:rPr>
          <w:rFonts w:hint="eastAsia" w:ascii="Times New Roman" w:hAnsi="Times New Roman" w:eastAsia="仿宋_GB2312" w:cs="Times New Roman"/>
          <w:sz w:val="32"/>
          <w:szCs w:val="32"/>
          <w:highlight w:val="none"/>
          <w:lang w:eastAsia="zh-CN"/>
        </w:rPr>
      </w:pPr>
      <w:r>
        <w:drawing>
          <wp:inline distT="0" distB="0" distL="114300" distR="114300">
            <wp:extent cx="2574925" cy="1737995"/>
            <wp:effectExtent l="0" t="0" r="3175" b="1905"/>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4"/>
                    <a:stretch>
                      <a:fillRect/>
                    </a:stretch>
                  </pic:blipFill>
                  <pic:spPr>
                    <a:xfrm>
                      <a:off x="0" y="0"/>
                      <a:ext cx="2574925" cy="173799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在岗人员平均工龄为</w:t>
      </w:r>
      <w:r>
        <w:rPr>
          <w:rFonts w:hint="eastAsia" w:eastAsia="仿宋_GB2312" w:cs="Times New Roman"/>
          <w:color w:val="000000"/>
          <w:kern w:val="0"/>
          <w:sz w:val="32"/>
          <w:szCs w:val="32"/>
          <w:highlight w:val="none"/>
          <w:lang w:val="en-US" w:eastAsia="zh-CN" w:bidi="ar"/>
        </w:rPr>
        <w:t>23</w:t>
      </w:r>
      <w:r>
        <w:rPr>
          <w:rFonts w:hint="default" w:ascii="Times New Roman" w:hAnsi="Times New Roman" w:eastAsia="仿宋_GB2312" w:cs="Times New Roman"/>
          <w:color w:val="000000"/>
          <w:kern w:val="0"/>
          <w:sz w:val="32"/>
          <w:szCs w:val="32"/>
          <w:highlight w:val="none"/>
          <w:lang w:val="en-US" w:eastAsia="zh-CN" w:bidi="ar"/>
        </w:rPr>
        <w:t>年，</w:t>
      </w:r>
      <w:r>
        <w:rPr>
          <w:rFonts w:hint="default" w:eastAsia="仿宋_GB2312" w:cs="Times New Roman"/>
          <w:color w:val="000000"/>
          <w:kern w:val="0"/>
          <w:sz w:val="32"/>
          <w:szCs w:val="32"/>
          <w:highlight w:val="none"/>
          <w:lang w:val="en-US" w:eastAsia="zh-CN" w:bidi="ar"/>
        </w:rPr>
        <w:t>其中</w:t>
      </w:r>
      <w:r>
        <w:rPr>
          <w:rFonts w:hint="default" w:ascii="Times New Roman" w:hAnsi="Times New Roman" w:eastAsia="仿宋_GB2312" w:cs="Times New Roman"/>
          <w:color w:val="000000"/>
          <w:kern w:val="0"/>
          <w:sz w:val="32"/>
          <w:szCs w:val="32"/>
          <w:highlight w:val="none"/>
          <w:lang w:val="en-US" w:eastAsia="zh-CN" w:bidi="ar"/>
        </w:rPr>
        <w:t>工龄为0-9年共计</w:t>
      </w:r>
      <w:r>
        <w:rPr>
          <w:rFonts w:hint="eastAsia" w:eastAsia="仿宋_GB2312" w:cs="Times New Roman"/>
          <w:color w:val="000000"/>
          <w:kern w:val="0"/>
          <w:sz w:val="32"/>
          <w:szCs w:val="32"/>
          <w:highlight w:val="none"/>
          <w:lang w:val="en-US" w:eastAsia="zh-CN" w:bidi="ar"/>
        </w:rPr>
        <w:t>1人</w:t>
      </w:r>
      <w:r>
        <w:rPr>
          <w:rFonts w:hint="default" w:ascii="Times New Roman" w:hAnsi="Times New Roman" w:eastAsia="仿宋_GB2312" w:cs="Times New Roman"/>
          <w:color w:val="000000"/>
          <w:kern w:val="0"/>
          <w:sz w:val="32"/>
          <w:szCs w:val="32"/>
          <w:highlight w:val="none"/>
          <w:lang w:val="en-US" w:eastAsia="zh-CN" w:bidi="ar"/>
        </w:rPr>
        <w:t>，占总人数</w:t>
      </w:r>
      <w:r>
        <w:rPr>
          <w:rFonts w:hint="eastAsia" w:eastAsia="仿宋_GB2312" w:cs="Times New Roman"/>
          <w:color w:val="000000"/>
          <w:kern w:val="0"/>
          <w:sz w:val="32"/>
          <w:szCs w:val="32"/>
          <w:highlight w:val="none"/>
          <w:lang w:val="en-US" w:eastAsia="zh-CN" w:bidi="ar"/>
        </w:rPr>
        <w:t>14.29</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9年共计</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14.29</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9年共计</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28.57</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9年共计</w:t>
      </w:r>
      <w:r>
        <w:rPr>
          <w:rFonts w:hint="eastAsia"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42.86</w:t>
      </w:r>
      <w:r>
        <w:rPr>
          <w:rFonts w:hint="default" w:ascii="Times New Roman" w:hAnsi="Times New Roman" w:eastAsia="仿宋_GB2312" w:cs="Times New Roman"/>
          <w:color w:val="000000"/>
          <w:kern w:val="0"/>
          <w:sz w:val="32"/>
          <w:szCs w:val="32"/>
          <w:highlight w:val="none"/>
          <w:lang w:val="en-US" w:eastAsia="zh-CN" w:bidi="ar"/>
        </w:rPr>
        <w:t>%（如图1-2所示）。</w:t>
      </w:r>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在岗人员学历分别为</w:t>
      </w:r>
      <w:r>
        <w:rPr>
          <w:rFonts w:hint="eastAsia" w:eastAsia="仿宋_GB2312" w:cs="Times New Roman"/>
          <w:color w:val="000000"/>
          <w:kern w:val="0"/>
          <w:sz w:val="32"/>
          <w:szCs w:val="32"/>
          <w:highlight w:val="none"/>
          <w:lang w:val="en-US" w:eastAsia="zh-CN" w:bidi="ar"/>
        </w:rPr>
        <w:t>专科、本科</w:t>
      </w:r>
      <w:r>
        <w:rPr>
          <w:rFonts w:hint="default" w:ascii="Times New Roman" w:hAnsi="Times New Roman" w:eastAsia="仿宋_GB2312" w:cs="Times New Roman"/>
          <w:color w:val="000000"/>
          <w:kern w:val="0"/>
          <w:sz w:val="32"/>
          <w:szCs w:val="32"/>
          <w:highlight w:val="none"/>
          <w:lang w:val="en-US" w:eastAsia="zh-CN" w:bidi="ar"/>
        </w:rPr>
        <w:t>，其中</w:t>
      </w:r>
      <w:r>
        <w:rPr>
          <w:rFonts w:hint="eastAsia" w:eastAsia="仿宋_GB2312" w:cs="Times New Roman"/>
          <w:color w:val="000000"/>
          <w:kern w:val="0"/>
          <w:sz w:val="32"/>
          <w:szCs w:val="32"/>
          <w:highlight w:val="none"/>
          <w:lang w:val="en-US" w:eastAsia="zh-CN" w:bidi="ar"/>
        </w:rPr>
        <w:t>专科4</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57.14</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；本科3</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42.86</w:t>
      </w:r>
      <w:r>
        <w:rPr>
          <w:rFonts w:hint="default" w:ascii="Times New Roman" w:hAnsi="Times New Roman" w:eastAsia="仿宋_GB2312" w:cs="Times New Roman"/>
          <w:color w:val="000000"/>
          <w:kern w:val="0"/>
          <w:sz w:val="32"/>
          <w:szCs w:val="32"/>
          <w:highlight w:val="none"/>
          <w:lang w:val="en-US" w:eastAsia="zh-CN" w:bidi="ar"/>
        </w:rPr>
        <w:t>%（如图1-3所示）。</w:t>
      </w:r>
    </w:p>
    <w:p>
      <w:pPr>
        <w:spacing w:line="360" w:lineRule="auto"/>
        <w:jc w:val="left"/>
        <w:rPr>
          <w:rFonts w:hint="default" w:ascii="Times New Roman" w:hAnsi="Times New Roman" w:eastAsia="仿宋_GB2312" w:cs="Times New Roman"/>
          <w:sz w:val="24"/>
          <w:szCs w:val="24"/>
          <w:highlight w:val="none"/>
          <w:lang w:val="en-US"/>
        </w:rPr>
      </w:pPr>
      <w:r>
        <w:rPr>
          <w:rFonts w:hint="default" w:ascii="Times New Roman" w:hAnsi="Times New Roman" w:eastAsia="仿宋_GB2312" w:cs="Times New Roman"/>
          <w:b/>
          <w:bCs/>
          <w:color w:val="000000"/>
          <w:kern w:val="0"/>
          <w:sz w:val="24"/>
          <w:szCs w:val="24"/>
          <w:highlight w:val="none"/>
          <w:shd w:val="clear" w:color="auto" w:fill="FFFFFF"/>
          <w:lang w:val="en-US" w:eastAsia="zh-CN"/>
        </w:rPr>
        <w:t>图1-2  202</w:t>
      </w:r>
      <w:r>
        <w:rPr>
          <w:rFonts w:hint="eastAsia" w:eastAsia="仿宋_GB2312" w:cs="Times New Roman"/>
          <w:b/>
          <w:bCs/>
          <w:color w:val="000000"/>
          <w:kern w:val="0"/>
          <w:sz w:val="24"/>
          <w:szCs w:val="24"/>
          <w:highlight w:val="none"/>
          <w:shd w:val="clear" w:color="auto" w:fill="FFFFFF"/>
          <w:lang w:val="en-US" w:eastAsia="zh-CN"/>
        </w:rPr>
        <w:t>2</w:t>
      </w:r>
      <w:r>
        <w:rPr>
          <w:rFonts w:hint="default" w:ascii="Times New Roman" w:hAnsi="Times New Roman" w:eastAsia="仿宋_GB2312" w:cs="Times New Roman"/>
          <w:b/>
          <w:bCs/>
          <w:color w:val="000000"/>
          <w:kern w:val="0"/>
          <w:sz w:val="24"/>
          <w:szCs w:val="24"/>
          <w:highlight w:val="none"/>
          <w:shd w:val="clear" w:color="auto" w:fill="FFFFFF"/>
          <w:lang w:val="en-US" w:eastAsia="zh-CN"/>
        </w:rPr>
        <w:t>年人员工龄结构图          图1-3  202</w:t>
      </w:r>
      <w:r>
        <w:rPr>
          <w:rFonts w:hint="eastAsia" w:eastAsia="仿宋_GB2312" w:cs="Times New Roman"/>
          <w:b/>
          <w:bCs/>
          <w:color w:val="000000"/>
          <w:kern w:val="0"/>
          <w:sz w:val="24"/>
          <w:szCs w:val="24"/>
          <w:highlight w:val="none"/>
          <w:shd w:val="clear" w:color="auto" w:fill="FFFFFF"/>
          <w:lang w:val="en-US" w:eastAsia="zh-CN"/>
        </w:rPr>
        <w:t>2</w:t>
      </w:r>
      <w:r>
        <w:rPr>
          <w:rFonts w:hint="default" w:ascii="Times New Roman" w:hAnsi="Times New Roman" w:eastAsia="仿宋_GB2312" w:cs="Times New Roman"/>
          <w:b/>
          <w:bCs/>
          <w:color w:val="000000"/>
          <w:kern w:val="0"/>
          <w:sz w:val="24"/>
          <w:szCs w:val="24"/>
          <w:highlight w:val="none"/>
          <w:shd w:val="clear" w:color="auto" w:fill="FFFFFF"/>
          <w:lang w:val="en-US" w:eastAsia="zh-CN"/>
        </w:rPr>
        <w:t>年人员学历结构图</w:t>
      </w:r>
    </w:p>
    <w:p>
      <w:pPr>
        <w:spacing w:line="360" w:lineRule="auto"/>
        <w:ind w:left="0" w:leftChars="0" w:firstLine="0" w:firstLineChars="0"/>
        <w:jc w:val="center"/>
        <w:rPr>
          <w:rFonts w:hint="eastAsia" w:ascii="Times New Roman" w:hAnsi="Times New Roman" w:eastAsia="宋体" w:cs="Times New Roman"/>
          <w:sz w:val="24"/>
          <w:szCs w:val="24"/>
          <w:highlight w:val="none"/>
          <w:lang w:val="en-US" w:eastAsia="zh-CN"/>
        </w:rPr>
      </w:pPr>
      <w:r>
        <w:drawing>
          <wp:inline distT="0" distB="0" distL="114300" distR="114300">
            <wp:extent cx="2686050" cy="1819275"/>
            <wp:effectExtent l="0" t="0" r="11430" b="9525"/>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5"/>
                    <a:stretch>
                      <a:fillRect/>
                    </a:stretch>
                  </pic:blipFill>
                  <pic:spPr>
                    <a:xfrm>
                      <a:off x="0" y="0"/>
                      <a:ext cx="2686050" cy="1819275"/>
                    </a:xfrm>
                    <a:prstGeom prst="rect">
                      <a:avLst/>
                    </a:prstGeom>
                    <a:noFill/>
                    <a:ln>
                      <a:noFill/>
                    </a:ln>
                  </pic:spPr>
                </pic:pic>
              </a:graphicData>
            </a:graphic>
          </wp:inline>
        </w:drawing>
      </w:r>
      <w:r>
        <w:rPr>
          <w:rFonts w:hint="eastAsia"/>
          <w:highlight w:val="none"/>
          <w:lang w:val="en-US" w:eastAsia="zh-CN"/>
        </w:rPr>
        <w:t xml:space="preserve">    </w:t>
      </w:r>
      <w:r>
        <w:drawing>
          <wp:inline distT="0" distB="0" distL="114300" distR="114300">
            <wp:extent cx="2531110" cy="1738630"/>
            <wp:effectExtent l="0" t="0" r="13970" b="1397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16"/>
                    <a:stretch>
                      <a:fillRect/>
                    </a:stretch>
                  </pic:blipFill>
                  <pic:spPr>
                    <a:xfrm>
                      <a:off x="0" y="0"/>
                      <a:ext cx="2531110" cy="1738630"/>
                    </a:xfrm>
                    <a:prstGeom prst="rect">
                      <a:avLst/>
                    </a:prstGeom>
                    <a:noFill/>
                    <a:ln>
                      <a:noFill/>
                    </a:ln>
                  </pic:spPr>
                </pic:pic>
              </a:graphicData>
            </a:graphic>
          </wp:inline>
        </w:drawing>
      </w:r>
    </w:p>
    <w:p>
      <w:pPr>
        <w:pStyle w:val="4"/>
        <w:spacing w:line="600" w:lineRule="exact"/>
        <w:ind w:firstLine="640"/>
        <w:rPr>
          <w:rFonts w:hint="default" w:ascii="Times New Roman" w:hAnsi="Times New Roman" w:eastAsia="仿宋_GB2312" w:cs="Times New Roman"/>
          <w:highlight w:val="none"/>
          <w:lang w:val="en-US" w:eastAsia="zh-CN"/>
        </w:rPr>
      </w:pPr>
      <w:bookmarkStart w:id="16" w:name="_Toc55586768"/>
      <w:bookmarkStart w:id="17" w:name="_Toc28606"/>
      <w:bookmarkStart w:id="18" w:name="_Toc24719"/>
      <w:r>
        <w:rPr>
          <w:rFonts w:hint="default" w:ascii="Times New Roman" w:hAnsi="Times New Roman" w:eastAsia="仿宋_GB2312" w:cs="Times New Roman"/>
          <w:highlight w:val="none"/>
          <w:lang w:val="en-US" w:eastAsia="zh-CN"/>
        </w:rPr>
        <w:t>3、部门职能</w:t>
      </w:r>
      <w:bookmarkEnd w:id="16"/>
      <w:bookmarkEnd w:id="17"/>
      <w:bookmarkEnd w:id="18"/>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根据文件规定，阿坝县残疾人联合会主要职能职责为听取残疾人意见，反映残疾人需求，代表残疾人的共同利益，维护残疾人权益，为残疾人服务。团结教育残疾人遵守法律，履行应尽的义务，发扬乐观进取精神，自尊、自信、自强、自立，为社会主义建设贡献力量。弘扬人道主义，宣传残疾人事业，沟通政府、社会与残疾人之间的联系，动员社会理解、尊重、关心、帮助残疾人。开展残疾人康复、教育、就业、职业培训、扶贫、文化、体育、科研、用品供应、福利、社会服务、无障碍设施和残疾预防等工作，创造良好的环境和条件，扶助残疾人平等参与社会生活。协助政府研究、制定和实施残疾人事业的政策法规和计划，对有关业务领域进行指导和管理。组织实施残疾人分散按比例就业工作，指导监督和宏观管理残联系统的残疾人福利企业，会同有关部门制定监督实施残疾人社会福利生产的扶持保护政策。负责对各类残疾人社会团体组织和经济组织进行监督管理。统筹开展为残疾人事业募捐活动。开展残疾人事业的对外交流与合作。协助县政府和州残联交办的其他工作。</w:t>
      </w:r>
    </w:p>
    <w:p>
      <w:pPr>
        <w:pStyle w:val="66"/>
        <w:pageBreakBefore w:val="0"/>
        <w:widowControl w:val="0"/>
        <w:kinsoku/>
        <w:wordWrap/>
        <w:overflowPunct/>
        <w:topLinePunct w:val="0"/>
        <w:autoSpaceDE/>
        <w:autoSpaceDN/>
        <w:bidi w:val="0"/>
        <w:adjustRightInd/>
        <w:snapToGrid/>
        <w:spacing w:before="156" w:after="156" w:line="600" w:lineRule="exact"/>
        <w:ind w:firstLine="640"/>
        <w:jc w:val="both"/>
        <w:textAlignment w:val="auto"/>
        <w:rPr>
          <w:rFonts w:hint="default" w:ascii="Times New Roman" w:hAnsi="Times New Roman" w:eastAsia="楷体_GB2312" w:cs="Times New Roman"/>
          <w:color w:val="auto"/>
          <w:sz w:val="32"/>
          <w:highlight w:val="none"/>
          <w:lang w:val="en-US"/>
        </w:rPr>
      </w:pPr>
      <w:bookmarkStart w:id="19" w:name="_Toc11953"/>
      <w:r>
        <w:rPr>
          <w:rFonts w:hint="default" w:ascii="Times New Roman" w:hAnsi="Times New Roman" w:eastAsia="楷体_GB2312" w:cs="Times New Roman"/>
          <w:color w:val="auto"/>
          <w:sz w:val="32"/>
          <w:highlight w:val="none"/>
          <w:lang w:val="en-US" w:eastAsia="zh-CN"/>
        </w:rPr>
        <w:t>（二）部门预算</w:t>
      </w:r>
      <w:bookmarkEnd w:id="19"/>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highlight w:val="none"/>
        </w:rPr>
      </w:pPr>
      <w:bookmarkStart w:id="20" w:name="_Toc21957"/>
      <w:bookmarkStart w:id="21" w:name="_Toc9450"/>
      <w:bookmarkStart w:id="22" w:name="_Toc55586770"/>
      <w:r>
        <w:rPr>
          <w:rFonts w:hint="default" w:ascii="Times New Roman" w:hAnsi="Times New Roman" w:eastAsia="仿宋_GB2312" w:cs="Times New Roman"/>
          <w:highlight w:val="none"/>
        </w:rPr>
        <w:t>1、</w:t>
      </w:r>
      <w:r>
        <w:rPr>
          <w:rFonts w:hint="default" w:ascii="Times New Roman" w:hAnsi="Times New Roman" w:eastAsia="仿宋_GB2312" w:cs="Times New Roman"/>
          <w:b/>
          <w:bCs/>
          <w:color w:val="000000"/>
          <w:kern w:val="0"/>
          <w:sz w:val="32"/>
          <w:szCs w:val="32"/>
          <w:highlight w:val="none"/>
          <w:lang w:val="en-US" w:eastAsia="zh-CN" w:bidi="ar"/>
        </w:rPr>
        <w:t>近三年</w:t>
      </w:r>
      <w:r>
        <w:rPr>
          <w:rFonts w:hint="eastAsia" w:eastAsia="仿宋_GB2312" w:cs="Times New Roman"/>
          <w:highlight w:val="none"/>
          <w:lang w:eastAsia="zh-CN"/>
        </w:rPr>
        <w:t>阿坝县残疾人联合会</w:t>
      </w:r>
      <w:r>
        <w:rPr>
          <w:rFonts w:hint="default" w:ascii="Times New Roman" w:hAnsi="Times New Roman" w:eastAsia="仿宋_GB2312" w:cs="Times New Roman"/>
          <w:highlight w:val="none"/>
        </w:rPr>
        <w:t>整体支出预算及使用情况</w:t>
      </w:r>
      <w:bookmarkEnd w:id="20"/>
      <w:bookmarkEnd w:id="21"/>
      <w:bookmarkEnd w:id="22"/>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阿坝县残疾人联合会</w:t>
      </w:r>
      <w:r>
        <w:rPr>
          <w:rFonts w:hint="default" w:ascii="Times New Roman" w:hAnsi="Times New Roman" w:eastAsia="仿宋_GB2312" w:cs="Times New Roman"/>
          <w:color w:val="000000"/>
          <w:kern w:val="0"/>
          <w:sz w:val="32"/>
          <w:szCs w:val="32"/>
          <w:highlight w:val="none"/>
          <w:lang w:val="en-US" w:eastAsia="zh-CN" w:bidi="ar"/>
        </w:rPr>
        <w:t>近三年部门整体运行资金需求呈</w:t>
      </w:r>
      <w:r>
        <w:rPr>
          <w:rFonts w:hint="eastAsia" w:eastAsia="仿宋_GB2312" w:cs="Times New Roman"/>
          <w:color w:val="000000"/>
          <w:kern w:val="0"/>
          <w:sz w:val="32"/>
          <w:szCs w:val="32"/>
          <w:highlight w:val="none"/>
          <w:lang w:val="en-US" w:eastAsia="zh-CN" w:bidi="ar"/>
        </w:rPr>
        <w:t>上升</w:t>
      </w:r>
      <w:r>
        <w:rPr>
          <w:rFonts w:hint="default" w:ascii="Times New Roman" w:hAnsi="Times New Roman" w:eastAsia="仿宋_GB2312" w:cs="Times New Roman"/>
          <w:color w:val="000000"/>
          <w:kern w:val="0"/>
          <w:sz w:val="32"/>
          <w:szCs w:val="32"/>
          <w:highlight w:val="none"/>
          <w:lang w:val="en-US" w:eastAsia="zh-CN" w:bidi="ar"/>
        </w:rPr>
        <w:t>趋势，预算数年均</w:t>
      </w:r>
      <w:r>
        <w:rPr>
          <w:rFonts w:hint="eastAsia" w:eastAsia="仿宋_GB2312" w:cs="Times New Roman"/>
          <w:color w:val="000000"/>
          <w:kern w:val="0"/>
          <w:sz w:val="32"/>
          <w:szCs w:val="32"/>
          <w:highlight w:val="none"/>
          <w:lang w:val="en-US" w:eastAsia="zh-CN" w:bidi="ar"/>
        </w:rPr>
        <w:t>增长</w:t>
      </w:r>
      <w:r>
        <w:rPr>
          <w:rFonts w:hint="default" w:ascii="Times New Roman" w:hAnsi="Times New Roman" w:eastAsia="仿宋_GB2312" w:cs="Times New Roman"/>
          <w:color w:val="000000"/>
          <w:kern w:val="0"/>
          <w:sz w:val="32"/>
          <w:szCs w:val="32"/>
          <w:highlight w:val="none"/>
          <w:lang w:val="en-US" w:eastAsia="zh-CN" w:bidi="ar"/>
        </w:rPr>
        <w:t>率为</w:t>
      </w:r>
      <w:r>
        <w:rPr>
          <w:rFonts w:hint="eastAsia" w:eastAsia="仿宋_GB2312" w:cs="Times New Roman"/>
          <w:color w:val="000000"/>
          <w:kern w:val="0"/>
          <w:sz w:val="32"/>
          <w:szCs w:val="32"/>
          <w:highlight w:val="none"/>
          <w:lang w:val="en-US" w:eastAsia="zh-CN" w:bidi="ar"/>
        </w:rPr>
        <w:t>10.11</w:t>
      </w:r>
      <w:r>
        <w:rPr>
          <w:rFonts w:hint="default" w:ascii="Times New Roman" w:hAnsi="Times New Roman" w:eastAsia="仿宋_GB2312" w:cs="Times New Roman"/>
          <w:color w:val="000000"/>
          <w:kern w:val="0"/>
          <w:sz w:val="32"/>
          <w:szCs w:val="32"/>
          <w:highlight w:val="none"/>
          <w:lang w:val="en-US" w:eastAsia="zh-CN" w:bidi="ar"/>
        </w:rPr>
        <w:t>%，支出数年均</w:t>
      </w:r>
      <w:r>
        <w:rPr>
          <w:rFonts w:hint="eastAsia" w:eastAsia="仿宋_GB2312" w:cs="Times New Roman"/>
          <w:color w:val="000000"/>
          <w:kern w:val="0"/>
          <w:sz w:val="32"/>
          <w:szCs w:val="32"/>
          <w:highlight w:val="none"/>
          <w:lang w:val="en-US" w:eastAsia="zh-CN" w:bidi="ar"/>
        </w:rPr>
        <w:t>增长</w:t>
      </w:r>
      <w:r>
        <w:rPr>
          <w:rFonts w:hint="default" w:ascii="Times New Roman" w:hAnsi="Times New Roman" w:eastAsia="仿宋_GB2312" w:cs="Times New Roman"/>
          <w:color w:val="000000"/>
          <w:kern w:val="0"/>
          <w:sz w:val="32"/>
          <w:szCs w:val="32"/>
          <w:highlight w:val="none"/>
          <w:lang w:val="en-US" w:eastAsia="zh-CN" w:bidi="ar"/>
        </w:rPr>
        <w:t>率为</w:t>
      </w:r>
      <w:r>
        <w:rPr>
          <w:rFonts w:hint="eastAsia" w:eastAsia="仿宋_GB2312" w:cs="Times New Roman"/>
          <w:color w:val="000000"/>
          <w:kern w:val="0"/>
          <w:sz w:val="32"/>
          <w:szCs w:val="32"/>
          <w:highlight w:val="none"/>
          <w:lang w:val="en-US" w:eastAsia="zh-CN" w:bidi="ar"/>
        </w:rPr>
        <w:t>26.17</w:t>
      </w:r>
      <w:r>
        <w:rPr>
          <w:rFonts w:hint="default" w:ascii="Times New Roman" w:hAnsi="Times New Roman" w:eastAsia="仿宋_GB2312" w:cs="Times New Roman"/>
          <w:color w:val="000000"/>
          <w:kern w:val="0"/>
          <w:sz w:val="32"/>
          <w:szCs w:val="32"/>
          <w:highlight w:val="none"/>
          <w:lang w:val="en-US" w:eastAsia="zh-CN" w:bidi="ar"/>
        </w:rPr>
        <w:t>%，预算执行率年平均为</w:t>
      </w:r>
      <w:r>
        <w:rPr>
          <w:rFonts w:hint="eastAsia" w:eastAsia="仿宋_GB2312" w:cs="Times New Roman"/>
          <w:color w:val="000000"/>
          <w:kern w:val="0"/>
          <w:sz w:val="32"/>
          <w:szCs w:val="32"/>
          <w:highlight w:val="none"/>
          <w:lang w:val="en-US" w:eastAsia="zh-CN" w:bidi="ar"/>
        </w:rPr>
        <w:t>93.40</w:t>
      </w:r>
      <w:r>
        <w:rPr>
          <w:rFonts w:hint="default" w:ascii="Times New Roman" w:hAnsi="Times New Roman" w:eastAsia="仿宋_GB2312" w:cs="Times New Roman"/>
          <w:color w:val="000000"/>
          <w:kern w:val="0"/>
          <w:sz w:val="32"/>
          <w:szCs w:val="32"/>
          <w:highlight w:val="none"/>
          <w:lang w:val="en-US" w:eastAsia="zh-CN" w:bidi="ar"/>
        </w:rPr>
        <w:t>%。</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2020-2022年阿坝县残疾人联合会</w:t>
      </w:r>
      <w:r>
        <w:rPr>
          <w:rFonts w:hint="default" w:ascii="Times New Roman" w:hAnsi="Times New Roman" w:eastAsia="仿宋_GB2312" w:cs="Times New Roman"/>
          <w:color w:val="000000"/>
          <w:kern w:val="0"/>
          <w:sz w:val="32"/>
          <w:szCs w:val="32"/>
          <w:highlight w:val="none"/>
          <w:lang w:val="en-US" w:eastAsia="zh-CN" w:bidi="ar"/>
        </w:rPr>
        <w:t>整体支出基本支出及项目支出的预算执行情况变化如下：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722" w:firstLineChars="300"/>
        <w:jc w:val="center"/>
        <w:textAlignment w:val="auto"/>
        <w:rPr>
          <w:rFonts w:hint="default" w:ascii="Times New Roman" w:hAnsi="Times New Roman" w:eastAsia="仿宋_GB2312" w:cs="Times New Roman"/>
          <w:kern w:val="0"/>
          <w:sz w:val="32"/>
          <w:szCs w:val="32"/>
          <w:highlight w:val="none"/>
          <w:shd w:val="clear" w:color="auto" w:fill="FFFFFF"/>
        </w:rPr>
      </w:pPr>
      <w:r>
        <w:rPr>
          <w:rFonts w:hint="default" w:ascii="Times New Roman" w:hAnsi="Times New Roman" w:eastAsia="仿宋_GB2312" w:cs="Times New Roman"/>
          <w:b/>
          <w:bCs/>
          <w:color w:val="000000"/>
          <w:kern w:val="0"/>
          <w:highlight w:val="none"/>
          <w:shd w:val="clear" w:color="auto" w:fill="FFFFFF"/>
        </w:rPr>
        <w:t>表</w:t>
      </w:r>
      <w:r>
        <w:rPr>
          <w:rFonts w:hint="default" w:ascii="Times New Roman" w:hAnsi="Times New Roman" w:eastAsia="仿宋_GB2312" w:cs="Times New Roman"/>
          <w:b/>
          <w:bCs/>
          <w:color w:val="000000"/>
          <w:kern w:val="0"/>
          <w:highlight w:val="none"/>
          <w:shd w:val="clear" w:color="auto" w:fill="FFFFFF"/>
          <w:lang w:val="en-US" w:eastAsia="zh-CN"/>
        </w:rPr>
        <w:t xml:space="preserve">2 </w:t>
      </w:r>
      <w:r>
        <w:rPr>
          <w:rFonts w:hint="eastAsia" w:eastAsia="仿宋_GB2312" w:cs="Times New Roman"/>
          <w:b/>
          <w:bCs/>
          <w:color w:val="000000"/>
          <w:kern w:val="0"/>
          <w:highlight w:val="none"/>
          <w:shd w:val="clear" w:color="auto" w:fill="FFFFFF"/>
          <w:lang w:eastAsia="zh-CN"/>
        </w:rPr>
        <w:t>20</w:t>
      </w:r>
      <w:r>
        <w:rPr>
          <w:rFonts w:hint="eastAsia" w:eastAsia="仿宋_GB2312" w:cs="Times New Roman"/>
          <w:b/>
          <w:bCs/>
          <w:color w:val="000000"/>
          <w:kern w:val="0"/>
          <w:highlight w:val="none"/>
          <w:shd w:val="clear" w:color="auto" w:fill="FFFFFF"/>
          <w:lang w:val="en-US" w:eastAsia="zh-CN"/>
        </w:rPr>
        <w:t>20</w:t>
      </w:r>
      <w:r>
        <w:rPr>
          <w:rFonts w:hint="eastAsia" w:eastAsia="仿宋_GB2312" w:cs="Times New Roman"/>
          <w:b/>
          <w:bCs/>
          <w:color w:val="000000"/>
          <w:kern w:val="0"/>
          <w:highlight w:val="none"/>
          <w:shd w:val="clear" w:color="auto" w:fill="FFFFFF"/>
          <w:lang w:eastAsia="zh-CN"/>
        </w:rPr>
        <w:t>-202</w:t>
      </w:r>
      <w:r>
        <w:rPr>
          <w:rFonts w:hint="eastAsia" w:eastAsia="仿宋_GB2312" w:cs="Times New Roman"/>
          <w:b/>
          <w:bCs/>
          <w:color w:val="000000"/>
          <w:kern w:val="0"/>
          <w:highlight w:val="none"/>
          <w:shd w:val="clear" w:color="auto" w:fill="FFFFFF"/>
          <w:lang w:val="en-US" w:eastAsia="zh-CN"/>
        </w:rPr>
        <w:t>2</w:t>
      </w:r>
      <w:r>
        <w:rPr>
          <w:rFonts w:hint="eastAsia" w:eastAsia="仿宋_GB2312" w:cs="Times New Roman"/>
          <w:b/>
          <w:bCs/>
          <w:color w:val="000000"/>
          <w:kern w:val="0"/>
          <w:highlight w:val="none"/>
          <w:shd w:val="clear" w:color="auto" w:fill="FFFFFF"/>
          <w:lang w:eastAsia="zh-CN"/>
        </w:rPr>
        <w:t>年部门整体支出</w:t>
      </w:r>
      <w:r>
        <w:rPr>
          <w:rFonts w:hint="default" w:ascii="Times New Roman" w:hAnsi="Times New Roman" w:eastAsia="仿宋_GB2312" w:cs="Times New Roman"/>
          <w:b/>
          <w:bCs/>
          <w:color w:val="000000"/>
          <w:kern w:val="0"/>
          <w:highlight w:val="none"/>
          <w:shd w:val="clear" w:color="auto" w:fill="FFFFFF"/>
        </w:rPr>
        <w:t>预算及执行情况</w:t>
      </w:r>
    </w:p>
    <w:tbl>
      <w:tblPr>
        <w:tblStyle w:val="40"/>
        <w:tblW w:w="4998" w:type="pct"/>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336"/>
        <w:gridCol w:w="2877"/>
        <w:gridCol w:w="2877"/>
        <w:gridCol w:w="1908"/>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tblHeader/>
          <w:jc w:val="center"/>
        </w:trPr>
        <w:tc>
          <w:tcPr>
            <w:tcW w:w="742"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年份</w:t>
            </w:r>
          </w:p>
        </w:tc>
        <w:tc>
          <w:tcPr>
            <w:tcW w:w="1598"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预算安排（</w:t>
            </w:r>
            <w:r>
              <w:rPr>
                <w:rFonts w:hint="default" w:ascii="Times New Roman" w:hAnsi="Times New Roman" w:eastAsia="仿宋_GB2312" w:cs="Times New Roman"/>
                <w:b/>
                <w:bCs/>
                <w:color w:val="000000"/>
                <w:kern w:val="0"/>
                <w:sz w:val="24"/>
                <w:szCs w:val="24"/>
                <w:highlight w:val="none"/>
                <w:shd w:val="clear" w:color="auto" w:fill="FFFFFF"/>
                <w:lang w:val="en-US" w:eastAsia="zh-CN"/>
              </w:rPr>
              <w:t>万</w:t>
            </w:r>
            <w:r>
              <w:rPr>
                <w:rFonts w:hint="default" w:ascii="Times New Roman" w:hAnsi="Times New Roman" w:eastAsia="仿宋_GB2312" w:cs="Times New Roman"/>
                <w:b/>
                <w:bCs/>
                <w:color w:val="000000"/>
                <w:kern w:val="0"/>
                <w:sz w:val="24"/>
                <w:szCs w:val="24"/>
                <w:highlight w:val="none"/>
                <w:shd w:val="clear" w:color="auto" w:fill="FFFFFF"/>
              </w:rPr>
              <w:t>元）</w:t>
            </w:r>
          </w:p>
        </w:tc>
        <w:tc>
          <w:tcPr>
            <w:tcW w:w="1598"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实际支出（</w:t>
            </w:r>
            <w:r>
              <w:rPr>
                <w:rFonts w:hint="default" w:ascii="Times New Roman" w:hAnsi="Times New Roman" w:eastAsia="仿宋_GB2312" w:cs="Times New Roman"/>
                <w:b/>
                <w:bCs/>
                <w:color w:val="000000"/>
                <w:kern w:val="0"/>
                <w:sz w:val="24"/>
                <w:szCs w:val="24"/>
                <w:highlight w:val="none"/>
                <w:shd w:val="clear" w:color="auto" w:fill="FFFFFF"/>
                <w:lang w:val="en-US" w:eastAsia="zh-CN"/>
              </w:rPr>
              <w:t>万</w:t>
            </w:r>
            <w:r>
              <w:rPr>
                <w:rFonts w:hint="default" w:ascii="Times New Roman" w:hAnsi="Times New Roman" w:eastAsia="仿宋_GB2312" w:cs="Times New Roman"/>
                <w:b/>
                <w:bCs/>
                <w:color w:val="000000"/>
                <w:kern w:val="0"/>
                <w:sz w:val="24"/>
                <w:szCs w:val="24"/>
                <w:highlight w:val="none"/>
                <w:shd w:val="clear" w:color="auto" w:fill="FFFFFF"/>
              </w:rPr>
              <w:t>元）</w:t>
            </w:r>
          </w:p>
        </w:tc>
        <w:tc>
          <w:tcPr>
            <w:tcW w:w="1059"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预算执行率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jc w:val="center"/>
        </w:trPr>
        <w:tc>
          <w:tcPr>
            <w:tcW w:w="742" w:type="pct"/>
            <w:vAlign w:val="center"/>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2020年</w:t>
            </w:r>
          </w:p>
        </w:tc>
        <w:tc>
          <w:tcPr>
            <w:tcW w:w="2877" w:type="dxa"/>
            <w:vAlign w:val="center"/>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326</w:t>
            </w:r>
          </w:p>
        </w:tc>
        <w:tc>
          <w:tcPr>
            <w:tcW w:w="2877" w:type="dxa"/>
            <w:vAlign w:val="center"/>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261.47</w:t>
            </w:r>
          </w:p>
        </w:tc>
        <w:tc>
          <w:tcPr>
            <w:tcW w:w="1908" w:type="dxa"/>
            <w:vAlign w:val="center"/>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80.21%</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jc w:val="center"/>
        </w:trPr>
        <w:tc>
          <w:tcPr>
            <w:tcW w:w="742" w:type="pct"/>
            <w:vAlign w:val="center"/>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2021年</w:t>
            </w:r>
          </w:p>
        </w:tc>
        <w:tc>
          <w:tcPr>
            <w:tcW w:w="2877" w:type="dxa"/>
            <w:vAlign w:val="center"/>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424.44</w:t>
            </w:r>
          </w:p>
        </w:tc>
        <w:tc>
          <w:tcPr>
            <w:tcW w:w="2877" w:type="dxa"/>
            <w:vAlign w:val="center"/>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424.44</w:t>
            </w:r>
          </w:p>
        </w:tc>
        <w:tc>
          <w:tcPr>
            <w:tcW w:w="1908" w:type="dxa"/>
            <w:vAlign w:val="center"/>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100.00%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jc w:val="center"/>
        </w:trPr>
        <w:tc>
          <w:tcPr>
            <w:tcW w:w="742" w:type="pct"/>
            <w:vAlign w:val="center"/>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2022年</w:t>
            </w:r>
          </w:p>
        </w:tc>
        <w:tc>
          <w:tcPr>
            <w:tcW w:w="2877" w:type="dxa"/>
            <w:vAlign w:val="center"/>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382.06</w:t>
            </w:r>
          </w:p>
        </w:tc>
        <w:tc>
          <w:tcPr>
            <w:tcW w:w="2877" w:type="dxa"/>
            <w:vAlign w:val="center"/>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382.06</w:t>
            </w:r>
          </w:p>
        </w:tc>
        <w:tc>
          <w:tcPr>
            <w:tcW w:w="1908" w:type="dxa"/>
            <w:vAlign w:val="center"/>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100.00%</w:t>
            </w:r>
          </w:p>
        </w:tc>
      </w:tr>
    </w:tbl>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default" w:ascii="Times New Roman" w:hAnsi="Times New Roman" w:eastAsia="仿宋_GB2312" w:cs="Times New Roman"/>
          <w:b/>
          <w:bCs/>
          <w:color w:val="000000"/>
          <w:kern w:val="0"/>
          <w:highlight w:val="none"/>
          <w:shd w:val="clear" w:color="auto" w:fill="FFFFFF"/>
        </w:rPr>
      </w:pPr>
      <w:r>
        <w:rPr>
          <w:rFonts w:hint="default" w:ascii="Times New Roman" w:hAnsi="Times New Roman" w:eastAsia="仿宋_GB2312" w:cs="Times New Roman"/>
          <w:b/>
          <w:bCs/>
          <w:color w:val="000000"/>
          <w:kern w:val="0"/>
          <w:highlight w:val="none"/>
          <w:shd w:val="clear" w:color="auto" w:fill="FFFFFF"/>
          <w:lang w:val="en-US" w:eastAsia="zh-CN"/>
        </w:rPr>
        <w:t xml:space="preserve">图2 </w:t>
      </w:r>
      <w:r>
        <w:rPr>
          <w:rFonts w:hint="eastAsia" w:eastAsia="仿宋_GB2312" w:cs="Times New Roman"/>
          <w:b/>
          <w:bCs/>
          <w:color w:val="000000"/>
          <w:kern w:val="0"/>
          <w:highlight w:val="none"/>
          <w:shd w:val="clear" w:color="auto" w:fill="FFFFFF"/>
          <w:lang w:eastAsia="zh-CN"/>
        </w:rPr>
        <w:t>20</w:t>
      </w:r>
      <w:r>
        <w:rPr>
          <w:rFonts w:hint="eastAsia" w:eastAsia="仿宋_GB2312" w:cs="Times New Roman"/>
          <w:b/>
          <w:bCs/>
          <w:color w:val="000000"/>
          <w:kern w:val="0"/>
          <w:highlight w:val="none"/>
          <w:shd w:val="clear" w:color="auto" w:fill="FFFFFF"/>
          <w:lang w:val="en-US" w:eastAsia="zh-CN"/>
        </w:rPr>
        <w:t>20</w:t>
      </w:r>
      <w:r>
        <w:rPr>
          <w:rFonts w:hint="eastAsia" w:eastAsia="仿宋_GB2312" w:cs="Times New Roman"/>
          <w:b/>
          <w:bCs/>
          <w:color w:val="000000"/>
          <w:kern w:val="0"/>
          <w:highlight w:val="none"/>
          <w:shd w:val="clear" w:color="auto" w:fill="FFFFFF"/>
          <w:lang w:eastAsia="zh-CN"/>
        </w:rPr>
        <w:t>-202</w:t>
      </w:r>
      <w:r>
        <w:rPr>
          <w:rFonts w:hint="eastAsia" w:eastAsia="仿宋_GB2312" w:cs="Times New Roman"/>
          <w:b/>
          <w:bCs/>
          <w:color w:val="000000"/>
          <w:kern w:val="0"/>
          <w:highlight w:val="none"/>
          <w:shd w:val="clear" w:color="auto" w:fill="FFFFFF"/>
          <w:lang w:val="en-US" w:eastAsia="zh-CN"/>
        </w:rPr>
        <w:t>2</w:t>
      </w:r>
      <w:r>
        <w:rPr>
          <w:rFonts w:hint="eastAsia" w:eastAsia="仿宋_GB2312" w:cs="Times New Roman"/>
          <w:b/>
          <w:bCs/>
          <w:color w:val="000000"/>
          <w:kern w:val="0"/>
          <w:highlight w:val="none"/>
          <w:shd w:val="clear" w:color="auto" w:fill="FFFFFF"/>
          <w:lang w:eastAsia="zh-CN"/>
        </w:rPr>
        <w:t>年</w:t>
      </w:r>
      <w:r>
        <w:rPr>
          <w:rFonts w:hint="default" w:ascii="Times New Roman" w:hAnsi="Times New Roman" w:eastAsia="仿宋_GB2312" w:cs="Times New Roman"/>
          <w:b/>
          <w:bCs/>
          <w:color w:val="000000"/>
          <w:kern w:val="0"/>
          <w:highlight w:val="none"/>
          <w:shd w:val="clear" w:color="auto" w:fill="FFFFFF"/>
        </w:rPr>
        <w:t>预算及执行情况图</w:t>
      </w:r>
    </w:p>
    <w:p>
      <w:pPr>
        <w:pStyle w:val="15"/>
        <w:ind w:left="0" w:leftChars="0" w:firstLine="0" w:firstLineChars="0"/>
        <w:jc w:val="center"/>
        <w:rPr>
          <w:rFonts w:hint="eastAsia" w:eastAsia="宋体"/>
          <w:highlight w:val="none"/>
          <w:lang w:eastAsia="zh-CN"/>
        </w:rPr>
      </w:pPr>
      <w:r>
        <w:drawing>
          <wp:inline distT="0" distB="0" distL="114300" distR="114300">
            <wp:extent cx="5577205" cy="3181985"/>
            <wp:effectExtent l="0" t="0" r="635" b="3175"/>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17"/>
                    <a:stretch>
                      <a:fillRect/>
                    </a:stretch>
                  </pic:blipFill>
                  <pic:spPr>
                    <a:xfrm>
                      <a:off x="0" y="0"/>
                      <a:ext cx="5577205" cy="3181985"/>
                    </a:xfrm>
                    <a:prstGeom prst="rect">
                      <a:avLst/>
                    </a:prstGeom>
                    <a:noFill/>
                    <a:ln>
                      <a:noFill/>
                    </a:ln>
                  </pic:spPr>
                </pic:pic>
              </a:graphicData>
            </a:graphic>
          </wp:inline>
        </w:drawing>
      </w:r>
    </w:p>
    <w:p>
      <w:pPr>
        <w:pStyle w:val="4"/>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highlight w:val="none"/>
        </w:rPr>
      </w:pPr>
      <w:bookmarkStart w:id="23" w:name="_Toc55586771"/>
      <w:bookmarkStart w:id="24" w:name="_Toc8956"/>
      <w:bookmarkStart w:id="25" w:name="_Toc27826"/>
      <w:r>
        <w:rPr>
          <w:rFonts w:hint="default" w:ascii="Times New Roman" w:hAnsi="Times New Roman" w:eastAsia="仿宋_GB2312" w:cs="Times New Roman"/>
          <w:highlight w:val="none"/>
        </w:rPr>
        <w:t>2、20</w:t>
      </w:r>
      <w:r>
        <w:rPr>
          <w:rFonts w:hint="default" w:ascii="Times New Roman" w:hAnsi="Times New Roman" w:eastAsia="仿宋_GB2312" w:cs="Times New Roman"/>
          <w:highlight w:val="none"/>
          <w:lang w:val="en-US" w:eastAsia="zh-CN"/>
        </w:rPr>
        <w:t>2</w:t>
      </w:r>
      <w:r>
        <w:rPr>
          <w:rFonts w:hint="eastAsia" w:eastAsia="仿宋_GB2312" w:cs="Times New Roman"/>
          <w:highlight w:val="none"/>
          <w:lang w:val="en-US" w:eastAsia="zh-CN"/>
        </w:rPr>
        <w:t>2</w:t>
      </w:r>
      <w:r>
        <w:rPr>
          <w:rFonts w:hint="default" w:ascii="Times New Roman" w:hAnsi="Times New Roman" w:eastAsia="仿宋_GB2312" w:cs="Times New Roman"/>
          <w:highlight w:val="none"/>
        </w:rPr>
        <w:t>年</w:t>
      </w:r>
      <w:r>
        <w:rPr>
          <w:rFonts w:hint="eastAsia" w:eastAsia="仿宋_GB2312" w:cs="Times New Roman"/>
          <w:highlight w:val="none"/>
          <w:lang w:eastAsia="zh-CN"/>
        </w:rPr>
        <w:t>阿坝县残疾人联合会</w:t>
      </w:r>
      <w:r>
        <w:rPr>
          <w:rFonts w:hint="default" w:ascii="Times New Roman" w:hAnsi="Times New Roman" w:eastAsia="仿宋_GB2312" w:cs="Times New Roman"/>
          <w:highlight w:val="none"/>
        </w:rPr>
        <w:t>预算及支出情况</w:t>
      </w:r>
      <w:bookmarkEnd w:id="23"/>
      <w:bookmarkEnd w:id="24"/>
      <w:bookmarkEnd w:id="25"/>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（1）预算资金来源</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阿坝县残疾人联合会</w:t>
      </w:r>
      <w:r>
        <w:rPr>
          <w:rFonts w:hint="default" w:ascii="Times New Roman" w:hAnsi="Times New Roman" w:eastAsia="仿宋_GB2312" w:cs="Times New Roman"/>
          <w:color w:val="000000"/>
          <w:kern w:val="0"/>
          <w:sz w:val="32"/>
          <w:szCs w:val="32"/>
          <w:highlight w:val="none"/>
          <w:lang w:val="en-US" w:eastAsia="zh-CN" w:bidi="ar"/>
        </w:rPr>
        <w:t>年初预算数为</w:t>
      </w:r>
      <w:r>
        <w:rPr>
          <w:rFonts w:hint="eastAsia" w:eastAsia="仿宋_GB2312" w:cs="Times New Roman"/>
          <w:color w:val="000000"/>
          <w:kern w:val="0"/>
          <w:sz w:val="32"/>
          <w:szCs w:val="32"/>
          <w:highlight w:val="none"/>
          <w:lang w:val="en-US" w:eastAsia="zh-CN" w:bidi="ar"/>
        </w:rPr>
        <w:t>166.36</w:t>
      </w:r>
      <w:r>
        <w:rPr>
          <w:rFonts w:hint="default" w:ascii="Times New Roman" w:hAnsi="Times New Roman" w:eastAsia="仿宋_GB2312" w:cs="Times New Roman"/>
          <w:color w:val="000000"/>
          <w:kern w:val="0"/>
          <w:sz w:val="32"/>
          <w:szCs w:val="32"/>
          <w:highlight w:val="none"/>
          <w:lang w:val="en-US" w:eastAsia="zh-CN" w:bidi="ar"/>
        </w:rPr>
        <w:t>万元，资金来源于财政拨款。</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（2）预算调整</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阿坝县残疾人联合会</w:t>
      </w:r>
      <w:r>
        <w:rPr>
          <w:rFonts w:hint="default" w:ascii="Times New Roman" w:hAnsi="Times New Roman" w:eastAsia="仿宋_GB2312" w:cs="Times New Roman"/>
          <w:color w:val="000000"/>
          <w:kern w:val="0"/>
          <w:sz w:val="32"/>
          <w:szCs w:val="32"/>
          <w:highlight w:val="none"/>
          <w:lang w:val="en-US" w:eastAsia="zh-CN" w:bidi="ar"/>
        </w:rPr>
        <w:t>执行过程中调整</w:t>
      </w:r>
      <w:r>
        <w:rPr>
          <w:rFonts w:hint="eastAsia" w:eastAsia="仿宋_GB2312" w:cs="Times New Roman"/>
          <w:color w:val="000000"/>
          <w:kern w:val="0"/>
          <w:sz w:val="32"/>
          <w:szCs w:val="32"/>
          <w:highlight w:val="none"/>
          <w:lang w:val="en-US" w:eastAsia="zh-CN" w:bidi="ar"/>
        </w:rPr>
        <w:t>增加</w:t>
      </w:r>
      <w:r>
        <w:rPr>
          <w:rFonts w:hint="default" w:ascii="Times New Roman" w:hAnsi="Times New Roman" w:eastAsia="仿宋_GB2312" w:cs="Times New Roman"/>
          <w:color w:val="000000"/>
          <w:kern w:val="0"/>
          <w:sz w:val="32"/>
          <w:szCs w:val="32"/>
          <w:highlight w:val="none"/>
          <w:lang w:val="en-US" w:eastAsia="zh-CN" w:bidi="ar"/>
        </w:rPr>
        <w:t>基本支出预算</w:t>
      </w:r>
      <w:r>
        <w:rPr>
          <w:rFonts w:hint="eastAsia" w:eastAsia="仿宋_GB2312" w:cs="Times New Roman"/>
          <w:color w:val="000000"/>
          <w:kern w:val="0"/>
          <w:sz w:val="32"/>
          <w:szCs w:val="32"/>
          <w:highlight w:val="none"/>
          <w:lang w:val="en-US" w:eastAsia="zh-CN" w:bidi="ar"/>
        </w:rPr>
        <w:t>42.08</w:t>
      </w:r>
      <w:r>
        <w:rPr>
          <w:rFonts w:hint="default" w:ascii="Times New Roman" w:hAnsi="Times New Roman" w:eastAsia="仿宋_GB2312" w:cs="Times New Roman"/>
          <w:color w:val="000000"/>
          <w:kern w:val="0"/>
          <w:sz w:val="32"/>
          <w:szCs w:val="32"/>
          <w:highlight w:val="none"/>
          <w:lang w:val="en-US" w:eastAsia="zh-CN" w:bidi="ar"/>
        </w:rPr>
        <w:t>万元</w:t>
      </w:r>
      <w:r>
        <w:rPr>
          <w:rFonts w:hint="eastAsia"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调整</w:t>
      </w:r>
      <w:r>
        <w:rPr>
          <w:rFonts w:hint="eastAsia" w:eastAsia="仿宋_GB2312" w:cs="Times New Roman"/>
          <w:color w:val="000000"/>
          <w:kern w:val="0"/>
          <w:sz w:val="32"/>
          <w:szCs w:val="32"/>
          <w:highlight w:val="none"/>
          <w:lang w:val="en-US" w:eastAsia="zh-CN" w:bidi="ar"/>
        </w:rPr>
        <w:t>增加项目</w:t>
      </w:r>
      <w:r>
        <w:rPr>
          <w:rFonts w:hint="default" w:ascii="Times New Roman" w:hAnsi="Times New Roman" w:eastAsia="仿宋_GB2312" w:cs="Times New Roman"/>
          <w:color w:val="000000"/>
          <w:kern w:val="0"/>
          <w:sz w:val="32"/>
          <w:szCs w:val="32"/>
          <w:highlight w:val="none"/>
          <w:lang w:val="en-US" w:eastAsia="zh-CN" w:bidi="ar"/>
        </w:rPr>
        <w:t>支出预算</w:t>
      </w:r>
      <w:r>
        <w:rPr>
          <w:rFonts w:hint="eastAsia" w:eastAsia="仿宋_GB2312" w:cs="Times New Roman"/>
          <w:color w:val="000000"/>
          <w:kern w:val="0"/>
          <w:sz w:val="32"/>
          <w:szCs w:val="32"/>
          <w:highlight w:val="none"/>
          <w:lang w:val="en-US" w:eastAsia="zh-CN" w:bidi="ar"/>
        </w:rPr>
        <w:t>173.62</w:t>
      </w:r>
      <w:r>
        <w:rPr>
          <w:rFonts w:hint="default" w:ascii="Times New Roman" w:hAnsi="Times New Roman" w:eastAsia="仿宋_GB2312" w:cs="Times New Roman"/>
          <w:color w:val="000000"/>
          <w:kern w:val="0"/>
          <w:sz w:val="32"/>
          <w:szCs w:val="32"/>
          <w:highlight w:val="none"/>
          <w:lang w:val="en-US" w:eastAsia="zh-CN" w:bidi="ar"/>
        </w:rPr>
        <w:t>万元。</w:t>
      </w:r>
    </w:p>
    <w:p>
      <w:pPr>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default" w:ascii="Times New Roman" w:hAnsi="Times New Roman" w:eastAsia="仿宋_GB2312" w:cs="Times New Roman"/>
          <w:b/>
          <w:bCs/>
          <w:color w:val="000000"/>
          <w:kern w:val="0"/>
          <w:highlight w:val="none"/>
          <w:lang w:val="en-US" w:eastAsia="zh-CN" w:bidi="ar"/>
        </w:rPr>
        <w:t>3</w:t>
      </w:r>
      <w:r>
        <w:rPr>
          <w:rFonts w:hint="default" w:ascii="Times New Roman" w:hAnsi="Times New Roman" w:eastAsia="仿宋_GB2312" w:cs="Times New Roman"/>
          <w:b/>
          <w:bCs/>
          <w:color w:val="000000"/>
          <w:kern w:val="0"/>
          <w:highlight w:val="none"/>
          <w:lang w:bidi="ar"/>
        </w:rPr>
        <w:t xml:space="preserve"> 预算调整表</w:t>
      </w:r>
    </w:p>
    <w:tbl>
      <w:tblPr>
        <w:tblStyle w:val="40"/>
        <w:tblW w:w="8931"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189"/>
        <w:gridCol w:w="1917"/>
        <w:gridCol w:w="1929"/>
        <w:gridCol w:w="1929"/>
        <w:gridCol w:w="1967"/>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tblHeader/>
        </w:trPr>
        <w:tc>
          <w:tcPr>
            <w:tcW w:w="1189"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color w:val="000000"/>
                <w:kern w:val="0"/>
                <w:highlight w:val="none"/>
                <w:lang w:bidi="ar"/>
              </w:rPr>
              <w:t>项目</w:t>
            </w:r>
          </w:p>
        </w:tc>
        <w:tc>
          <w:tcPr>
            <w:tcW w:w="1917"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年初预算数</w:t>
            </w:r>
          </w:p>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929"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调整数</w:t>
            </w:r>
          </w:p>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929"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调整后预算</w:t>
            </w:r>
          </w:p>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967"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调整后占比（%）</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trPr>
        <w:tc>
          <w:tcPr>
            <w:tcW w:w="1189" w:type="dxa"/>
            <w:shd w:val="clear" w:color="auto" w:fill="auto"/>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bidi="ar"/>
              </w:rPr>
            </w:pPr>
            <w:r>
              <w:rPr>
                <w:rFonts w:hint="eastAsia" w:ascii="Times New Roman" w:hAnsi="Times New Roman" w:eastAsia="仿宋_GB2312" w:cs="Times New Roman"/>
                <w:b w:val="0"/>
                <w:bCs w:val="0"/>
                <w:color w:val="000000"/>
                <w:kern w:val="0"/>
                <w:highlight w:val="none"/>
                <w:lang w:val="en-US" w:eastAsia="zh-CN" w:bidi="ar"/>
              </w:rPr>
              <w:t>基本支出</w:t>
            </w:r>
          </w:p>
        </w:tc>
        <w:tc>
          <w:tcPr>
            <w:tcW w:w="1917" w:type="dxa"/>
            <w:shd w:val="clear" w:color="auto" w:fill="auto"/>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val="en-US" w:eastAsia="zh-CN" w:bidi="ar"/>
              </w:rPr>
            </w:pPr>
            <w:r>
              <w:rPr>
                <w:rFonts w:hint="default" w:ascii="Times New Roman" w:hAnsi="Times New Roman" w:eastAsia="仿宋_GB2312" w:cs="Times New Roman"/>
                <w:b w:val="0"/>
                <w:bCs w:val="0"/>
                <w:color w:val="000000"/>
                <w:kern w:val="0"/>
                <w:highlight w:val="none"/>
                <w:lang w:val="en-US" w:eastAsia="zh-CN" w:bidi="ar"/>
              </w:rPr>
              <w:t>106.36</w:t>
            </w:r>
          </w:p>
        </w:tc>
        <w:tc>
          <w:tcPr>
            <w:tcW w:w="1929" w:type="dxa"/>
            <w:shd w:val="clear" w:color="auto" w:fill="auto"/>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val="en-US" w:eastAsia="zh-CN" w:bidi="ar"/>
              </w:rPr>
            </w:pPr>
            <w:r>
              <w:rPr>
                <w:rFonts w:hint="default" w:ascii="Times New Roman" w:hAnsi="Times New Roman" w:eastAsia="仿宋_GB2312" w:cs="Times New Roman"/>
                <w:b w:val="0"/>
                <w:bCs w:val="0"/>
                <w:color w:val="000000"/>
                <w:kern w:val="0"/>
                <w:highlight w:val="none"/>
                <w:lang w:val="en-US" w:eastAsia="zh-CN" w:bidi="ar"/>
              </w:rPr>
              <w:t>42.08</w:t>
            </w:r>
          </w:p>
        </w:tc>
        <w:tc>
          <w:tcPr>
            <w:tcW w:w="1929" w:type="dxa"/>
            <w:shd w:val="clear" w:color="auto" w:fill="auto"/>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val="en-US" w:eastAsia="zh-CN" w:bidi="ar"/>
              </w:rPr>
            </w:pPr>
            <w:r>
              <w:rPr>
                <w:rFonts w:hint="default" w:ascii="Times New Roman" w:hAnsi="Times New Roman" w:eastAsia="仿宋_GB2312" w:cs="Times New Roman"/>
                <w:b w:val="0"/>
                <w:bCs w:val="0"/>
                <w:color w:val="000000"/>
                <w:kern w:val="0"/>
                <w:highlight w:val="none"/>
                <w:lang w:val="en-US" w:eastAsia="zh-CN" w:bidi="ar"/>
              </w:rPr>
              <w:t>148.44</w:t>
            </w:r>
          </w:p>
        </w:tc>
        <w:tc>
          <w:tcPr>
            <w:tcW w:w="1967" w:type="dxa"/>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val="en-US" w:eastAsia="zh-CN" w:bidi="ar"/>
              </w:rPr>
            </w:pPr>
            <w:r>
              <w:rPr>
                <w:rFonts w:hint="default" w:ascii="Times New Roman" w:hAnsi="Times New Roman" w:eastAsia="仿宋_GB2312" w:cs="Times New Roman"/>
                <w:b w:val="0"/>
                <w:bCs w:val="0"/>
                <w:color w:val="000000"/>
                <w:kern w:val="0"/>
                <w:highlight w:val="none"/>
                <w:lang w:val="en-US" w:eastAsia="zh-CN" w:bidi="ar"/>
              </w:rPr>
              <w:t>38.85%</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trPr>
        <w:tc>
          <w:tcPr>
            <w:tcW w:w="1189" w:type="dxa"/>
            <w:shd w:val="clear" w:color="auto" w:fill="auto"/>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bidi="ar"/>
              </w:rPr>
            </w:pPr>
            <w:r>
              <w:rPr>
                <w:rFonts w:hint="eastAsia" w:ascii="Times New Roman" w:hAnsi="Times New Roman" w:eastAsia="仿宋_GB2312" w:cs="Times New Roman"/>
                <w:b w:val="0"/>
                <w:bCs w:val="0"/>
                <w:color w:val="000000"/>
                <w:kern w:val="0"/>
                <w:highlight w:val="none"/>
                <w:lang w:val="en-US" w:eastAsia="zh-CN" w:bidi="ar"/>
              </w:rPr>
              <w:t>项目支出</w:t>
            </w:r>
          </w:p>
        </w:tc>
        <w:tc>
          <w:tcPr>
            <w:tcW w:w="1917" w:type="dxa"/>
            <w:shd w:val="clear" w:color="auto" w:fill="auto"/>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val="en-US" w:eastAsia="zh-CN" w:bidi="ar"/>
              </w:rPr>
            </w:pPr>
            <w:r>
              <w:rPr>
                <w:rFonts w:hint="default" w:ascii="Times New Roman" w:hAnsi="Times New Roman" w:eastAsia="仿宋_GB2312" w:cs="Times New Roman"/>
                <w:b w:val="0"/>
                <w:bCs w:val="0"/>
                <w:color w:val="000000"/>
                <w:kern w:val="0"/>
                <w:highlight w:val="none"/>
                <w:lang w:val="en-US" w:eastAsia="zh-CN" w:bidi="ar"/>
              </w:rPr>
              <w:t>60</w:t>
            </w:r>
          </w:p>
        </w:tc>
        <w:tc>
          <w:tcPr>
            <w:tcW w:w="1929" w:type="dxa"/>
            <w:shd w:val="clear" w:color="auto" w:fill="auto"/>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val="en-US" w:eastAsia="zh-CN" w:bidi="ar"/>
              </w:rPr>
            </w:pPr>
            <w:r>
              <w:rPr>
                <w:rFonts w:hint="default" w:ascii="Times New Roman" w:hAnsi="Times New Roman" w:eastAsia="仿宋_GB2312" w:cs="Times New Roman"/>
                <w:b w:val="0"/>
                <w:bCs w:val="0"/>
                <w:color w:val="000000"/>
                <w:kern w:val="0"/>
                <w:highlight w:val="none"/>
                <w:lang w:val="en-US" w:eastAsia="zh-CN" w:bidi="ar"/>
              </w:rPr>
              <w:t>173.62</w:t>
            </w:r>
          </w:p>
        </w:tc>
        <w:tc>
          <w:tcPr>
            <w:tcW w:w="1929" w:type="dxa"/>
            <w:shd w:val="clear" w:color="auto" w:fill="auto"/>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val="en-US" w:eastAsia="zh-CN" w:bidi="ar"/>
              </w:rPr>
            </w:pPr>
            <w:r>
              <w:rPr>
                <w:rFonts w:hint="default" w:ascii="Times New Roman" w:hAnsi="Times New Roman" w:eastAsia="仿宋_GB2312" w:cs="Times New Roman"/>
                <w:b w:val="0"/>
                <w:bCs w:val="0"/>
                <w:color w:val="000000"/>
                <w:kern w:val="0"/>
                <w:highlight w:val="none"/>
                <w:lang w:val="en-US" w:eastAsia="zh-CN" w:bidi="ar"/>
              </w:rPr>
              <w:t>233.62</w:t>
            </w:r>
          </w:p>
        </w:tc>
        <w:tc>
          <w:tcPr>
            <w:tcW w:w="1967" w:type="dxa"/>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val="en-US" w:eastAsia="zh-CN" w:bidi="ar"/>
              </w:rPr>
            </w:pPr>
            <w:r>
              <w:rPr>
                <w:rFonts w:hint="default" w:ascii="Times New Roman" w:hAnsi="Times New Roman" w:eastAsia="仿宋_GB2312" w:cs="Times New Roman"/>
                <w:b w:val="0"/>
                <w:bCs w:val="0"/>
                <w:color w:val="000000"/>
                <w:kern w:val="0"/>
                <w:highlight w:val="none"/>
                <w:lang w:val="en-US" w:eastAsia="zh-CN" w:bidi="ar"/>
              </w:rPr>
              <w:t>61.15%</w:t>
            </w:r>
          </w:p>
        </w:tc>
      </w:tr>
    </w:tbl>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（3）实际资金支出情况</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阿坝县残疾人联合会</w:t>
      </w:r>
      <w:r>
        <w:rPr>
          <w:rFonts w:hint="default" w:ascii="Times New Roman" w:hAnsi="Times New Roman" w:eastAsia="仿宋_GB2312" w:cs="Times New Roman"/>
          <w:color w:val="000000"/>
          <w:kern w:val="0"/>
          <w:sz w:val="32"/>
          <w:szCs w:val="32"/>
          <w:highlight w:val="none"/>
          <w:lang w:val="en-US" w:eastAsia="zh-CN" w:bidi="ar"/>
        </w:rPr>
        <w:t>整体支出调整后预算为</w:t>
      </w:r>
      <w:r>
        <w:rPr>
          <w:rFonts w:hint="eastAsia" w:eastAsia="仿宋_GB2312" w:cs="Times New Roman"/>
          <w:color w:val="000000"/>
          <w:kern w:val="0"/>
          <w:sz w:val="32"/>
          <w:szCs w:val="32"/>
          <w:highlight w:val="none"/>
          <w:lang w:val="en-US" w:eastAsia="zh-CN" w:bidi="ar"/>
        </w:rPr>
        <w:t>382.06</w:t>
      </w:r>
      <w:r>
        <w:rPr>
          <w:rFonts w:hint="default" w:ascii="Times New Roman" w:hAnsi="Times New Roman" w:eastAsia="仿宋_GB2312" w:cs="Times New Roman"/>
          <w:color w:val="000000"/>
          <w:kern w:val="0"/>
          <w:sz w:val="32"/>
          <w:szCs w:val="32"/>
          <w:highlight w:val="none"/>
          <w:lang w:val="en-US" w:eastAsia="zh-CN" w:bidi="ar"/>
        </w:rPr>
        <w:t>万元，实际支出为</w:t>
      </w:r>
      <w:r>
        <w:rPr>
          <w:rFonts w:hint="eastAsia" w:eastAsia="仿宋_GB2312" w:cs="Times New Roman"/>
          <w:color w:val="000000"/>
          <w:kern w:val="0"/>
          <w:sz w:val="32"/>
          <w:szCs w:val="32"/>
          <w:highlight w:val="none"/>
          <w:lang w:val="en-US" w:eastAsia="zh-CN" w:bidi="ar"/>
        </w:rPr>
        <w:t>382.06</w:t>
      </w:r>
      <w:r>
        <w:rPr>
          <w:rFonts w:hint="default" w:ascii="Times New Roman" w:hAnsi="Times New Roman" w:eastAsia="仿宋_GB2312" w:cs="Times New Roman"/>
          <w:color w:val="000000"/>
          <w:kern w:val="0"/>
          <w:sz w:val="32"/>
          <w:szCs w:val="32"/>
          <w:highlight w:val="none"/>
          <w:lang w:val="en-US" w:eastAsia="zh-CN" w:bidi="ar"/>
        </w:rPr>
        <w:t>万元，预算执行率为</w:t>
      </w:r>
      <w:r>
        <w:rPr>
          <w:rFonts w:hint="eastAsia" w:eastAsia="仿宋_GB2312" w:cs="Times New Roman"/>
          <w:color w:val="000000"/>
          <w:kern w:val="0"/>
          <w:sz w:val="32"/>
          <w:szCs w:val="32"/>
          <w:highlight w:val="none"/>
          <w:lang w:val="en-US" w:eastAsia="zh-CN" w:bidi="ar"/>
        </w:rPr>
        <w:t>100</w:t>
      </w:r>
      <w:r>
        <w:rPr>
          <w:rFonts w:hint="default" w:ascii="Times New Roman" w:hAnsi="Times New Roman" w:eastAsia="仿宋_GB2312" w:cs="Times New Roman"/>
          <w:color w:val="000000"/>
          <w:kern w:val="0"/>
          <w:sz w:val="32"/>
          <w:szCs w:val="32"/>
          <w:highlight w:val="none"/>
          <w:lang w:val="en-US" w:eastAsia="zh-CN" w:bidi="ar"/>
        </w:rPr>
        <w:t>%。</w:t>
      </w:r>
    </w:p>
    <w:p>
      <w:pPr>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表4</w:t>
      </w:r>
      <w:r>
        <w:rPr>
          <w:rFonts w:hint="default" w:ascii="Times New Roman" w:hAnsi="Times New Roman" w:eastAsia="仿宋_GB2312" w:cs="Times New Roman"/>
          <w:b/>
          <w:bCs/>
          <w:color w:val="000000"/>
          <w:kern w:val="0"/>
          <w:highlight w:val="none"/>
          <w:lang w:bidi="ar"/>
        </w:rPr>
        <w:t xml:space="preserve"> 20</w:t>
      </w:r>
      <w:r>
        <w:rPr>
          <w:rFonts w:hint="default" w:ascii="Times New Roman" w:hAnsi="Times New Roman" w:eastAsia="仿宋_GB2312" w:cs="Times New Roman"/>
          <w:b/>
          <w:bCs/>
          <w:color w:val="000000"/>
          <w:kern w:val="0"/>
          <w:highlight w:val="none"/>
          <w:lang w:val="en-US" w:eastAsia="zh-CN" w:bidi="ar"/>
        </w:rPr>
        <w:t>2</w:t>
      </w:r>
      <w:r>
        <w:rPr>
          <w:rFonts w:hint="eastAsia" w:eastAsia="仿宋_GB2312" w:cs="Times New Roman"/>
          <w:b/>
          <w:bCs/>
          <w:color w:val="000000"/>
          <w:kern w:val="0"/>
          <w:highlight w:val="none"/>
          <w:lang w:val="en-US" w:eastAsia="zh-CN" w:bidi="ar"/>
        </w:rPr>
        <w:t>2</w:t>
      </w:r>
      <w:r>
        <w:rPr>
          <w:rFonts w:hint="default" w:ascii="Times New Roman" w:hAnsi="Times New Roman" w:eastAsia="仿宋_GB2312" w:cs="Times New Roman"/>
          <w:b/>
          <w:bCs/>
          <w:color w:val="000000"/>
          <w:kern w:val="0"/>
          <w:highlight w:val="none"/>
          <w:lang w:bidi="ar"/>
        </w:rPr>
        <w:t>年实际资金支出情况表</w:t>
      </w:r>
    </w:p>
    <w:tbl>
      <w:tblPr>
        <w:tblStyle w:val="40"/>
        <w:tblW w:w="4919" w:type="pct"/>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599"/>
        <w:gridCol w:w="2444"/>
        <w:gridCol w:w="2385"/>
        <w:gridCol w:w="2428"/>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tblHeader/>
          <w:jc w:val="center"/>
        </w:trPr>
        <w:tc>
          <w:tcPr>
            <w:tcW w:w="903"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项目</w:t>
            </w:r>
          </w:p>
        </w:tc>
        <w:tc>
          <w:tcPr>
            <w:tcW w:w="1379"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调整后预算（</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346"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实际支出数（</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370"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预算执行率（%）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jc w:val="center"/>
        </w:trPr>
        <w:tc>
          <w:tcPr>
            <w:tcW w:w="903" w:type="pct"/>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bidi="ar"/>
              </w:rPr>
            </w:pPr>
            <w:r>
              <w:rPr>
                <w:rFonts w:hint="default" w:ascii="Times New Roman" w:hAnsi="Times New Roman" w:eastAsia="仿宋_GB2312" w:cs="Times New Roman"/>
                <w:b w:val="0"/>
                <w:bCs w:val="0"/>
                <w:color w:val="000000"/>
                <w:kern w:val="0"/>
                <w:highlight w:val="none"/>
                <w:lang w:bidi="ar"/>
              </w:rPr>
              <w:t>基本支出</w:t>
            </w:r>
          </w:p>
        </w:tc>
        <w:tc>
          <w:tcPr>
            <w:tcW w:w="2444"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default" w:ascii="Times New Roman" w:hAnsi="Times New Roman" w:eastAsia="仿宋_GB2312" w:cs="Times New Roman"/>
                <w:b w:val="0"/>
                <w:bCs w:val="0"/>
                <w:color w:val="000000"/>
                <w:kern w:val="0"/>
                <w:highlight w:val="none"/>
                <w:lang w:val="en-US" w:eastAsia="zh-CN" w:bidi="ar"/>
              </w:rPr>
              <w:t>148.44</w:t>
            </w:r>
          </w:p>
        </w:tc>
        <w:tc>
          <w:tcPr>
            <w:tcW w:w="2385"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default" w:ascii="Times New Roman" w:hAnsi="Times New Roman" w:eastAsia="仿宋_GB2312" w:cs="Times New Roman"/>
                <w:b w:val="0"/>
                <w:bCs w:val="0"/>
                <w:color w:val="000000"/>
                <w:kern w:val="0"/>
                <w:highlight w:val="none"/>
                <w:lang w:val="en-US" w:eastAsia="zh-CN" w:bidi="ar"/>
              </w:rPr>
              <w:t>148.44</w:t>
            </w:r>
          </w:p>
        </w:tc>
        <w:tc>
          <w:tcPr>
            <w:tcW w:w="1370" w:type="pct"/>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jc w:val="center"/>
        </w:trPr>
        <w:tc>
          <w:tcPr>
            <w:tcW w:w="903" w:type="pct"/>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bidi="ar"/>
              </w:rPr>
            </w:pPr>
            <w:r>
              <w:rPr>
                <w:rFonts w:hint="default" w:ascii="Times New Roman" w:hAnsi="Times New Roman" w:eastAsia="仿宋_GB2312" w:cs="Times New Roman"/>
                <w:b w:val="0"/>
                <w:bCs w:val="0"/>
                <w:color w:val="000000"/>
                <w:kern w:val="0"/>
                <w:highlight w:val="none"/>
                <w:lang w:bidi="ar"/>
              </w:rPr>
              <w:t>项目支出</w:t>
            </w:r>
          </w:p>
        </w:tc>
        <w:tc>
          <w:tcPr>
            <w:tcW w:w="2444"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default" w:ascii="Times New Roman" w:hAnsi="Times New Roman" w:eastAsia="仿宋_GB2312" w:cs="Times New Roman"/>
                <w:b w:val="0"/>
                <w:bCs w:val="0"/>
                <w:color w:val="000000"/>
                <w:kern w:val="0"/>
                <w:highlight w:val="none"/>
                <w:lang w:val="en-US" w:eastAsia="zh-CN" w:bidi="ar"/>
              </w:rPr>
              <w:t>233.62</w:t>
            </w:r>
          </w:p>
        </w:tc>
        <w:tc>
          <w:tcPr>
            <w:tcW w:w="2385"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default" w:ascii="Times New Roman" w:hAnsi="Times New Roman" w:eastAsia="仿宋_GB2312" w:cs="Times New Roman"/>
                <w:b w:val="0"/>
                <w:bCs w:val="0"/>
                <w:color w:val="000000"/>
                <w:kern w:val="0"/>
                <w:highlight w:val="none"/>
                <w:lang w:val="en-US" w:eastAsia="zh-CN" w:bidi="ar"/>
              </w:rPr>
              <w:t>233.62</w:t>
            </w:r>
          </w:p>
        </w:tc>
        <w:tc>
          <w:tcPr>
            <w:tcW w:w="1370" w:type="pct"/>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bl>
    <w:p>
      <w:pPr>
        <w:pStyle w:val="66"/>
        <w:spacing w:before="156" w:after="156" w:line="600" w:lineRule="exact"/>
        <w:ind w:firstLine="640"/>
        <w:rPr>
          <w:rFonts w:hint="default" w:ascii="Times New Roman" w:hAnsi="Times New Roman" w:eastAsia="楷体_GB2312" w:cs="Times New Roman"/>
          <w:color w:val="auto"/>
          <w:sz w:val="32"/>
          <w:highlight w:val="none"/>
          <w:lang w:val="en-US" w:eastAsia="zh-CN"/>
        </w:rPr>
      </w:pPr>
      <w:bookmarkStart w:id="26" w:name="_Toc7072"/>
      <w:bookmarkStart w:id="27" w:name="_Toc17589"/>
      <w:r>
        <w:rPr>
          <w:rFonts w:hint="default" w:ascii="Times New Roman" w:hAnsi="Times New Roman" w:eastAsia="楷体_GB2312" w:cs="Times New Roman"/>
          <w:color w:val="auto"/>
          <w:sz w:val="32"/>
          <w:highlight w:val="none"/>
          <w:lang w:val="en-US" w:eastAsia="zh-CN"/>
        </w:rPr>
        <w:t>（三）部门固定资产</w:t>
      </w:r>
      <w:bookmarkEnd w:id="26"/>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截至202</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年12月31日，</w:t>
      </w:r>
      <w:r>
        <w:rPr>
          <w:rFonts w:hint="eastAsia" w:eastAsia="仿宋_GB2312" w:cs="Times New Roman"/>
          <w:color w:val="000000"/>
          <w:kern w:val="0"/>
          <w:sz w:val="32"/>
          <w:szCs w:val="32"/>
          <w:highlight w:val="none"/>
          <w:lang w:val="en-US" w:eastAsia="zh-CN" w:bidi="ar"/>
        </w:rPr>
        <w:t>阿坝县残疾人联合会</w:t>
      </w:r>
      <w:r>
        <w:rPr>
          <w:rFonts w:hint="default" w:ascii="Times New Roman" w:hAnsi="Times New Roman" w:eastAsia="仿宋_GB2312" w:cs="Times New Roman"/>
          <w:color w:val="000000"/>
          <w:kern w:val="0"/>
          <w:sz w:val="32"/>
          <w:szCs w:val="32"/>
          <w:highlight w:val="none"/>
          <w:lang w:val="en-US" w:eastAsia="zh-CN" w:bidi="ar"/>
        </w:rPr>
        <w:t>固定资产系统记载数为</w:t>
      </w:r>
      <w:r>
        <w:rPr>
          <w:rFonts w:hint="eastAsia" w:eastAsia="仿宋_GB2312" w:cs="Times New Roman"/>
          <w:color w:val="000000"/>
          <w:kern w:val="0"/>
          <w:sz w:val="32"/>
          <w:szCs w:val="32"/>
          <w:highlight w:val="none"/>
          <w:lang w:val="en-US" w:eastAsia="zh-CN" w:bidi="ar"/>
        </w:rPr>
        <w:t>568.31</w:t>
      </w:r>
      <w:r>
        <w:rPr>
          <w:rFonts w:hint="default" w:ascii="Times New Roman" w:hAnsi="Times New Roman" w:eastAsia="仿宋_GB2312" w:cs="Times New Roman"/>
          <w:color w:val="000000"/>
          <w:kern w:val="0"/>
          <w:sz w:val="32"/>
          <w:szCs w:val="32"/>
          <w:highlight w:val="none"/>
          <w:lang w:val="en-US" w:eastAsia="zh-CN" w:bidi="ar"/>
        </w:rPr>
        <w:t>万元，固定资产账簿记载数据为</w:t>
      </w:r>
      <w:r>
        <w:rPr>
          <w:rFonts w:hint="eastAsia" w:eastAsia="仿宋_GB2312" w:cs="Times New Roman"/>
          <w:color w:val="000000"/>
          <w:kern w:val="0"/>
          <w:sz w:val="32"/>
          <w:szCs w:val="32"/>
          <w:highlight w:val="none"/>
          <w:lang w:val="en-US" w:eastAsia="zh-CN" w:bidi="ar"/>
        </w:rPr>
        <w:t>568.31</w:t>
      </w:r>
      <w:r>
        <w:rPr>
          <w:rFonts w:hint="default" w:ascii="Times New Roman" w:hAnsi="Times New Roman" w:eastAsia="仿宋_GB2312" w:cs="Times New Roman"/>
          <w:color w:val="000000"/>
          <w:kern w:val="0"/>
          <w:sz w:val="32"/>
          <w:szCs w:val="32"/>
          <w:highlight w:val="none"/>
          <w:lang w:val="en-US" w:eastAsia="zh-CN" w:bidi="ar"/>
        </w:rPr>
        <w:t>万元，固定资产系统记载数与固定资产账簿记载数一致</w:t>
      </w:r>
      <w:r>
        <w:rPr>
          <w:rFonts w:hint="eastAsia" w:eastAsia="仿宋_GB2312" w:cs="Times New Roman"/>
          <w:color w:val="000000"/>
          <w:kern w:val="0"/>
          <w:sz w:val="32"/>
          <w:szCs w:val="32"/>
          <w:highlight w:val="none"/>
          <w:lang w:val="en-US" w:eastAsia="zh-CN" w:bidi="ar"/>
        </w:rPr>
        <w:t>。</w:t>
      </w:r>
    </w:p>
    <w:p>
      <w:pPr>
        <w:keepNext w:val="0"/>
        <w:keepLines w:val="0"/>
        <w:pageBreakBefore w:val="0"/>
        <w:widowControl w:val="0"/>
        <w:kinsoku/>
        <w:wordWrap/>
        <w:overflowPunct/>
        <w:topLinePunct w:val="0"/>
        <w:autoSpaceDE/>
        <w:autoSpaceDN/>
        <w:bidi w:val="0"/>
        <w:adjustRightInd/>
        <w:spacing w:line="600" w:lineRule="exact"/>
        <w:ind w:firstLine="480"/>
        <w:jc w:val="center"/>
        <w:textAlignment w:val="auto"/>
        <w:rPr>
          <w:rFonts w:hint="default" w:ascii="Times New Roman" w:hAnsi="Times New Roman" w:eastAsia="仿宋_GB2312" w:cs="Times New Roman"/>
          <w:b/>
          <w:bCs/>
          <w:color w:val="000000"/>
          <w:kern w:val="0"/>
          <w:highlight w:val="none"/>
          <w:shd w:val="clear" w:color="auto" w:fill="FFFFFF"/>
        </w:rPr>
      </w:pPr>
      <w:r>
        <w:rPr>
          <w:rFonts w:hint="default" w:ascii="Times New Roman" w:hAnsi="Times New Roman" w:eastAsia="仿宋_GB2312" w:cs="Times New Roman"/>
          <w:b/>
          <w:bCs/>
          <w:color w:val="000000"/>
          <w:kern w:val="0"/>
          <w:highlight w:val="none"/>
          <w:shd w:val="clear" w:color="auto" w:fill="FFFFFF"/>
        </w:rPr>
        <w:t>表</w:t>
      </w:r>
      <w:r>
        <w:rPr>
          <w:rFonts w:hint="default" w:ascii="Times New Roman" w:hAnsi="Times New Roman" w:eastAsia="仿宋_GB2312" w:cs="Times New Roman"/>
          <w:b/>
          <w:bCs/>
          <w:color w:val="000000"/>
          <w:kern w:val="0"/>
          <w:highlight w:val="none"/>
          <w:shd w:val="clear" w:color="auto" w:fill="FFFFFF"/>
          <w:lang w:val="en-US" w:eastAsia="zh-CN"/>
        </w:rPr>
        <w:t xml:space="preserve">5 </w:t>
      </w:r>
      <w:r>
        <w:rPr>
          <w:rFonts w:hint="default" w:ascii="Times New Roman" w:hAnsi="Times New Roman" w:eastAsia="仿宋_GB2312" w:cs="Times New Roman"/>
          <w:b/>
          <w:bCs/>
          <w:color w:val="000000"/>
          <w:kern w:val="0"/>
          <w:highlight w:val="none"/>
          <w:shd w:val="clear" w:color="auto" w:fill="FFFFFF"/>
        </w:rPr>
        <w:t>20</w:t>
      </w:r>
      <w:r>
        <w:rPr>
          <w:rFonts w:hint="default" w:ascii="Times New Roman" w:hAnsi="Times New Roman" w:eastAsia="仿宋_GB2312" w:cs="Times New Roman"/>
          <w:b/>
          <w:bCs/>
          <w:color w:val="000000"/>
          <w:kern w:val="0"/>
          <w:highlight w:val="none"/>
          <w:shd w:val="clear" w:color="auto" w:fill="FFFFFF"/>
          <w:lang w:val="en-US" w:eastAsia="zh-CN"/>
        </w:rPr>
        <w:t>2</w:t>
      </w:r>
      <w:r>
        <w:rPr>
          <w:rFonts w:hint="eastAsia" w:eastAsia="仿宋_GB2312" w:cs="Times New Roman"/>
          <w:b/>
          <w:bCs/>
          <w:color w:val="000000"/>
          <w:kern w:val="0"/>
          <w:highlight w:val="none"/>
          <w:shd w:val="clear" w:color="auto" w:fill="FFFFFF"/>
          <w:lang w:val="en-US" w:eastAsia="zh-CN"/>
        </w:rPr>
        <w:t>2</w:t>
      </w:r>
      <w:r>
        <w:rPr>
          <w:rFonts w:hint="default" w:ascii="Times New Roman" w:hAnsi="Times New Roman" w:eastAsia="仿宋_GB2312" w:cs="Times New Roman"/>
          <w:b/>
          <w:bCs/>
          <w:color w:val="000000"/>
          <w:kern w:val="0"/>
          <w:highlight w:val="none"/>
          <w:shd w:val="clear" w:color="auto" w:fill="FFFFFF"/>
        </w:rPr>
        <w:t>年固定资产增减变动情况表</w:t>
      </w:r>
    </w:p>
    <w:tbl>
      <w:tblPr>
        <w:tblStyle w:val="40"/>
        <w:tblW w:w="9126"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313"/>
        <w:gridCol w:w="1600"/>
        <w:gridCol w:w="1687"/>
        <w:gridCol w:w="1838"/>
        <w:gridCol w:w="1688"/>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tblHeader/>
        </w:trPr>
        <w:tc>
          <w:tcPr>
            <w:tcW w:w="2313"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类别</w:t>
            </w:r>
          </w:p>
        </w:tc>
        <w:tc>
          <w:tcPr>
            <w:tcW w:w="1600"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期初数</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c>
          <w:tcPr>
            <w:tcW w:w="1687"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本期增加</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c>
          <w:tcPr>
            <w:tcW w:w="1838"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本期减少</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c>
          <w:tcPr>
            <w:tcW w:w="1688"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期末数</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trPr>
        <w:tc>
          <w:tcPr>
            <w:tcW w:w="2313" w:type="dxa"/>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val="en-US" w:eastAsia="zh-CN" w:bidi="ar"/>
              </w:rPr>
            </w:pPr>
            <w:r>
              <w:rPr>
                <w:rFonts w:hint="default" w:ascii="Times New Roman" w:hAnsi="Times New Roman" w:eastAsia="仿宋_GB2312" w:cs="Times New Roman"/>
                <w:b w:val="0"/>
                <w:bCs w:val="0"/>
                <w:color w:val="000000"/>
                <w:kern w:val="0"/>
                <w:highlight w:val="none"/>
                <w:lang w:val="en-US" w:eastAsia="zh-CN" w:bidi="ar"/>
              </w:rPr>
              <w:t>固定资产系统数据</w:t>
            </w:r>
          </w:p>
        </w:tc>
        <w:tc>
          <w:tcPr>
            <w:tcW w:w="1600" w:type="dxa"/>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val="en-US" w:eastAsia="zh-CN" w:bidi="ar"/>
              </w:rPr>
            </w:pPr>
            <w:r>
              <w:rPr>
                <w:rFonts w:hint="default" w:ascii="Times New Roman" w:hAnsi="Times New Roman" w:eastAsia="仿宋_GB2312" w:cs="Times New Roman"/>
                <w:b w:val="0"/>
                <w:bCs w:val="0"/>
                <w:color w:val="000000"/>
                <w:kern w:val="0"/>
                <w:highlight w:val="none"/>
                <w:lang w:val="en-US" w:eastAsia="zh-CN" w:bidi="ar"/>
              </w:rPr>
              <w:t>568.31</w:t>
            </w:r>
          </w:p>
        </w:tc>
        <w:tc>
          <w:tcPr>
            <w:tcW w:w="1687" w:type="dxa"/>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val="en-US" w:eastAsia="zh-CN" w:bidi="ar"/>
              </w:rPr>
            </w:pPr>
            <w:r>
              <w:rPr>
                <w:rFonts w:hint="default" w:ascii="Times New Roman" w:hAnsi="Times New Roman" w:eastAsia="仿宋_GB2312" w:cs="Times New Roman"/>
                <w:b w:val="0"/>
                <w:bCs w:val="0"/>
                <w:color w:val="000000"/>
                <w:kern w:val="0"/>
                <w:highlight w:val="none"/>
                <w:lang w:val="en-US" w:eastAsia="zh-CN" w:bidi="ar"/>
              </w:rPr>
              <w:t>0</w:t>
            </w:r>
          </w:p>
        </w:tc>
        <w:tc>
          <w:tcPr>
            <w:tcW w:w="1838" w:type="dxa"/>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val="en-US" w:eastAsia="zh-CN" w:bidi="ar"/>
              </w:rPr>
            </w:pPr>
            <w:r>
              <w:rPr>
                <w:rFonts w:hint="default" w:ascii="Times New Roman" w:hAnsi="Times New Roman" w:eastAsia="仿宋_GB2312" w:cs="Times New Roman"/>
                <w:b w:val="0"/>
                <w:bCs w:val="0"/>
                <w:color w:val="000000"/>
                <w:kern w:val="0"/>
                <w:highlight w:val="none"/>
                <w:lang w:val="en-US" w:eastAsia="zh-CN" w:bidi="ar"/>
              </w:rPr>
              <w:t>0</w:t>
            </w:r>
          </w:p>
        </w:tc>
        <w:tc>
          <w:tcPr>
            <w:tcW w:w="1688" w:type="dxa"/>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val="en-US" w:eastAsia="zh-CN" w:bidi="ar"/>
              </w:rPr>
            </w:pPr>
            <w:r>
              <w:rPr>
                <w:rFonts w:hint="default" w:ascii="Times New Roman" w:hAnsi="Times New Roman" w:eastAsia="仿宋_GB2312" w:cs="Times New Roman"/>
                <w:b w:val="0"/>
                <w:bCs w:val="0"/>
                <w:color w:val="000000"/>
                <w:kern w:val="0"/>
                <w:highlight w:val="none"/>
                <w:lang w:val="en-US" w:eastAsia="zh-CN" w:bidi="ar"/>
              </w:rPr>
              <w:t>568.31</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trPr>
        <w:tc>
          <w:tcPr>
            <w:tcW w:w="2313" w:type="dxa"/>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val="en-US" w:eastAsia="zh-CN" w:bidi="ar"/>
              </w:rPr>
            </w:pPr>
            <w:r>
              <w:rPr>
                <w:rFonts w:hint="default" w:ascii="Times New Roman" w:hAnsi="Times New Roman" w:eastAsia="仿宋_GB2312" w:cs="Times New Roman"/>
                <w:b w:val="0"/>
                <w:bCs w:val="0"/>
                <w:color w:val="000000"/>
                <w:kern w:val="0"/>
                <w:highlight w:val="none"/>
                <w:lang w:val="en-US" w:eastAsia="zh-CN" w:bidi="ar"/>
              </w:rPr>
              <w:t>总账数据</w:t>
            </w:r>
          </w:p>
        </w:tc>
        <w:tc>
          <w:tcPr>
            <w:tcW w:w="1600" w:type="dxa"/>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val="en-US" w:eastAsia="zh-CN" w:bidi="ar"/>
              </w:rPr>
            </w:pPr>
            <w:r>
              <w:rPr>
                <w:rFonts w:hint="default" w:ascii="Times New Roman" w:hAnsi="Times New Roman" w:eastAsia="仿宋_GB2312" w:cs="Times New Roman"/>
                <w:b w:val="0"/>
                <w:bCs w:val="0"/>
                <w:color w:val="000000"/>
                <w:kern w:val="0"/>
                <w:highlight w:val="none"/>
                <w:lang w:val="en-US" w:eastAsia="zh-CN" w:bidi="ar"/>
              </w:rPr>
              <w:t>568.31</w:t>
            </w:r>
          </w:p>
        </w:tc>
        <w:tc>
          <w:tcPr>
            <w:tcW w:w="1687" w:type="dxa"/>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val="en-US" w:eastAsia="zh-CN" w:bidi="ar"/>
              </w:rPr>
            </w:pPr>
            <w:r>
              <w:rPr>
                <w:rFonts w:hint="default" w:ascii="Times New Roman" w:hAnsi="Times New Roman" w:eastAsia="仿宋_GB2312" w:cs="Times New Roman"/>
                <w:b w:val="0"/>
                <w:bCs w:val="0"/>
                <w:color w:val="000000"/>
                <w:kern w:val="0"/>
                <w:highlight w:val="none"/>
                <w:lang w:val="en-US" w:eastAsia="zh-CN" w:bidi="ar"/>
              </w:rPr>
              <w:t>0</w:t>
            </w:r>
          </w:p>
        </w:tc>
        <w:tc>
          <w:tcPr>
            <w:tcW w:w="1838" w:type="dxa"/>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val="en-US" w:eastAsia="zh-CN" w:bidi="ar"/>
              </w:rPr>
            </w:pPr>
            <w:r>
              <w:rPr>
                <w:rFonts w:hint="default" w:ascii="Times New Roman" w:hAnsi="Times New Roman" w:eastAsia="仿宋_GB2312" w:cs="Times New Roman"/>
                <w:b w:val="0"/>
                <w:bCs w:val="0"/>
                <w:color w:val="000000"/>
                <w:kern w:val="0"/>
                <w:highlight w:val="none"/>
                <w:lang w:val="en-US" w:eastAsia="zh-CN" w:bidi="ar"/>
              </w:rPr>
              <w:t>0</w:t>
            </w:r>
          </w:p>
        </w:tc>
        <w:tc>
          <w:tcPr>
            <w:tcW w:w="1688" w:type="dxa"/>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val="en-US" w:eastAsia="zh-CN" w:bidi="ar"/>
              </w:rPr>
            </w:pPr>
            <w:r>
              <w:rPr>
                <w:rFonts w:hint="default" w:ascii="Times New Roman" w:hAnsi="Times New Roman" w:eastAsia="仿宋_GB2312" w:cs="Times New Roman"/>
                <w:b w:val="0"/>
                <w:bCs w:val="0"/>
                <w:color w:val="000000"/>
                <w:kern w:val="0"/>
                <w:highlight w:val="none"/>
                <w:lang w:val="en-US" w:eastAsia="zh-CN" w:bidi="ar"/>
              </w:rPr>
              <w:t>568.31</w:t>
            </w:r>
          </w:p>
        </w:tc>
      </w:tr>
    </w:tbl>
    <w:p>
      <w:pPr>
        <w:pStyle w:val="66"/>
        <w:pageBreakBefore w:val="0"/>
        <w:widowControl w:val="0"/>
        <w:kinsoku/>
        <w:wordWrap/>
        <w:overflowPunct/>
        <w:topLinePunct w:val="0"/>
        <w:autoSpaceDE/>
        <w:autoSpaceDN/>
        <w:bidi w:val="0"/>
        <w:adjustRightInd/>
        <w:snapToGrid/>
        <w:spacing w:before="156" w:after="156" w:line="600" w:lineRule="exact"/>
        <w:ind w:firstLine="640"/>
        <w:jc w:val="both"/>
        <w:textAlignment w:val="auto"/>
        <w:rPr>
          <w:rFonts w:hint="default" w:ascii="Times New Roman" w:hAnsi="Times New Roman" w:eastAsia="楷体_GB2312" w:cs="Times New Roman"/>
          <w:color w:val="auto"/>
          <w:sz w:val="32"/>
          <w:highlight w:val="none"/>
        </w:rPr>
      </w:pPr>
      <w:bookmarkStart w:id="28" w:name="_Toc11042"/>
      <w:r>
        <w:rPr>
          <w:rFonts w:hint="default" w:ascii="Times New Roman" w:hAnsi="Times New Roman" w:eastAsia="楷体_GB2312" w:cs="Times New Roman"/>
          <w:color w:val="auto"/>
          <w:sz w:val="32"/>
          <w:highlight w:val="none"/>
        </w:rPr>
        <w:t>（四）部门管理</w:t>
      </w:r>
      <w:bookmarkEnd w:id="27"/>
      <w:bookmarkEnd w:id="28"/>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highlight w:val="none"/>
        </w:rPr>
      </w:pPr>
      <w:bookmarkStart w:id="29" w:name="_Toc55586776"/>
      <w:bookmarkStart w:id="30" w:name="_Toc363"/>
      <w:bookmarkStart w:id="31" w:name="_Toc22982"/>
      <w:bookmarkStart w:id="32" w:name="_Toc55586777"/>
      <w:r>
        <w:rPr>
          <w:rFonts w:hint="default" w:ascii="Times New Roman" w:hAnsi="Times New Roman" w:eastAsia="仿宋_GB2312" w:cs="Times New Roman"/>
          <w:highlight w:val="none"/>
        </w:rPr>
        <w:t>1、决策管理</w:t>
      </w:r>
      <w:bookmarkEnd w:id="29"/>
      <w:bookmarkEnd w:id="30"/>
      <w:bookmarkEnd w:id="31"/>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为健全和完善民主集中制，规范单位会议重大事项、重要干部任免及人事问题、重要项目安排和大额资金使用等决策行为，阿坝县残疾人联合会制定了《“三重一大”决策制度》，凡属“三重一大”事项，除遇重大突发事件和紧急情况外，应由单位以会议形式集体讨论决定，不得以传阅、会签或者个别征求意见等方式代替集体决策。涉及重大决策问题，应根据具体情况，经单位负责人或分管领导酝酿，提出初步设想，在认真听取各方面意见的基础上，由单位会议集体讨论后做出决策。重大项目的安排必须由承办科室在充分调查研究或论证的基础上提出方案或报告，经主管领导审阅同意后，按照审批权限，提交单位讨论决定。大额资金使用必须由使用科室拟定支出计划或报告，经主管领导审阅同意后，按照审批权限提交单位会议讨论决定。</w:t>
      </w:r>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highlight w:val="none"/>
        </w:rPr>
      </w:pPr>
      <w:bookmarkStart w:id="33" w:name="_Toc8978"/>
      <w:bookmarkStart w:id="34" w:name="_Toc10183"/>
      <w:r>
        <w:rPr>
          <w:rFonts w:hint="default" w:ascii="Times New Roman" w:hAnsi="Times New Roman" w:eastAsia="仿宋_GB2312" w:cs="Times New Roman"/>
          <w:highlight w:val="none"/>
        </w:rPr>
        <w:t>2、财务管理</w:t>
      </w:r>
      <w:bookmarkEnd w:id="32"/>
      <w:bookmarkEnd w:id="33"/>
      <w:bookmarkEnd w:id="34"/>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（1）预算管理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阿坝县残疾人联合会年度预算由财务室根据预算编制的各项政策、标准、方法进行编制，确保人员、项目等基础信息真实，各项收支计划的数据真实完整，填写准确，报送及时。各预算管理执行科室根据预算归口管理部门的要求编制本科室相关预算。并结合资产存量、年度建设规模、年度采购工作计划及政策依据、实施计划等编制本科室年度预算。负责根据职能及工作安排，按照预算编报要求，会同相关部门会审本单位年度预算草案。负责按照预算批复结果及相关规定严格执行预算，预算执行中根据实施情况提出需要追加或调整预算的申请。对预算执行全过程负责，开展预算绩效目标编报、预算执行情况分析、预算执行结果绩效分析、预算执行分析及绩效评价结果运用等工作。</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（2）收支管理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按照阿坝县残疾人联合会财务管理要求，经费报销由经手人、办公室负责人对发票和事项的真实性、合法性负责。经办人确保其提供的票据、公函、通知相关的支出文件、收货单、合同、政府采购审批手续和结算清单等原始附件的真实、准确。财务人员对报账手续和资料的完整性、规范性负责。</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单位机关干部职工正常晋升、职务晋升等工资变动，负责人事工资工作人员要及时填写工资福利变动相关表格，报县人力资源和社会保障局审批，凭审批表向财务申请相应变动人员的工资福利补发，并存入个人档案。若遇人员调动，需及时提供干部介绍信和增（减）编表格给财务资产科，增加（减少）人员经费的开支。</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单位基本经费支出主要由办公费、差旅费、招待费、交通费、会议费支出等组成。单位财务室应根据县财政核定的年度经费预算编制单位年度基本经费支出分月计划，并在保证单位机关正常公务活动下严格按计划控制基本经费支出。其中招待费全年支出必须控制在单位纪检部门与财政部门下达的支出控制范围内。</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在经营活动期间所发生的一切收入，其中属于国库收入的资金先统一缴入财政预算外资金管理中心，通过财政结算后转入本单位存款账户；其他资金专户收入，要及时缴入单位账户，不得在帐外私存和私设小金库。单位所管理的各部门必须建立健全收支管理制度；严禁任何股所室外购票据。对当日的收入款项应当日入库，不得坐支。</w:t>
      </w:r>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highlight w:val="none"/>
        </w:rPr>
      </w:pPr>
      <w:bookmarkStart w:id="35" w:name="_Toc30667"/>
      <w:bookmarkStart w:id="36" w:name="_Toc55586778"/>
      <w:bookmarkStart w:id="37" w:name="_Toc20619"/>
      <w:r>
        <w:rPr>
          <w:rFonts w:hint="default" w:ascii="Times New Roman" w:hAnsi="Times New Roman" w:eastAsia="仿宋_GB2312" w:cs="Times New Roman"/>
          <w:highlight w:val="none"/>
        </w:rPr>
        <w:t>3、资产管理</w:t>
      </w:r>
      <w:bookmarkEnd w:id="35"/>
      <w:bookmarkEnd w:id="36"/>
      <w:bookmarkEnd w:id="37"/>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为规范单位国有资产管理，维护国有资产的安全和完整，提高国有资产使用效益，根据国务院印发的《行政事业性国有资产管理条例》（国务院令第738号）及省有关规定，结合单位实际，制定《阿坝县残联政府国有资产管理规章制度》。按照阿坝县残疾人联合会财务管理要求，单位国有资产管理实行“国家统一所有，政府分级监管，单位占有、使用”的管理机制，资产归口管理部门、使用部门各司其职、共同保障资产的完整与有效利用。</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根据国家及财政部门国有资产管理的有关规定，制定行政事业单位国有资产管理的规章制度，并对执行情况进行监督检查；负责会同有关股室制定单位国有资产配置标准；负责单位资产购置、处置、出租、出借；组织实施单位国有资产处置；组织单位国有资产的调剂工作，建立国有资产整合、共享、共用机制。</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单位要建立国有资产台帐，定期清查盘点做到账、卡、物相符，防止国有资产流失。未经批准不得对外出租、出借国有资产。特殊情况确需出租、出借的，应当事先报县财政局审核批准。单位利用国有资产出租出借所获得的收入，应当及时上缴财政，实行专户管理。</w:t>
      </w:r>
    </w:p>
    <w:p>
      <w:pPr>
        <w:pStyle w:val="66"/>
        <w:pageBreakBefore w:val="0"/>
        <w:widowControl w:val="0"/>
        <w:kinsoku/>
        <w:wordWrap/>
        <w:overflowPunct/>
        <w:topLinePunct w:val="0"/>
        <w:autoSpaceDE/>
        <w:autoSpaceDN/>
        <w:bidi w:val="0"/>
        <w:adjustRightInd/>
        <w:snapToGrid/>
        <w:spacing w:before="156" w:after="156" w:line="600" w:lineRule="exact"/>
        <w:ind w:firstLine="640"/>
        <w:jc w:val="both"/>
        <w:textAlignment w:val="auto"/>
        <w:rPr>
          <w:rFonts w:hint="default" w:ascii="Times New Roman" w:hAnsi="Times New Roman" w:eastAsia="楷体" w:cs="Times New Roman"/>
          <w:color w:val="auto"/>
          <w:sz w:val="32"/>
          <w:highlight w:val="none"/>
          <w:lang w:val="en-US" w:eastAsia="zh-CN"/>
        </w:rPr>
      </w:pPr>
      <w:bookmarkStart w:id="38" w:name="_Toc5888"/>
      <w:r>
        <w:rPr>
          <w:rFonts w:hint="default" w:ascii="Times New Roman" w:hAnsi="Times New Roman" w:eastAsia="楷体_GB2312" w:cs="Times New Roman"/>
          <w:color w:val="auto"/>
          <w:sz w:val="32"/>
          <w:highlight w:val="none"/>
        </w:rPr>
        <w:t>（五）</w:t>
      </w:r>
      <w:r>
        <w:rPr>
          <w:rFonts w:hint="eastAsia" w:ascii="Times New Roman" w:hAnsi="Times New Roman" w:eastAsia="楷体_GB2312" w:cs="Times New Roman"/>
          <w:color w:val="auto"/>
          <w:sz w:val="32"/>
          <w:highlight w:val="none"/>
          <w:lang w:eastAsia="zh-CN"/>
        </w:rPr>
        <w:t>阿坝县残疾人联合会</w:t>
      </w:r>
      <w:r>
        <w:rPr>
          <w:rFonts w:hint="default" w:ascii="Times New Roman" w:hAnsi="Times New Roman" w:eastAsia="楷体_GB2312" w:cs="Times New Roman"/>
          <w:color w:val="auto"/>
          <w:sz w:val="32"/>
          <w:highlight w:val="none"/>
        </w:rPr>
        <w:t>202</w:t>
      </w:r>
      <w:r>
        <w:rPr>
          <w:rFonts w:hint="eastAsia" w:ascii="Times New Roman" w:hAnsi="Times New Roman" w:eastAsia="楷体_GB2312" w:cs="Times New Roman"/>
          <w:color w:val="auto"/>
          <w:sz w:val="32"/>
          <w:highlight w:val="none"/>
          <w:lang w:val="en-US" w:eastAsia="zh-CN"/>
        </w:rPr>
        <w:t>2</w:t>
      </w:r>
      <w:r>
        <w:rPr>
          <w:rFonts w:hint="default" w:ascii="Times New Roman" w:hAnsi="Times New Roman" w:eastAsia="楷体_GB2312" w:cs="Times New Roman"/>
          <w:color w:val="auto"/>
          <w:sz w:val="32"/>
          <w:highlight w:val="none"/>
        </w:rPr>
        <w:t>年</w:t>
      </w:r>
      <w:r>
        <w:rPr>
          <w:rFonts w:hint="eastAsia" w:ascii="Times New Roman" w:hAnsi="Times New Roman" w:eastAsia="楷体_GB2312" w:cs="Times New Roman"/>
          <w:b/>
          <w:bCs/>
          <w:color w:val="auto"/>
          <w:kern w:val="2"/>
          <w:sz w:val="32"/>
          <w:szCs w:val="32"/>
          <w:highlight w:val="none"/>
          <w:lang w:val="en-US" w:eastAsia="zh-CN" w:bidi="ar-SA"/>
        </w:rPr>
        <w:t>重点工作</w:t>
      </w:r>
      <w:bookmarkEnd w:id="38"/>
    </w:p>
    <w:bookmarkEnd w:id="7"/>
    <w:bookmarkEnd w:id="8"/>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eastAsia="仿宋_GB2312" w:cs="Times New Roman"/>
          <w:color w:val="000000"/>
          <w:kern w:val="0"/>
          <w:sz w:val="32"/>
          <w:szCs w:val="32"/>
          <w:highlight w:val="none"/>
          <w:lang w:val="en-US" w:eastAsia="zh-CN" w:bidi="ar"/>
        </w:rPr>
      </w:pPr>
      <w:r>
        <w:rPr>
          <w:rFonts w:hint="eastAsia" w:eastAsia="楷体_GB2312" w:cs="Times New Roman"/>
          <w:b/>
          <w:bCs/>
          <w:color w:val="auto"/>
          <w:kern w:val="2"/>
          <w:sz w:val="32"/>
          <w:szCs w:val="32"/>
          <w:highlight w:val="none"/>
          <w:lang w:val="en-US" w:eastAsia="zh-CN" w:bidi="ar-SA"/>
        </w:rPr>
        <w:t>阿坝县残疾人联合会</w:t>
      </w:r>
      <w:r>
        <w:rPr>
          <w:rFonts w:hint="eastAsia" w:ascii="Times New Roman" w:hAnsi="Times New Roman" w:eastAsia="楷体_GB2312" w:cs="Times New Roman"/>
          <w:b/>
          <w:bCs/>
          <w:color w:val="auto"/>
          <w:kern w:val="2"/>
          <w:sz w:val="32"/>
          <w:szCs w:val="32"/>
          <w:highlight w:val="none"/>
          <w:lang w:val="en-US" w:eastAsia="zh-CN" w:bidi="ar-SA"/>
        </w:rPr>
        <w:t>202</w:t>
      </w:r>
      <w:r>
        <w:rPr>
          <w:rFonts w:hint="eastAsia" w:eastAsia="楷体_GB2312" w:cs="Times New Roman"/>
          <w:b/>
          <w:bCs/>
          <w:color w:val="auto"/>
          <w:kern w:val="2"/>
          <w:sz w:val="32"/>
          <w:szCs w:val="32"/>
          <w:highlight w:val="none"/>
          <w:lang w:val="en-US" w:eastAsia="zh-CN" w:bidi="ar-SA"/>
        </w:rPr>
        <w:t>2</w:t>
      </w:r>
      <w:r>
        <w:rPr>
          <w:rFonts w:hint="eastAsia" w:ascii="Times New Roman" w:hAnsi="Times New Roman" w:eastAsia="楷体_GB2312" w:cs="Times New Roman"/>
          <w:b/>
          <w:bCs/>
          <w:color w:val="auto"/>
          <w:kern w:val="2"/>
          <w:sz w:val="32"/>
          <w:szCs w:val="32"/>
          <w:highlight w:val="none"/>
          <w:lang w:val="en-US" w:eastAsia="zh-CN" w:bidi="ar-SA"/>
        </w:rPr>
        <w:t>年重点工作：</w:t>
      </w:r>
      <w:r>
        <w:rPr>
          <w:rFonts w:hint="eastAsia" w:ascii="Times New Roman" w:hAnsi="Times New Roman" w:eastAsia="仿宋_GB2312" w:cs="Times New Roman"/>
          <w:color w:val="000000"/>
          <w:kern w:val="0"/>
          <w:sz w:val="32"/>
          <w:szCs w:val="32"/>
          <w:highlight w:val="none"/>
          <w:lang w:val="en-US" w:eastAsia="zh-CN" w:bidi="ar"/>
        </w:rPr>
        <w:t>被评价单位202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年重点工作大致概括为</w:t>
      </w:r>
      <w:r>
        <w:rPr>
          <w:rFonts w:hint="eastAsia" w:eastAsia="仿宋_GB2312" w:cs="Times New Roman"/>
          <w:color w:val="000000"/>
          <w:kern w:val="0"/>
          <w:sz w:val="32"/>
          <w:szCs w:val="32"/>
          <w:highlight w:val="none"/>
          <w:lang w:val="en-US" w:eastAsia="zh-CN" w:bidi="ar"/>
        </w:rPr>
        <w:t>：</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1.依法推进按比例安排残疾人就业，协助税务部门完成年度残保金征收工作；2.严格按照“一卡通”要求，搞好残疾人扶贫对象生活补贴、居家灵活就业直补、残疾儿童康复救助等资金发放工作；3.加强对残疾人就业创业示范基地的监管，督促责任人运行好扶持残疾人发展生产项目；4.继续与金鼓残疾人康复培训指导中心合作，实施好0-14岁肢体智力脑瘫儿童及有康复需求成年残疾人的康复训练工作；5.继续抓好“智慧量服”工作，制定“一人一策”精准化服务方案，进行“量体裁衣”式个性化服务，探索以“智慧量服”为载体的残疾人康复、就业、教育、扶贫等工作新模式；6.继续按程序协同相关医疗机构，及时办理、换发第二代《中华人民共和国残疾人证》；7.积极配合麦昆乡党委政府，抓好联系村乡村振兴工作；8.以“走基层、解难题、办实事、惠民生”为主要内容，认真组织筹备好2023年元旦、春节等节点送温暖工作；9.大力宣传环境保护、疫情防控知识和国家各项惠民政策，营造浓厚的宣传氛围；10.落实好东西部扶贫协作项目；11.完成县委县政府及上级残联交办的其他工作任务。</w:t>
      </w:r>
    </w:p>
    <w:p>
      <w:pPr>
        <w:pStyle w:val="2"/>
        <w:keepNext w:val="0"/>
        <w:keepLines w:val="0"/>
        <w:pageBreakBefore w:val="0"/>
        <w:widowControl w:val="0"/>
        <w:kinsoku/>
        <w:wordWrap/>
        <w:overflowPunct/>
        <w:topLinePunct w:val="0"/>
        <w:autoSpaceDE/>
        <w:autoSpaceDN/>
        <w:bidi w:val="0"/>
        <w:adjustRightInd/>
        <w:spacing w:before="156" w:after="156" w:line="600" w:lineRule="exact"/>
        <w:ind w:firstLine="602"/>
        <w:textAlignment w:val="auto"/>
        <w:rPr>
          <w:rFonts w:hint="default" w:ascii="Times New Roman" w:hAnsi="Times New Roman" w:cs="Times New Roman"/>
          <w:sz w:val="30"/>
          <w:szCs w:val="30"/>
          <w:highlight w:val="none"/>
        </w:rPr>
      </w:pPr>
      <w:bookmarkStart w:id="39" w:name="_Toc16880"/>
      <w:r>
        <w:rPr>
          <w:rFonts w:hint="default" w:ascii="Times New Roman" w:hAnsi="Times New Roman" w:cs="Times New Roman"/>
          <w:sz w:val="30"/>
          <w:szCs w:val="30"/>
          <w:highlight w:val="none"/>
        </w:rPr>
        <w:t>二、评价思路和实施过程</w:t>
      </w:r>
      <w:bookmarkEnd w:id="39"/>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本次评价对象是</w:t>
      </w:r>
      <w:r>
        <w:rPr>
          <w:rFonts w:hint="eastAsia" w:eastAsia="仿宋_GB2312" w:cs="Times New Roman"/>
          <w:color w:val="000000"/>
          <w:kern w:val="0"/>
          <w:sz w:val="32"/>
          <w:szCs w:val="32"/>
          <w:highlight w:val="none"/>
          <w:lang w:val="en-US" w:eastAsia="zh-CN" w:bidi="ar"/>
        </w:rPr>
        <w:t>阿坝县残疾人联合会</w:t>
      </w:r>
      <w:r>
        <w:rPr>
          <w:rFonts w:hint="default" w:ascii="Times New Roman" w:hAnsi="Times New Roman" w:eastAsia="仿宋_GB2312" w:cs="Times New Roman"/>
          <w:color w:val="000000"/>
          <w:kern w:val="0"/>
          <w:sz w:val="32"/>
          <w:szCs w:val="32"/>
          <w:highlight w:val="none"/>
          <w:lang w:val="en-US" w:eastAsia="zh-CN" w:bidi="ar"/>
        </w:rPr>
        <w:t>。在获取</w:t>
      </w:r>
      <w:r>
        <w:rPr>
          <w:rFonts w:hint="eastAsia" w:eastAsia="仿宋_GB2312" w:cs="Times New Roman"/>
          <w:color w:val="000000"/>
          <w:kern w:val="0"/>
          <w:sz w:val="32"/>
          <w:szCs w:val="32"/>
          <w:highlight w:val="none"/>
          <w:lang w:val="en-US" w:eastAsia="zh-CN" w:bidi="ar"/>
        </w:rPr>
        <w:t>阿坝县残疾人联合会</w:t>
      </w:r>
      <w:r>
        <w:rPr>
          <w:rFonts w:hint="default" w:ascii="Times New Roman" w:hAnsi="Times New Roman" w:eastAsia="仿宋_GB2312" w:cs="Times New Roman"/>
          <w:color w:val="000000"/>
          <w:kern w:val="0"/>
          <w:sz w:val="32"/>
          <w:szCs w:val="32"/>
          <w:highlight w:val="none"/>
          <w:lang w:val="en-US" w:eastAsia="zh-CN" w:bidi="ar"/>
        </w:rPr>
        <w:t>三定方案、职责、工作计划、财务基础数据等基础资料的基础上，形成以指标体系、社会调研为核心的工作方案。收集全部所需资料，通过对相关资料的分析，利用指标体系对202</w:t>
      </w:r>
      <w:r>
        <w:rPr>
          <w:rFonts w:hint="eastAsia" w:eastAsia="仿宋_GB2312" w:cs="Times New Roman"/>
          <w:color w:val="000000"/>
          <w:kern w:val="0"/>
          <w:sz w:val="32"/>
          <w:szCs w:val="32"/>
          <w:highlight w:val="none"/>
          <w:lang w:val="en-US" w:eastAsia="zh-CN" w:bidi="ar"/>
        </w:rPr>
        <w:t>2年阿坝县残疾人联合会</w:t>
      </w:r>
      <w:r>
        <w:rPr>
          <w:rFonts w:hint="default" w:ascii="Times New Roman" w:hAnsi="Times New Roman" w:eastAsia="仿宋_GB2312" w:cs="Times New Roman"/>
          <w:color w:val="000000"/>
          <w:kern w:val="0"/>
          <w:sz w:val="32"/>
          <w:szCs w:val="32"/>
          <w:highlight w:val="none"/>
          <w:lang w:val="en-US" w:eastAsia="zh-CN" w:bidi="ar"/>
        </w:rPr>
        <w:t>整体支出情况进行绩效评价。</w:t>
      </w:r>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highlight w:val="none"/>
        </w:rPr>
      </w:pPr>
      <w:bookmarkStart w:id="40" w:name="_Toc17765"/>
      <w:bookmarkStart w:id="41" w:name="_Toc27989"/>
      <w:bookmarkStart w:id="42" w:name="_Toc32353"/>
      <w:bookmarkStart w:id="43" w:name="_Toc7980"/>
      <w:r>
        <w:rPr>
          <w:rFonts w:hint="default" w:ascii="Times New Roman" w:hAnsi="Times New Roman" w:eastAsia="楷体_GB2312" w:cs="Times New Roman"/>
          <w:color w:val="auto"/>
          <w:sz w:val="32"/>
          <w:highlight w:val="none"/>
        </w:rPr>
        <w:t>（一）评价目的</w:t>
      </w:r>
      <w:bookmarkEnd w:id="40"/>
      <w:bookmarkEnd w:id="41"/>
      <w:bookmarkEnd w:id="42"/>
      <w:bookmarkEnd w:id="43"/>
    </w:p>
    <w:p>
      <w:pPr>
        <w:pageBreakBefore w:val="0"/>
        <w:widowControl w:val="0"/>
        <w:kinsoku/>
        <w:wordWrap/>
        <w:overflowPunct/>
        <w:topLinePunct w:val="0"/>
        <w:autoSpaceDE/>
        <w:autoSpaceDN/>
        <w:bidi w:val="0"/>
        <w:adjustRightInd/>
        <w:spacing w:line="600" w:lineRule="exact"/>
        <w:ind w:firstLine="640"/>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highlight w:val="none"/>
          <w:shd w:val="clear" w:color="auto" w:fill="FFFFFF"/>
        </w:rPr>
        <w:t>分析部门</w:t>
      </w:r>
      <w:r>
        <w:rPr>
          <w:rFonts w:hint="default" w:ascii="Times New Roman" w:hAnsi="Times New Roman" w:eastAsia="仿宋_GB2312" w:cs="Times New Roman"/>
          <w:color w:val="000000"/>
          <w:kern w:val="0"/>
          <w:sz w:val="32"/>
          <w:szCs w:val="32"/>
          <w:highlight w:val="none"/>
          <w:lang w:val="en-US" w:eastAsia="zh-CN" w:bidi="ar"/>
        </w:rPr>
        <w:t>资源配置的合理性、目标计划完成与履职情况，总结经验做法，找出资金使用和管理中的薄弱环节，提出改进建议，提高财政资金的使用效率。</w:t>
      </w:r>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highlight w:val="none"/>
        </w:rPr>
      </w:pPr>
      <w:bookmarkStart w:id="44" w:name="_Toc10108"/>
      <w:bookmarkStart w:id="45" w:name="_Toc22691"/>
      <w:bookmarkStart w:id="46" w:name="_Toc25711"/>
      <w:bookmarkStart w:id="47" w:name="_Toc6928"/>
      <w:bookmarkStart w:id="48" w:name="_Toc5228"/>
      <w:r>
        <w:rPr>
          <w:rFonts w:hint="default" w:ascii="Times New Roman" w:hAnsi="Times New Roman" w:eastAsia="楷体_GB2312" w:cs="Times New Roman"/>
          <w:color w:val="auto"/>
          <w:sz w:val="32"/>
          <w:highlight w:val="none"/>
        </w:rPr>
        <w:t>（二）</w:t>
      </w:r>
      <w:bookmarkEnd w:id="44"/>
      <w:bookmarkEnd w:id="45"/>
      <w:bookmarkEnd w:id="46"/>
      <w:r>
        <w:rPr>
          <w:rFonts w:hint="default" w:ascii="Times New Roman" w:hAnsi="Times New Roman" w:eastAsia="楷体_GB2312" w:cs="Times New Roman"/>
          <w:color w:val="auto"/>
          <w:sz w:val="32"/>
          <w:highlight w:val="none"/>
        </w:rPr>
        <w:t>评价方法</w:t>
      </w:r>
      <w:bookmarkEnd w:id="47"/>
      <w:bookmarkEnd w:id="48"/>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highlight w:val="none"/>
          <w:shd w:val="clear" w:color="auto" w:fill="FFFFFF"/>
        </w:rPr>
        <w:t>（1）对比法</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是指通过对绩效目标与实际</w:t>
      </w:r>
      <w:r>
        <w:rPr>
          <w:rFonts w:hint="eastAsia" w:eastAsia="仿宋_GB2312" w:cs="Times New Roman"/>
          <w:color w:val="000000"/>
          <w:kern w:val="0"/>
          <w:sz w:val="32"/>
          <w:szCs w:val="32"/>
          <w:highlight w:val="none"/>
          <w:lang w:val="en-US" w:eastAsia="zh-CN" w:bidi="ar"/>
        </w:rPr>
        <w:t>完成结果</w:t>
      </w:r>
      <w:r>
        <w:rPr>
          <w:rFonts w:hint="default" w:ascii="Times New Roman" w:hAnsi="Times New Roman" w:eastAsia="仿宋_GB2312" w:cs="Times New Roman"/>
          <w:color w:val="000000"/>
          <w:kern w:val="0"/>
          <w:sz w:val="32"/>
          <w:szCs w:val="32"/>
          <w:highlight w:val="none"/>
          <w:lang w:val="en-US" w:eastAsia="zh-CN" w:bidi="ar"/>
        </w:rPr>
        <w:t>的对比，对绩效指标完成情况进行比较，综合分析绩效目标实现程度。项目小组根据收集的</w:t>
      </w:r>
      <w:r>
        <w:rPr>
          <w:rFonts w:hint="eastAsia" w:eastAsia="仿宋_GB2312" w:cs="Times New Roman"/>
          <w:color w:val="000000"/>
          <w:kern w:val="0"/>
          <w:sz w:val="32"/>
          <w:szCs w:val="32"/>
          <w:highlight w:val="none"/>
          <w:lang w:val="en-US" w:eastAsia="zh-CN" w:bidi="ar"/>
        </w:rPr>
        <w:t>部门预算执行</w:t>
      </w:r>
      <w:r>
        <w:rPr>
          <w:rFonts w:hint="default" w:ascii="Times New Roman" w:hAnsi="Times New Roman" w:eastAsia="仿宋_GB2312" w:cs="Times New Roman"/>
          <w:color w:val="000000"/>
          <w:kern w:val="0"/>
          <w:sz w:val="32"/>
          <w:szCs w:val="32"/>
          <w:highlight w:val="none"/>
          <w:lang w:val="en-US" w:eastAsia="zh-CN" w:bidi="ar"/>
        </w:rPr>
        <w:t>相关资料，结合</w:t>
      </w:r>
      <w:r>
        <w:rPr>
          <w:rFonts w:hint="eastAsia" w:eastAsia="仿宋_GB2312" w:cs="Times New Roman"/>
          <w:color w:val="000000"/>
          <w:kern w:val="0"/>
          <w:sz w:val="32"/>
          <w:szCs w:val="32"/>
          <w:highlight w:val="none"/>
          <w:lang w:val="en-US" w:eastAsia="zh-CN" w:bidi="ar"/>
        </w:rPr>
        <w:t>现场查看</w:t>
      </w:r>
      <w:r>
        <w:rPr>
          <w:rFonts w:hint="default" w:ascii="Times New Roman" w:hAnsi="Times New Roman" w:eastAsia="仿宋_GB2312" w:cs="Times New Roman"/>
          <w:color w:val="000000"/>
          <w:kern w:val="0"/>
          <w:sz w:val="32"/>
          <w:szCs w:val="32"/>
          <w:highlight w:val="none"/>
          <w:lang w:val="en-US" w:eastAsia="zh-CN" w:bidi="ar"/>
        </w:rPr>
        <w:t>，了解</w:t>
      </w:r>
      <w:r>
        <w:rPr>
          <w:rFonts w:hint="eastAsia" w:eastAsia="仿宋_GB2312" w:cs="Times New Roman"/>
          <w:color w:val="000000"/>
          <w:kern w:val="0"/>
          <w:sz w:val="32"/>
          <w:szCs w:val="32"/>
          <w:highlight w:val="none"/>
          <w:lang w:val="en-US" w:eastAsia="zh-CN" w:bidi="ar"/>
        </w:rPr>
        <w:t>部门预算执行</w:t>
      </w:r>
      <w:r>
        <w:rPr>
          <w:rFonts w:hint="default" w:ascii="Times New Roman" w:hAnsi="Times New Roman" w:eastAsia="仿宋_GB2312" w:cs="Times New Roman"/>
          <w:color w:val="000000"/>
          <w:kern w:val="0"/>
          <w:sz w:val="32"/>
          <w:szCs w:val="32"/>
          <w:highlight w:val="none"/>
          <w:lang w:val="en-US" w:eastAsia="zh-CN" w:bidi="ar"/>
        </w:rPr>
        <w:t>实际情况，与绩效目标进行对比，评价绩效目标的实现程度；同时项目小组将收集</w:t>
      </w:r>
      <w:r>
        <w:rPr>
          <w:rFonts w:hint="eastAsia" w:eastAsia="仿宋_GB2312" w:cs="Times New Roman"/>
          <w:color w:val="000000"/>
          <w:kern w:val="0"/>
          <w:sz w:val="32"/>
          <w:szCs w:val="32"/>
          <w:highlight w:val="none"/>
          <w:lang w:val="en-US" w:eastAsia="zh-CN" w:bidi="ar"/>
        </w:rPr>
        <w:t>部门预算</w:t>
      </w:r>
      <w:r>
        <w:rPr>
          <w:rFonts w:hint="default" w:ascii="Times New Roman" w:hAnsi="Times New Roman" w:eastAsia="仿宋_GB2312" w:cs="Times New Roman"/>
          <w:color w:val="000000"/>
          <w:kern w:val="0"/>
          <w:sz w:val="32"/>
          <w:szCs w:val="32"/>
          <w:highlight w:val="none"/>
          <w:lang w:val="en-US" w:eastAsia="zh-CN" w:bidi="ar"/>
        </w:rPr>
        <w:t>三年的</w:t>
      </w:r>
      <w:r>
        <w:rPr>
          <w:rFonts w:hint="eastAsia" w:eastAsia="仿宋_GB2312" w:cs="Times New Roman"/>
          <w:color w:val="000000"/>
          <w:kern w:val="0"/>
          <w:sz w:val="32"/>
          <w:szCs w:val="32"/>
          <w:highlight w:val="none"/>
          <w:lang w:val="en-US" w:eastAsia="zh-CN" w:bidi="ar"/>
        </w:rPr>
        <w:t>执行</w:t>
      </w:r>
      <w:r>
        <w:rPr>
          <w:rFonts w:hint="default" w:ascii="Times New Roman" w:hAnsi="Times New Roman" w:eastAsia="仿宋_GB2312" w:cs="Times New Roman"/>
          <w:color w:val="000000"/>
          <w:kern w:val="0"/>
          <w:sz w:val="32"/>
          <w:szCs w:val="32"/>
          <w:highlight w:val="none"/>
          <w:lang w:val="en-US" w:eastAsia="zh-CN" w:bidi="ar"/>
        </w:rPr>
        <w:t>数据，分析其完成情况并进行比较，评价其目标实现程度。</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（2）数据采集法</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kern w:val="0"/>
          <w:sz w:val="32"/>
          <w:szCs w:val="32"/>
          <w:highlight w:val="none"/>
          <w:shd w:val="clear" w:color="auto" w:fill="FFFFFF"/>
        </w:rPr>
      </w:pPr>
      <w:r>
        <w:rPr>
          <w:rFonts w:hint="default" w:ascii="Times New Roman" w:hAnsi="Times New Roman" w:eastAsia="仿宋_GB2312" w:cs="Times New Roman"/>
          <w:color w:val="000000"/>
          <w:kern w:val="0"/>
          <w:sz w:val="32"/>
          <w:szCs w:val="32"/>
          <w:highlight w:val="none"/>
          <w:lang w:val="en-US" w:eastAsia="zh-CN" w:bidi="ar"/>
        </w:rPr>
        <w:t>是指采用各种专业（或专门）指标的计算方法，通过</w:t>
      </w:r>
      <w:r>
        <w:rPr>
          <w:rFonts w:hint="eastAsia" w:eastAsia="仿宋_GB2312" w:cs="Times New Roman"/>
          <w:color w:val="000000"/>
          <w:kern w:val="0"/>
          <w:sz w:val="32"/>
          <w:szCs w:val="32"/>
          <w:highlight w:val="none"/>
          <w:lang w:val="en-US" w:eastAsia="zh-CN" w:bidi="ar"/>
        </w:rPr>
        <w:t>部门预算资金</w:t>
      </w:r>
      <w:r>
        <w:rPr>
          <w:rFonts w:hint="default" w:ascii="Times New Roman" w:hAnsi="Times New Roman" w:eastAsia="仿宋_GB2312" w:cs="Times New Roman"/>
          <w:color w:val="000000"/>
          <w:kern w:val="0"/>
          <w:sz w:val="32"/>
          <w:szCs w:val="32"/>
          <w:highlight w:val="none"/>
          <w:lang w:val="en-US" w:eastAsia="zh-CN" w:bidi="ar"/>
        </w:rPr>
        <w:t>支出的相关数据，采用统计或核算等方式计算实际完成或达到的结果，评价绩效目标实现程度。项目小组根据相关文件依据，设计符合项目特点的评价指标体系，然后采集数据按照计算公式进行计算分析，并根据计算结果分析</w:t>
      </w:r>
      <w:r>
        <w:rPr>
          <w:rFonts w:hint="eastAsia" w:eastAsia="仿宋_GB2312" w:cs="Times New Roman"/>
          <w:color w:val="000000"/>
          <w:kern w:val="0"/>
          <w:sz w:val="32"/>
          <w:szCs w:val="32"/>
          <w:highlight w:val="none"/>
          <w:lang w:val="en-US" w:eastAsia="zh-CN" w:bidi="ar"/>
        </w:rPr>
        <w:t>部门整体</w:t>
      </w:r>
      <w:r>
        <w:rPr>
          <w:rFonts w:hint="default" w:ascii="Times New Roman" w:hAnsi="Times New Roman" w:eastAsia="仿宋_GB2312" w:cs="Times New Roman"/>
          <w:color w:val="000000"/>
          <w:kern w:val="0"/>
          <w:sz w:val="32"/>
          <w:szCs w:val="32"/>
          <w:highlight w:val="none"/>
          <w:lang w:val="en-US" w:eastAsia="zh-CN" w:bidi="ar"/>
        </w:rPr>
        <w:t>绩效目标实现程度</w:t>
      </w:r>
      <w:r>
        <w:rPr>
          <w:rFonts w:hint="default" w:ascii="Times New Roman" w:hAnsi="Times New Roman" w:eastAsia="仿宋_GB2312" w:cs="Times New Roman"/>
          <w:kern w:val="0"/>
          <w:sz w:val="32"/>
          <w:szCs w:val="32"/>
          <w:highlight w:val="none"/>
          <w:shd w:val="clear" w:color="auto" w:fill="FFFFFF"/>
        </w:rPr>
        <w:t>。</w:t>
      </w:r>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highlight w:val="none"/>
        </w:rPr>
      </w:pPr>
      <w:bookmarkStart w:id="49" w:name="_Toc10392"/>
      <w:bookmarkStart w:id="50" w:name="_Toc29947"/>
      <w:r>
        <w:rPr>
          <w:rFonts w:hint="default" w:ascii="Times New Roman" w:hAnsi="Times New Roman" w:eastAsia="楷体_GB2312" w:cs="Times New Roman"/>
          <w:color w:val="auto"/>
          <w:sz w:val="32"/>
          <w:highlight w:val="none"/>
        </w:rPr>
        <w:t>（三）数据采集方法及过程</w:t>
      </w:r>
      <w:bookmarkEnd w:id="49"/>
      <w:bookmarkEnd w:id="50"/>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lang w:val="en-US" w:eastAsia="zh-CN"/>
        </w:rPr>
      </w:pPr>
      <w:r>
        <w:rPr>
          <w:rFonts w:hint="default" w:ascii="Times New Roman" w:hAnsi="Times New Roman" w:eastAsia="仿宋_GB2312" w:cs="Times New Roman"/>
          <w:kern w:val="0"/>
          <w:sz w:val="32"/>
          <w:szCs w:val="32"/>
          <w:highlight w:val="none"/>
          <w:shd w:val="clear" w:color="auto" w:fill="FFFFFF"/>
        </w:rPr>
        <w:t>本次绩效评价数据包括定性</w:t>
      </w:r>
      <w:r>
        <w:rPr>
          <w:rFonts w:hint="default" w:ascii="Times New Roman" w:hAnsi="Times New Roman" w:eastAsia="仿宋_GB2312" w:cs="Times New Roman"/>
          <w:color w:val="000000"/>
          <w:kern w:val="0"/>
          <w:sz w:val="32"/>
          <w:szCs w:val="32"/>
          <w:highlight w:val="none"/>
          <w:lang w:val="en-US" w:eastAsia="zh-CN" w:bidi="ar"/>
        </w:rPr>
        <w:t>和定量两种数据，定性数据主要通过实地考察方式来采集，定量数据的采集主要通过实地采集数据。</w:t>
      </w:r>
    </w:p>
    <w:p>
      <w:pPr>
        <w:pStyle w:val="2"/>
        <w:pageBreakBefore w:val="0"/>
        <w:widowControl w:val="0"/>
        <w:kinsoku/>
        <w:wordWrap/>
        <w:overflowPunct/>
        <w:topLinePunct w:val="0"/>
        <w:autoSpaceDE/>
        <w:autoSpaceDN/>
        <w:bidi w:val="0"/>
        <w:adjustRightInd/>
        <w:spacing w:before="156" w:after="156" w:line="600" w:lineRule="exact"/>
        <w:ind w:firstLine="602"/>
        <w:textAlignment w:val="auto"/>
        <w:rPr>
          <w:rFonts w:hint="default" w:ascii="Times New Roman" w:hAnsi="Times New Roman" w:cs="Times New Roman"/>
          <w:sz w:val="30"/>
          <w:szCs w:val="30"/>
          <w:highlight w:val="none"/>
        </w:rPr>
      </w:pPr>
      <w:bookmarkStart w:id="51" w:name="_Toc32764"/>
      <w:bookmarkStart w:id="52" w:name="_Toc6126"/>
      <w:r>
        <w:rPr>
          <w:rFonts w:hint="default" w:ascii="Times New Roman" w:hAnsi="Times New Roman" w:cs="Times New Roman"/>
          <w:sz w:val="30"/>
          <w:szCs w:val="30"/>
          <w:highlight w:val="none"/>
        </w:rPr>
        <w:t>三、评价结论及绩效分析</w:t>
      </w:r>
      <w:bookmarkEnd w:id="51"/>
      <w:bookmarkEnd w:id="52"/>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highlight w:val="none"/>
        </w:rPr>
      </w:pPr>
      <w:bookmarkStart w:id="53" w:name="_Toc14084"/>
      <w:r>
        <w:rPr>
          <w:rFonts w:hint="default" w:ascii="Times New Roman" w:hAnsi="Times New Roman" w:eastAsia="楷体_GB2312" w:cs="Times New Roman"/>
          <w:color w:val="auto"/>
          <w:sz w:val="32"/>
          <w:highlight w:val="none"/>
        </w:rPr>
        <w:t>（一）评价结论</w:t>
      </w:r>
      <w:bookmarkEnd w:id="53"/>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lang w:val="en-US" w:eastAsia="zh-CN" w:bidi="ar"/>
        </w:rPr>
      </w:pPr>
      <w:bookmarkStart w:id="54" w:name="_Toc22480"/>
      <w:r>
        <w:rPr>
          <w:rFonts w:hint="default" w:ascii="Times New Roman" w:hAnsi="Times New Roman" w:eastAsia="仿宋_GB2312" w:cs="Times New Roman"/>
          <w:color w:val="auto"/>
          <w:kern w:val="0"/>
          <w:sz w:val="32"/>
          <w:szCs w:val="32"/>
          <w:highlight w:val="none"/>
          <w:lang w:val="en-US" w:eastAsia="zh-CN" w:bidi="ar"/>
        </w:rPr>
        <w:t>通过数据采集，对</w:t>
      </w:r>
      <w:r>
        <w:rPr>
          <w:rFonts w:hint="eastAsia" w:eastAsia="仿宋_GB2312" w:cs="Times New Roman"/>
          <w:color w:val="auto"/>
          <w:kern w:val="0"/>
          <w:sz w:val="32"/>
          <w:szCs w:val="32"/>
          <w:highlight w:val="none"/>
          <w:lang w:val="en-US" w:eastAsia="zh-CN" w:bidi="ar"/>
        </w:rPr>
        <w:t>2022年</w:t>
      </w:r>
      <w:r>
        <w:rPr>
          <w:rFonts w:hint="eastAsia" w:eastAsia="仿宋_GB2312" w:cs="Times New Roman"/>
          <w:color w:val="000000"/>
          <w:kern w:val="0"/>
          <w:sz w:val="32"/>
          <w:szCs w:val="32"/>
          <w:highlight w:val="none"/>
          <w:lang w:val="en-US" w:eastAsia="zh-CN" w:bidi="ar"/>
        </w:rPr>
        <w:t>阿坝县残疾人联合会</w:t>
      </w:r>
      <w:r>
        <w:rPr>
          <w:rFonts w:hint="default" w:ascii="Times New Roman" w:hAnsi="Times New Roman" w:eastAsia="仿宋_GB2312" w:cs="Times New Roman"/>
          <w:color w:val="000000"/>
          <w:kern w:val="0"/>
          <w:sz w:val="32"/>
          <w:szCs w:val="32"/>
          <w:highlight w:val="none"/>
          <w:lang w:val="en-US" w:eastAsia="zh-CN" w:bidi="ar"/>
        </w:rPr>
        <w:t>部门整体支出绩效进行客观评价，得分</w:t>
      </w:r>
      <w:r>
        <w:rPr>
          <w:rFonts w:hint="eastAsia" w:eastAsia="仿宋_GB2312" w:cs="Times New Roman"/>
          <w:color w:val="000000"/>
          <w:kern w:val="0"/>
          <w:sz w:val="32"/>
          <w:szCs w:val="32"/>
          <w:highlight w:val="none"/>
          <w:lang w:val="en-US" w:eastAsia="zh-CN" w:bidi="ar"/>
        </w:rPr>
        <w:t>64</w:t>
      </w:r>
      <w:r>
        <w:rPr>
          <w:rFonts w:hint="default" w:ascii="Times New Roman" w:hAnsi="Times New Roman" w:eastAsia="仿宋_GB2312" w:cs="Times New Roman"/>
          <w:color w:val="000000"/>
          <w:kern w:val="0"/>
          <w:sz w:val="32"/>
          <w:szCs w:val="32"/>
          <w:highlight w:val="none"/>
          <w:lang w:val="en-US" w:eastAsia="zh-CN" w:bidi="ar"/>
        </w:rPr>
        <w:t>分</w:t>
      </w:r>
      <w:r>
        <w:rPr>
          <w:rFonts w:hint="eastAsia" w:eastAsia="仿宋_GB2312" w:cs="Times New Roman"/>
          <w:color w:val="000000"/>
          <w:kern w:val="0"/>
          <w:sz w:val="32"/>
          <w:szCs w:val="32"/>
          <w:highlight w:val="none"/>
          <w:lang w:val="en-US" w:eastAsia="zh-CN" w:bidi="ar"/>
        </w:rPr>
        <w:t>，百分制换算得分为84.21分</w:t>
      </w:r>
      <w:r>
        <w:rPr>
          <w:rFonts w:hint="default" w:ascii="Times New Roman" w:hAnsi="Times New Roman" w:eastAsia="仿宋_GB2312" w:cs="Times New Roman"/>
          <w:color w:val="000000"/>
          <w:kern w:val="0"/>
          <w:sz w:val="32"/>
          <w:szCs w:val="32"/>
          <w:highlight w:val="none"/>
          <w:lang w:val="en-US" w:eastAsia="zh-CN" w:bidi="ar"/>
        </w:rPr>
        <w:t>。</w:t>
      </w:r>
    </w:p>
    <w:p>
      <w:pPr>
        <w:widowControl/>
        <w:spacing w:line="600" w:lineRule="exact"/>
        <w:ind w:firstLine="0" w:firstLineChars="0"/>
        <w:jc w:val="center"/>
        <w:rPr>
          <w:rFonts w:hint="default" w:ascii="Times New Roman" w:hAnsi="Times New Roman" w:eastAsia="仿宋_GB2312" w:cs="Times New Roman"/>
          <w:b/>
          <w:bCs/>
          <w:color w:val="000000"/>
          <w:kern w:val="0"/>
          <w:highlight w:val="none"/>
          <w:lang w:bidi="ar"/>
        </w:rPr>
      </w:pPr>
    </w:p>
    <w:p>
      <w:pPr>
        <w:widowControl/>
        <w:spacing w:line="600" w:lineRule="exact"/>
        <w:ind w:firstLine="0" w:firstLineChars="0"/>
        <w:jc w:val="center"/>
        <w:rPr>
          <w:rFonts w:hint="default" w:ascii="Times New Roman" w:hAnsi="Times New Roman" w:eastAsia="仿宋_GB2312" w:cs="Times New Roman"/>
          <w:b/>
          <w:bCs/>
          <w:color w:val="000000"/>
          <w:kern w:val="0"/>
          <w:highlight w:val="none"/>
          <w:lang w:bidi="ar"/>
        </w:rPr>
      </w:pPr>
    </w:p>
    <w:p>
      <w:pPr>
        <w:widowControl/>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default" w:ascii="Times New Roman" w:hAnsi="Times New Roman" w:eastAsia="仿宋_GB2312" w:cs="Times New Roman"/>
          <w:b/>
          <w:bCs/>
          <w:color w:val="000000"/>
          <w:kern w:val="0"/>
          <w:highlight w:val="none"/>
          <w:lang w:val="en-US" w:eastAsia="zh-CN" w:bidi="ar"/>
        </w:rPr>
        <w:t>6</w:t>
      </w:r>
      <w:r>
        <w:rPr>
          <w:rFonts w:hint="default" w:ascii="Times New Roman" w:hAnsi="Times New Roman" w:eastAsia="仿宋_GB2312" w:cs="Times New Roman"/>
          <w:b/>
          <w:bCs/>
          <w:color w:val="000000"/>
          <w:kern w:val="0"/>
          <w:highlight w:val="none"/>
          <w:lang w:bidi="ar"/>
        </w:rPr>
        <w:t xml:space="preserve"> 部门整体支出汇总得分表</w:t>
      </w:r>
    </w:p>
    <w:tbl>
      <w:tblPr>
        <w:tblStyle w:val="4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6"/>
        <w:gridCol w:w="1251"/>
        <w:gridCol w:w="1489"/>
        <w:gridCol w:w="1944"/>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675"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指标</w:t>
            </w:r>
          </w:p>
        </w:tc>
        <w:tc>
          <w:tcPr>
            <w:tcW w:w="695"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826"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评价权重</w:t>
            </w:r>
          </w:p>
        </w:tc>
        <w:tc>
          <w:tcPr>
            <w:tcW w:w="1080"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评价权重</w:t>
            </w:r>
            <w:r>
              <w:rPr>
                <w:rFonts w:hint="default" w:ascii="Times New Roman" w:hAnsi="Times New Roman" w:eastAsia="仿宋_GB2312" w:cs="Times New Roman"/>
                <w:b/>
                <w:bCs/>
                <w:color w:val="000000"/>
                <w:kern w:val="0"/>
                <w:highlight w:val="none"/>
                <w:lang w:bidi="ar"/>
              </w:rPr>
              <w:t>得分</w:t>
            </w:r>
          </w:p>
        </w:tc>
        <w:tc>
          <w:tcPr>
            <w:tcW w:w="721"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default" w:ascii="Times New Roman" w:hAnsi="Times New Roman" w:eastAsia="仿宋_GB2312" w:cs="Times New Roman"/>
                <w:color w:val="000000"/>
                <w:kern w:val="0"/>
                <w:highlight w:val="none"/>
                <w:lang w:val="en-US" w:eastAsia="zh-CN" w:bidi="ar"/>
              </w:rPr>
              <w:t>部门预算管理</w:t>
            </w:r>
          </w:p>
        </w:tc>
        <w:tc>
          <w:tcPr>
            <w:tcW w:w="1251"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60</w:t>
            </w:r>
          </w:p>
        </w:tc>
        <w:tc>
          <w:tcPr>
            <w:tcW w:w="1489"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44</w:t>
            </w:r>
          </w:p>
        </w:tc>
        <w:tc>
          <w:tcPr>
            <w:tcW w:w="19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37</w:t>
            </w:r>
          </w:p>
        </w:tc>
        <w:tc>
          <w:tcPr>
            <w:tcW w:w="129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专项预算管理</w:t>
            </w:r>
          </w:p>
        </w:tc>
        <w:tc>
          <w:tcPr>
            <w:tcW w:w="1251"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20</w:t>
            </w:r>
          </w:p>
        </w:tc>
        <w:tc>
          <w:tcPr>
            <w:tcW w:w="1489"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20</w:t>
            </w:r>
          </w:p>
        </w:tc>
        <w:tc>
          <w:tcPr>
            <w:tcW w:w="19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19</w:t>
            </w:r>
          </w:p>
        </w:tc>
        <w:tc>
          <w:tcPr>
            <w:tcW w:w="129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95.00%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绩效结果应用</w:t>
            </w:r>
          </w:p>
        </w:tc>
        <w:tc>
          <w:tcPr>
            <w:tcW w:w="1251"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w:t>
            </w:r>
          </w:p>
        </w:tc>
        <w:tc>
          <w:tcPr>
            <w:tcW w:w="1489"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2</w:t>
            </w:r>
          </w:p>
        </w:tc>
        <w:tc>
          <w:tcPr>
            <w:tcW w:w="19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2</w:t>
            </w:r>
          </w:p>
        </w:tc>
        <w:tc>
          <w:tcPr>
            <w:tcW w:w="129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default" w:ascii="Times New Roman" w:hAnsi="Times New Roman" w:eastAsia="仿宋_GB2312" w:cs="Times New Roman"/>
                <w:color w:val="000000"/>
                <w:kern w:val="0"/>
                <w:highlight w:val="none"/>
                <w:lang w:val="en-US" w:eastAsia="zh-CN" w:bidi="ar"/>
              </w:rPr>
              <w:t>自评质量</w:t>
            </w:r>
          </w:p>
        </w:tc>
        <w:tc>
          <w:tcPr>
            <w:tcW w:w="1251"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w:t>
            </w:r>
          </w:p>
        </w:tc>
        <w:tc>
          <w:tcPr>
            <w:tcW w:w="1489"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w:t>
            </w:r>
          </w:p>
        </w:tc>
        <w:tc>
          <w:tcPr>
            <w:tcW w:w="19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6</w:t>
            </w:r>
          </w:p>
        </w:tc>
        <w:tc>
          <w:tcPr>
            <w:tcW w:w="129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675"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1251"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100</w:t>
            </w:r>
          </w:p>
        </w:tc>
        <w:tc>
          <w:tcPr>
            <w:tcW w:w="1489"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76</w:t>
            </w:r>
          </w:p>
        </w:tc>
        <w:tc>
          <w:tcPr>
            <w:tcW w:w="1944"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64</w:t>
            </w:r>
          </w:p>
        </w:tc>
        <w:tc>
          <w:tcPr>
            <w:tcW w:w="1298"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84.21%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7" w:type="pct"/>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百分制换算得分合计</w:t>
            </w:r>
          </w:p>
        </w:tc>
        <w:tc>
          <w:tcPr>
            <w:tcW w:w="1944"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84.21</w:t>
            </w:r>
          </w:p>
        </w:tc>
        <w:tc>
          <w:tcPr>
            <w:tcW w:w="1298"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84.21%</w:t>
            </w:r>
          </w:p>
        </w:tc>
      </w:tr>
    </w:tbl>
    <w:p>
      <w:pPr>
        <w:pStyle w:val="66"/>
        <w:pageBreakBefore w:val="0"/>
        <w:widowControl w:val="0"/>
        <w:kinsoku/>
        <w:wordWrap/>
        <w:overflowPunct/>
        <w:topLinePunct w:val="0"/>
        <w:autoSpaceDE/>
        <w:autoSpaceDN/>
        <w:bidi w:val="0"/>
        <w:adjustRightInd/>
        <w:snapToGrid/>
        <w:spacing w:before="156" w:after="156" w:line="600" w:lineRule="exact"/>
        <w:ind w:firstLine="640"/>
        <w:textAlignment w:val="auto"/>
        <w:rPr>
          <w:rFonts w:hint="default" w:ascii="Times New Roman" w:hAnsi="Times New Roman" w:eastAsia="楷体_GB2312" w:cs="Times New Roman"/>
          <w:color w:val="auto"/>
          <w:sz w:val="32"/>
          <w:highlight w:val="none"/>
        </w:rPr>
      </w:pPr>
      <w:bookmarkStart w:id="55" w:name="_Toc12161"/>
      <w:r>
        <w:rPr>
          <w:rFonts w:hint="default" w:ascii="Times New Roman" w:hAnsi="Times New Roman" w:eastAsia="楷体_GB2312" w:cs="Times New Roman"/>
          <w:color w:val="auto"/>
          <w:sz w:val="32"/>
          <w:highlight w:val="none"/>
        </w:rPr>
        <w:t>（二）绩效分析</w:t>
      </w:r>
      <w:bookmarkEnd w:id="54"/>
      <w:bookmarkEnd w:id="55"/>
    </w:p>
    <w:p>
      <w:pPr>
        <w:pStyle w:val="4"/>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highlight w:val="none"/>
        </w:rPr>
      </w:pPr>
      <w:bookmarkStart w:id="56" w:name="_Toc11707"/>
      <w:bookmarkStart w:id="57" w:name="_Toc55586789"/>
      <w:bookmarkStart w:id="58" w:name="_Toc32195"/>
      <w:r>
        <w:rPr>
          <w:rFonts w:hint="default" w:ascii="Times New Roman" w:hAnsi="Times New Roman" w:eastAsia="仿宋_GB2312" w:cs="Times New Roman"/>
          <w:highlight w:val="none"/>
        </w:rPr>
        <w:t>1、部门预算管理情况分析</w:t>
      </w:r>
      <w:bookmarkEnd w:id="56"/>
      <w:bookmarkEnd w:id="57"/>
      <w:bookmarkEnd w:id="58"/>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kern w:val="0"/>
          <w:sz w:val="32"/>
          <w:szCs w:val="32"/>
          <w:highlight w:val="none"/>
          <w:shd w:val="clear" w:color="auto" w:fill="FFFFFF"/>
        </w:rPr>
      </w:pPr>
      <w:r>
        <w:rPr>
          <w:rFonts w:hint="default" w:ascii="Times New Roman" w:hAnsi="Times New Roman" w:eastAsia="仿宋_GB2312" w:cs="Times New Roman"/>
          <w:kern w:val="0"/>
          <w:sz w:val="32"/>
          <w:szCs w:val="32"/>
          <w:highlight w:val="none"/>
          <w:shd w:val="clear" w:color="auto" w:fill="FFFFFF"/>
        </w:rPr>
        <w:t>该指标权重为</w:t>
      </w:r>
      <w:r>
        <w:rPr>
          <w:rFonts w:hint="eastAsia" w:eastAsia="仿宋_GB2312" w:cs="Times New Roman"/>
          <w:kern w:val="0"/>
          <w:sz w:val="32"/>
          <w:szCs w:val="32"/>
          <w:highlight w:val="none"/>
          <w:shd w:val="clear" w:color="auto" w:fill="FFFFFF"/>
          <w:lang w:val="en-US" w:eastAsia="zh-CN"/>
        </w:rPr>
        <w:t>6</w:t>
      </w:r>
      <w:r>
        <w:rPr>
          <w:rFonts w:hint="default" w:ascii="Times New Roman" w:hAnsi="Times New Roman" w:eastAsia="仿宋_GB2312" w:cs="Times New Roman"/>
          <w:kern w:val="0"/>
          <w:sz w:val="32"/>
          <w:szCs w:val="32"/>
          <w:highlight w:val="none"/>
          <w:shd w:val="clear" w:color="auto" w:fill="FFFFFF"/>
          <w:lang w:val="en-US" w:eastAsia="zh-CN"/>
        </w:rPr>
        <w:t>0</w:t>
      </w:r>
      <w:r>
        <w:rPr>
          <w:rFonts w:hint="default" w:ascii="Times New Roman" w:hAnsi="Times New Roman" w:eastAsia="仿宋_GB2312" w:cs="Times New Roman"/>
          <w:kern w:val="0"/>
          <w:sz w:val="32"/>
          <w:szCs w:val="32"/>
          <w:highlight w:val="none"/>
          <w:shd w:val="clear" w:color="auto" w:fill="FFFFFF"/>
        </w:rPr>
        <w:t>分，</w:t>
      </w:r>
      <w:r>
        <w:rPr>
          <w:rFonts w:hint="default" w:ascii="Times New Roman" w:hAnsi="Times New Roman" w:eastAsia="仿宋_GB2312" w:cs="Times New Roman"/>
          <w:kern w:val="0"/>
          <w:sz w:val="32"/>
          <w:szCs w:val="32"/>
          <w:highlight w:val="none"/>
          <w:shd w:val="clear" w:color="auto" w:fill="FFFFFF"/>
          <w:lang w:val="en-US" w:eastAsia="zh-CN"/>
        </w:rPr>
        <w:t>评价</w:t>
      </w:r>
      <w:r>
        <w:rPr>
          <w:rFonts w:hint="default" w:ascii="Times New Roman" w:hAnsi="Times New Roman" w:eastAsia="仿宋_GB2312" w:cs="Times New Roman"/>
          <w:color w:val="000000"/>
          <w:kern w:val="0"/>
          <w:sz w:val="32"/>
          <w:szCs w:val="32"/>
          <w:highlight w:val="none"/>
          <w:lang w:val="en-US" w:eastAsia="zh-CN" w:bidi="ar"/>
        </w:rPr>
        <w:t>权重</w:t>
      </w:r>
      <w:r>
        <w:rPr>
          <w:rFonts w:hint="eastAsia" w:eastAsia="仿宋_GB2312" w:cs="Times New Roman"/>
          <w:color w:val="000000"/>
          <w:kern w:val="0"/>
          <w:sz w:val="32"/>
          <w:szCs w:val="32"/>
          <w:highlight w:val="none"/>
          <w:lang w:val="en-US" w:eastAsia="zh-CN" w:bidi="ar"/>
        </w:rPr>
        <w:t>44</w:t>
      </w:r>
      <w:r>
        <w:rPr>
          <w:rFonts w:hint="default" w:ascii="Times New Roman" w:hAnsi="Times New Roman" w:eastAsia="仿宋_GB2312" w:cs="Times New Roman"/>
          <w:color w:val="000000"/>
          <w:kern w:val="0"/>
          <w:sz w:val="32"/>
          <w:szCs w:val="32"/>
          <w:highlight w:val="none"/>
          <w:lang w:val="en-US" w:eastAsia="zh-CN" w:bidi="ar"/>
        </w:rPr>
        <w:t>分，评价权重得分</w:t>
      </w:r>
      <w:r>
        <w:rPr>
          <w:rFonts w:hint="eastAsia" w:eastAsia="仿宋_GB2312" w:cs="Times New Roman"/>
          <w:color w:val="000000"/>
          <w:kern w:val="0"/>
          <w:sz w:val="32"/>
          <w:szCs w:val="32"/>
          <w:highlight w:val="none"/>
          <w:lang w:val="en-US" w:eastAsia="zh-CN" w:bidi="ar"/>
        </w:rPr>
        <w:t>37</w:t>
      </w:r>
      <w:r>
        <w:rPr>
          <w:rFonts w:hint="default" w:ascii="Times New Roman" w:hAnsi="Times New Roman" w:eastAsia="仿宋_GB2312" w:cs="Times New Roman"/>
          <w:color w:val="000000"/>
          <w:kern w:val="0"/>
          <w:sz w:val="32"/>
          <w:szCs w:val="32"/>
          <w:highlight w:val="none"/>
          <w:lang w:val="en-US" w:eastAsia="zh-CN" w:bidi="ar"/>
        </w:rPr>
        <w:t>分。用于考察评价部门绩效目标是否要素完整、细化量化并集体决策</w:t>
      </w:r>
      <w:r>
        <w:rPr>
          <w:rFonts w:hint="eastAsia" w:eastAsia="仿宋_GB2312" w:cs="Times New Roman"/>
          <w:color w:val="000000"/>
          <w:kern w:val="0"/>
          <w:sz w:val="32"/>
          <w:szCs w:val="32"/>
          <w:highlight w:val="none"/>
          <w:lang w:val="en-US" w:eastAsia="zh-CN" w:bidi="ar"/>
        </w:rPr>
        <w:t>情况；评价部门绩效目标实际实现程度与预期目标的偏离度；部门公用经费及非定额公用支出控制情况；评价部门在2022年6、9、11月的预算执行情况；评价部门预算项目年终预算执行情况；根据审计监督、财政评价结果反映部门上一年度部门预算管理是否合规</w:t>
      </w:r>
      <w:r>
        <w:rPr>
          <w:rFonts w:hint="default" w:ascii="Times New Roman" w:hAnsi="Times New Roman" w:eastAsia="仿宋_GB2312" w:cs="Times New Roman"/>
          <w:color w:val="000000"/>
          <w:kern w:val="0"/>
          <w:sz w:val="32"/>
          <w:szCs w:val="32"/>
          <w:highlight w:val="none"/>
          <w:lang w:val="en-US" w:eastAsia="zh-CN" w:bidi="ar"/>
        </w:rPr>
        <w:t>等。各分项指标得分和绩效</w:t>
      </w:r>
      <w:r>
        <w:rPr>
          <w:rFonts w:hint="default" w:ascii="Times New Roman" w:hAnsi="Times New Roman" w:eastAsia="仿宋_GB2312" w:cs="Times New Roman"/>
          <w:kern w:val="0"/>
          <w:sz w:val="32"/>
          <w:szCs w:val="32"/>
          <w:highlight w:val="none"/>
          <w:shd w:val="clear" w:color="auto" w:fill="FFFFFF"/>
        </w:rPr>
        <w:t>分析如下：</w:t>
      </w:r>
    </w:p>
    <w:p>
      <w:pPr>
        <w:widowControl/>
        <w:spacing w:line="600" w:lineRule="exact"/>
        <w:ind w:firstLine="48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default" w:ascii="Times New Roman" w:hAnsi="Times New Roman" w:eastAsia="仿宋_GB2312" w:cs="Times New Roman"/>
          <w:b/>
          <w:bCs/>
          <w:color w:val="000000"/>
          <w:kern w:val="0"/>
          <w:highlight w:val="none"/>
          <w:lang w:val="en-US" w:eastAsia="zh-CN" w:bidi="ar"/>
        </w:rPr>
        <w:t>7</w:t>
      </w:r>
      <w:r>
        <w:rPr>
          <w:rFonts w:hint="default" w:ascii="Times New Roman" w:hAnsi="Times New Roman" w:eastAsia="仿宋_GB2312" w:cs="Times New Roman"/>
          <w:b/>
          <w:bCs/>
          <w:color w:val="000000"/>
          <w:kern w:val="0"/>
          <w:highlight w:val="none"/>
          <w:lang w:bidi="ar"/>
        </w:rPr>
        <w:t xml:space="preserve"> </w:t>
      </w:r>
      <w:r>
        <w:rPr>
          <w:rFonts w:hint="default" w:ascii="Times New Roman" w:hAnsi="Times New Roman" w:eastAsia="仿宋_GB2312" w:cs="Times New Roman"/>
          <w:b/>
          <w:bCs/>
          <w:color w:val="000000"/>
          <w:kern w:val="0"/>
          <w:highlight w:val="none"/>
          <w:lang w:val="en-US" w:eastAsia="zh-CN" w:bidi="ar"/>
        </w:rPr>
        <w:t>部门预算管理</w:t>
      </w:r>
      <w:r>
        <w:rPr>
          <w:rFonts w:hint="default" w:ascii="Times New Roman" w:hAnsi="Times New Roman" w:eastAsia="仿宋_GB2312" w:cs="Times New Roman"/>
          <w:b/>
          <w:bCs/>
          <w:color w:val="000000"/>
          <w:kern w:val="0"/>
          <w:highlight w:val="none"/>
          <w:lang w:bidi="ar"/>
        </w:rPr>
        <w:t>情况得分表</w:t>
      </w:r>
    </w:p>
    <w:tbl>
      <w:tblPr>
        <w:tblStyle w:val="41"/>
        <w:tblW w:w="8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1"/>
        <w:gridCol w:w="1400"/>
        <w:gridCol w:w="1978"/>
        <w:gridCol w:w="855"/>
        <w:gridCol w:w="934"/>
        <w:gridCol w:w="1118"/>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1"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一级指标</w:t>
            </w:r>
          </w:p>
        </w:tc>
        <w:tc>
          <w:tcPr>
            <w:tcW w:w="14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二级指标</w:t>
            </w:r>
          </w:p>
        </w:tc>
        <w:tc>
          <w:tcPr>
            <w:tcW w:w="1978"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三级指标</w:t>
            </w:r>
          </w:p>
        </w:tc>
        <w:tc>
          <w:tcPr>
            <w:tcW w:w="85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93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评价权重</w:t>
            </w:r>
          </w:p>
        </w:tc>
        <w:tc>
          <w:tcPr>
            <w:tcW w:w="1118"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评价权重</w:t>
            </w:r>
            <w:r>
              <w:rPr>
                <w:rFonts w:hint="default" w:ascii="Times New Roman" w:hAnsi="Times New Roman" w:eastAsia="仿宋_GB2312" w:cs="Times New Roman"/>
                <w:b/>
                <w:bCs/>
                <w:color w:val="000000"/>
                <w:kern w:val="0"/>
                <w:highlight w:val="none"/>
                <w:lang w:bidi="ar"/>
              </w:rPr>
              <w:t>得分</w:t>
            </w:r>
          </w:p>
        </w:tc>
        <w:tc>
          <w:tcPr>
            <w:tcW w:w="1113"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restar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r>
              <w:rPr>
                <w:rFonts w:hint="default" w:ascii="Times New Roman" w:hAnsi="Times New Roman" w:eastAsia="仿宋_GB2312" w:cs="Times New Roman"/>
                <w:color w:val="000000"/>
                <w:kern w:val="0"/>
                <w:highlight w:val="none"/>
                <w:lang w:val="en-US" w:eastAsia="zh-CN" w:bidi="ar"/>
              </w:rPr>
              <w:t>部门预算管理</w:t>
            </w:r>
            <w:r>
              <w:rPr>
                <w:rFonts w:hint="default" w:ascii="Times New Roman" w:hAnsi="Times New Roman" w:eastAsia="仿宋_GB2312" w:cs="Times New Roman"/>
                <w:color w:val="000000"/>
                <w:kern w:val="0"/>
                <w:highlight w:val="none"/>
                <w:lang w:bidi="ar"/>
              </w:rPr>
              <w:t>（</w:t>
            </w:r>
            <w:r>
              <w:rPr>
                <w:rFonts w:hint="eastAsia" w:eastAsia="仿宋_GB2312" w:cs="Times New Roman"/>
                <w:color w:val="000000"/>
                <w:kern w:val="0"/>
                <w:highlight w:val="none"/>
                <w:lang w:val="en-US" w:eastAsia="zh-CN" w:bidi="ar"/>
              </w:rPr>
              <w:t>6</w:t>
            </w:r>
            <w:r>
              <w:rPr>
                <w:rFonts w:hint="default" w:ascii="Times New Roman" w:hAnsi="Times New Roman" w:eastAsia="仿宋_GB2312" w:cs="Times New Roman"/>
                <w:color w:val="000000"/>
                <w:kern w:val="0"/>
                <w:highlight w:val="none"/>
                <w:lang w:bidi="ar"/>
              </w:rPr>
              <w:t>0）</w:t>
            </w:r>
          </w:p>
        </w:tc>
        <w:tc>
          <w:tcPr>
            <w:tcW w:w="140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预算编制（24分）</w:t>
            </w: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目标制定</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4</w:t>
            </w:r>
          </w:p>
        </w:tc>
        <w:tc>
          <w:tcPr>
            <w:tcW w:w="111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目标实现</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7</w:t>
            </w:r>
          </w:p>
        </w:tc>
        <w:tc>
          <w:tcPr>
            <w:tcW w:w="111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编制准确</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w:t>
            </w:r>
          </w:p>
        </w:tc>
        <w:tc>
          <w:tcPr>
            <w:tcW w:w="1118"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c>
          <w:tcPr>
            <w:tcW w:w="1113"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预算执行（20分）</w:t>
            </w: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支出控制</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6</w:t>
            </w:r>
          </w:p>
        </w:tc>
        <w:tc>
          <w:tcPr>
            <w:tcW w:w="9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6</w:t>
            </w:r>
          </w:p>
        </w:tc>
        <w:tc>
          <w:tcPr>
            <w:tcW w:w="111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6</w:t>
            </w:r>
          </w:p>
        </w:tc>
        <w:tc>
          <w:tcPr>
            <w:tcW w:w="111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动态调整</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w:t>
            </w:r>
          </w:p>
        </w:tc>
        <w:tc>
          <w:tcPr>
            <w:tcW w:w="1118"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c>
          <w:tcPr>
            <w:tcW w:w="1113"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执行进度</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6</w:t>
            </w:r>
          </w:p>
        </w:tc>
        <w:tc>
          <w:tcPr>
            <w:tcW w:w="9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6</w:t>
            </w:r>
          </w:p>
        </w:tc>
        <w:tc>
          <w:tcPr>
            <w:tcW w:w="111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4.02</w:t>
            </w:r>
          </w:p>
        </w:tc>
        <w:tc>
          <w:tcPr>
            <w:tcW w:w="111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完成结果（16分）</w:t>
            </w: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预算完成</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7.98</w:t>
            </w:r>
          </w:p>
        </w:tc>
        <w:tc>
          <w:tcPr>
            <w:tcW w:w="111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违规记录</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w:t>
            </w:r>
          </w:p>
        </w:tc>
        <w:tc>
          <w:tcPr>
            <w:tcW w:w="111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9"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855"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60</w:t>
            </w:r>
          </w:p>
        </w:tc>
        <w:tc>
          <w:tcPr>
            <w:tcW w:w="934"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44</w:t>
            </w:r>
          </w:p>
        </w:tc>
        <w:tc>
          <w:tcPr>
            <w:tcW w:w="1118"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37</w:t>
            </w:r>
          </w:p>
        </w:tc>
        <w:tc>
          <w:tcPr>
            <w:tcW w:w="1113"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84%</w:t>
            </w:r>
          </w:p>
        </w:tc>
      </w:tr>
    </w:tbl>
    <w:p>
      <w:pPr>
        <w:pStyle w:val="24"/>
        <w:rPr>
          <w:rFonts w:hint="default" w:ascii="Times New Roman" w:hAnsi="Times New Roman" w:cs="Times New Roman"/>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（1）</w:t>
      </w:r>
      <w:r>
        <w:rPr>
          <w:rFonts w:hint="eastAsia" w:eastAsia="仿宋_GB2312" w:cs="Times New Roman"/>
          <w:b/>
          <w:bCs/>
          <w:kern w:val="0"/>
          <w:sz w:val="32"/>
          <w:szCs w:val="32"/>
          <w:highlight w:val="none"/>
          <w:shd w:val="clear" w:color="auto" w:fill="FFFFFF"/>
          <w:lang w:val="en-US" w:eastAsia="zh-CN"/>
        </w:rPr>
        <w:t>预算编制</w:t>
      </w:r>
      <w:r>
        <w:rPr>
          <w:rFonts w:hint="default" w:ascii="Times New Roman" w:hAnsi="Times New Roman" w:eastAsia="仿宋_GB2312" w:cs="Times New Roman"/>
          <w:b/>
          <w:bCs/>
          <w:kern w:val="0"/>
          <w:sz w:val="32"/>
          <w:szCs w:val="32"/>
          <w:highlight w:val="none"/>
          <w:shd w:val="clear" w:color="auto" w:fill="FFFFFF"/>
          <w:lang w:val="en-US" w:eastAsia="zh-CN"/>
        </w:rPr>
        <w:t>情况</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——目标制定指标分析（权重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4</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阿坝县残疾人联合会</w:t>
      </w:r>
      <w:r>
        <w:rPr>
          <w:rFonts w:hint="eastAsia"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部门整体支出</w:t>
      </w:r>
      <w:r>
        <w:rPr>
          <w:rFonts w:hint="eastAsia" w:ascii="Times New Roman" w:hAnsi="Times New Roman" w:eastAsia="仿宋_GB2312" w:cs="Times New Roman"/>
          <w:color w:val="000000"/>
          <w:kern w:val="0"/>
          <w:sz w:val="32"/>
          <w:szCs w:val="32"/>
          <w:highlight w:val="none"/>
          <w:lang w:val="en-US" w:eastAsia="zh-CN" w:bidi="ar"/>
        </w:rPr>
        <w:t>绩效目标设置情况：</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绩效目标编制要素方面，</w:t>
      </w:r>
      <w:r>
        <w:rPr>
          <w:rFonts w:hint="eastAsia" w:eastAsia="仿宋_GB2312" w:cs="Times New Roman"/>
          <w:color w:val="000000"/>
          <w:kern w:val="0"/>
          <w:sz w:val="32"/>
          <w:szCs w:val="32"/>
          <w:highlight w:val="none"/>
          <w:lang w:val="en-US" w:eastAsia="zh-CN" w:bidi="ar"/>
        </w:rPr>
        <w:t>阿坝县残疾人联合会</w:t>
      </w:r>
      <w:r>
        <w:rPr>
          <w:rFonts w:hint="eastAsia"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部门整体支出</w:t>
      </w:r>
      <w:r>
        <w:rPr>
          <w:rFonts w:hint="eastAsia" w:ascii="Times New Roman" w:hAnsi="Times New Roman" w:eastAsia="仿宋_GB2312" w:cs="Times New Roman"/>
          <w:color w:val="000000"/>
          <w:kern w:val="0"/>
          <w:sz w:val="32"/>
          <w:szCs w:val="32"/>
          <w:highlight w:val="none"/>
          <w:lang w:val="en-US" w:eastAsia="zh-CN" w:bidi="ar"/>
        </w:rPr>
        <w:t>绩效目标编制要素</w:t>
      </w:r>
      <w:r>
        <w:rPr>
          <w:rFonts w:hint="eastAsia" w:eastAsia="仿宋_GB2312" w:cs="Times New Roman"/>
          <w:color w:val="000000"/>
          <w:kern w:val="0"/>
          <w:sz w:val="32"/>
          <w:szCs w:val="32"/>
          <w:highlight w:val="none"/>
          <w:lang w:val="en-US" w:eastAsia="zh-CN" w:bidi="ar"/>
        </w:rPr>
        <w:t>齐全</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未</w:t>
      </w:r>
      <w:r>
        <w:rPr>
          <w:rFonts w:hint="eastAsia" w:ascii="Times New Roman" w:hAnsi="Times New Roman" w:eastAsia="仿宋_GB2312" w:cs="Times New Roman"/>
          <w:color w:val="000000"/>
          <w:kern w:val="0"/>
          <w:sz w:val="32"/>
          <w:szCs w:val="32"/>
          <w:highlight w:val="none"/>
          <w:lang w:val="en-US" w:eastAsia="zh-CN" w:bidi="ar"/>
        </w:rPr>
        <w:t>填写</w:t>
      </w:r>
      <w:r>
        <w:rPr>
          <w:rFonts w:hint="eastAsia" w:eastAsia="仿宋_GB2312" w:cs="Times New Roman"/>
          <w:color w:val="000000"/>
          <w:kern w:val="0"/>
          <w:sz w:val="32"/>
          <w:szCs w:val="32"/>
          <w:highlight w:val="none"/>
          <w:lang w:val="en-US" w:eastAsia="zh-CN" w:bidi="ar"/>
        </w:rPr>
        <w:t>数量指标、时效指标、成本指标等产出指标，效益指标未设置经济效益指标、社会效益指标，不符合《四川省财政支出绩效评价管理办法》第十五条“绩效目标包括以下主要内容：（一）预期产出，包括提供的公共产品和服务的数量；（二）预期效果，包括经济效益、社会效益、环境效益和可持续影响等；（三）绩效指标，是对预期产出和预期效果的细化和量化，主要包括完成指标、效果指标和满意度指标等；（四）绩效指标值，是绩效指标的具体表现，通常用可衡量的标准、数值、比率等来表示，确定指标值时主要依据或参考历史标准、行业标准、计划标准等绩效标准；（五）其他需要编制的内容。”</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绩效指标细化量化方面，</w:t>
      </w:r>
      <w:r>
        <w:rPr>
          <w:rFonts w:hint="eastAsia" w:eastAsia="仿宋_GB2312" w:cs="Times New Roman"/>
          <w:color w:val="000000"/>
          <w:kern w:val="0"/>
          <w:sz w:val="32"/>
          <w:szCs w:val="32"/>
          <w:highlight w:val="none"/>
          <w:lang w:val="en-US" w:eastAsia="zh-CN" w:bidi="ar"/>
        </w:rPr>
        <w:t>阿坝县残疾人联合会</w:t>
      </w:r>
      <w:r>
        <w:rPr>
          <w:rFonts w:hint="eastAsia"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部门整体支出</w:t>
      </w:r>
      <w:r>
        <w:rPr>
          <w:rFonts w:hint="eastAsia" w:ascii="Times New Roman" w:hAnsi="Times New Roman" w:eastAsia="仿宋_GB2312" w:cs="Times New Roman"/>
          <w:color w:val="000000"/>
          <w:kern w:val="0"/>
          <w:sz w:val="32"/>
          <w:szCs w:val="32"/>
          <w:highlight w:val="none"/>
          <w:lang w:val="en-US" w:eastAsia="zh-CN" w:bidi="ar"/>
        </w:rPr>
        <w:t>绩效目标</w:t>
      </w:r>
      <w:r>
        <w:rPr>
          <w:rFonts w:hint="eastAsia" w:eastAsia="仿宋_GB2312" w:cs="Times New Roman"/>
          <w:color w:val="000000"/>
          <w:kern w:val="0"/>
          <w:sz w:val="32"/>
          <w:szCs w:val="32"/>
          <w:highlight w:val="none"/>
          <w:lang w:val="en-US" w:eastAsia="zh-CN" w:bidi="ar"/>
        </w:rPr>
        <w:t>产出指标、效益指标、满意度指标的绩效指标值中社会效益指标指标值设置为“≥30人/户”，数量指标的指标值设置为“≥60万元”，服务对象满意度指标值设置为“≥100分”。不符合《四川省财政支出绩效评价管理办法》“第十六条 绩效目标要符合以下要求：细化量化。绩效目标应当从数量、质量、成本、时效以及经济效益、社会效益、生态效益、可持续影响、满意度等方面进行细化，尽量进行定量表述。不能量化表述的，可采用定性表述，但应具有可衡量性。”的规定。</w:t>
      </w:r>
    </w:p>
    <w:p>
      <w:pPr>
        <w:rPr>
          <w:rFonts w:hint="default" w:ascii="Times New Roman" w:hAnsi="Times New Roman" w:eastAsia="仿宋_GB2312" w:cs="Times New Roman"/>
          <w:b/>
          <w:bCs/>
          <w:color w:val="000000"/>
          <w:kern w:val="0"/>
          <w:sz w:val="24"/>
          <w:szCs w:val="24"/>
          <w:highlight w:val="none"/>
          <w:lang w:val="en-US" w:eastAsia="zh-CN" w:bidi="ar"/>
        </w:rPr>
      </w:pPr>
      <w:r>
        <w:rPr>
          <w:rFonts w:hint="eastAsia" w:eastAsia="仿宋_GB2312" w:cs="Times New Roman"/>
          <w:color w:val="000000"/>
          <w:kern w:val="0"/>
          <w:sz w:val="32"/>
          <w:szCs w:val="32"/>
          <w:highlight w:val="none"/>
          <w:lang w:val="en-US" w:eastAsia="zh-CN" w:bidi="ar"/>
        </w:rPr>
        <w:t>阿坝县残疾人联合会</w:t>
      </w:r>
      <w:r>
        <w:rPr>
          <w:rFonts w:hint="eastAsia"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部门整体支出</w:t>
      </w:r>
      <w:r>
        <w:rPr>
          <w:rFonts w:hint="eastAsia" w:ascii="Times New Roman" w:hAnsi="Times New Roman" w:eastAsia="仿宋_GB2312" w:cs="Times New Roman"/>
          <w:color w:val="000000"/>
          <w:kern w:val="0"/>
          <w:sz w:val="32"/>
          <w:szCs w:val="32"/>
          <w:highlight w:val="none"/>
          <w:lang w:val="en-US" w:eastAsia="zh-CN" w:bidi="ar"/>
        </w:rPr>
        <w:t>绩效目标</w:t>
      </w:r>
      <w:r>
        <w:rPr>
          <w:rFonts w:hint="eastAsia" w:eastAsia="仿宋_GB2312" w:cs="Times New Roman"/>
          <w:color w:val="000000"/>
          <w:kern w:val="0"/>
          <w:sz w:val="32"/>
          <w:szCs w:val="32"/>
          <w:highlight w:val="none"/>
          <w:lang w:val="en-US" w:eastAsia="zh-CN" w:bidi="ar"/>
        </w:rPr>
        <w:t>如下表：</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lang w:val="en-US" w:eastAsia="zh-CN" w:bidi="ar"/>
        </w:rPr>
      </w:pPr>
      <w:r>
        <w:rPr>
          <w:rFonts w:hint="default" w:ascii="Times New Roman" w:hAnsi="Times New Roman" w:eastAsia="仿宋_GB2312" w:cs="Times New Roman"/>
          <w:b/>
          <w:bCs/>
          <w:color w:val="000000"/>
          <w:kern w:val="0"/>
          <w:sz w:val="24"/>
          <w:szCs w:val="24"/>
          <w:highlight w:val="none"/>
          <w:lang w:val="en-US" w:eastAsia="zh-CN" w:bidi="ar"/>
        </w:rPr>
        <w:t>表8</w:t>
      </w:r>
      <w:r>
        <w:rPr>
          <w:rFonts w:hint="eastAsia" w:eastAsia="仿宋_GB2312" w:cs="Times New Roman"/>
          <w:b/>
          <w:bCs/>
          <w:color w:val="000000"/>
          <w:kern w:val="0"/>
          <w:sz w:val="24"/>
          <w:szCs w:val="24"/>
          <w:highlight w:val="none"/>
          <w:lang w:val="en-US" w:eastAsia="zh-CN" w:bidi="ar"/>
        </w:rPr>
        <w:t xml:space="preserve"> </w:t>
      </w:r>
      <w:r>
        <w:rPr>
          <w:rFonts w:hint="default" w:ascii="Times New Roman" w:hAnsi="Times New Roman" w:eastAsia="仿宋_GB2312" w:cs="Times New Roman"/>
          <w:b/>
          <w:bCs/>
          <w:color w:val="000000"/>
          <w:kern w:val="0"/>
          <w:sz w:val="24"/>
          <w:szCs w:val="24"/>
          <w:highlight w:val="none"/>
          <w:lang w:val="en-US" w:eastAsia="zh-CN" w:bidi="ar"/>
        </w:rPr>
        <w:t xml:space="preserve"> </w:t>
      </w:r>
      <w:r>
        <w:rPr>
          <w:rFonts w:hint="eastAsia" w:eastAsia="仿宋_GB2312" w:cs="Times New Roman"/>
          <w:b/>
          <w:bCs/>
          <w:color w:val="000000"/>
          <w:kern w:val="0"/>
          <w:sz w:val="24"/>
          <w:szCs w:val="24"/>
          <w:highlight w:val="none"/>
          <w:lang w:val="en-US" w:eastAsia="zh-CN" w:bidi="ar"/>
        </w:rPr>
        <w:t>阿坝县残疾人联合会</w:t>
      </w:r>
      <w:r>
        <w:rPr>
          <w:rFonts w:hint="eastAsia" w:ascii="Times New Roman" w:hAnsi="Times New Roman" w:eastAsia="仿宋_GB2312" w:cs="Times New Roman"/>
          <w:b/>
          <w:bCs/>
          <w:color w:val="000000"/>
          <w:kern w:val="0"/>
          <w:sz w:val="24"/>
          <w:szCs w:val="24"/>
          <w:highlight w:val="none"/>
          <w:lang w:val="en-US" w:eastAsia="zh-CN" w:bidi="ar"/>
        </w:rPr>
        <w:t>202</w:t>
      </w:r>
      <w:r>
        <w:rPr>
          <w:rFonts w:hint="eastAsia" w:eastAsia="仿宋_GB2312" w:cs="Times New Roman"/>
          <w:b/>
          <w:bCs/>
          <w:color w:val="000000"/>
          <w:kern w:val="0"/>
          <w:sz w:val="24"/>
          <w:szCs w:val="24"/>
          <w:highlight w:val="none"/>
          <w:lang w:val="en-US" w:eastAsia="zh-CN" w:bidi="ar"/>
        </w:rPr>
        <w:t>2</w:t>
      </w:r>
      <w:r>
        <w:rPr>
          <w:rFonts w:hint="eastAsia" w:ascii="Times New Roman" w:hAnsi="Times New Roman" w:eastAsia="仿宋_GB2312" w:cs="Times New Roman"/>
          <w:b/>
          <w:bCs/>
          <w:color w:val="000000"/>
          <w:kern w:val="0"/>
          <w:sz w:val="24"/>
          <w:szCs w:val="24"/>
          <w:highlight w:val="none"/>
          <w:lang w:val="en-US" w:eastAsia="zh-CN" w:bidi="ar"/>
        </w:rPr>
        <w:t>年部门整体支出绩效目标</w:t>
      </w:r>
      <w:r>
        <w:rPr>
          <w:rFonts w:hint="default" w:ascii="Times New Roman" w:hAnsi="Times New Roman" w:eastAsia="仿宋_GB2312" w:cs="Times New Roman"/>
          <w:b/>
          <w:bCs/>
          <w:color w:val="000000"/>
          <w:kern w:val="0"/>
          <w:sz w:val="24"/>
          <w:szCs w:val="24"/>
          <w:highlight w:val="none"/>
          <w:lang w:val="en-US" w:eastAsia="zh-CN" w:bidi="ar"/>
        </w:rPr>
        <w:t>表</w:t>
      </w:r>
    </w:p>
    <w:tbl>
      <w:tblPr>
        <w:tblStyle w:val="4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02"/>
        <w:gridCol w:w="961"/>
        <w:gridCol w:w="1076"/>
        <w:gridCol w:w="1500"/>
        <w:gridCol w:w="2220"/>
        <w:gridCol w:w="2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blHeader/>
          <w:jc w:val="center"/>
        </w:trPr>
        <w:tc>
          <w:tcPr>
            <w:tcW w:w="1667" w:type="pct"/>
            <w:gridSpan w:val="3"/>
            <w:shd w:val="clear" w:color="auto" w:fill="BEBEBE" w:themeFill="background1" w:themeFillShade="BF"/>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24"/>
                <w:szCs w:val="24"/>
                <w:highlight w:val="none"/>
                <w:lang w:val="en-US" w:eastAsia="zh-CN" w:bidi="ar"/>
              </w:rPr>
            </w:pPr>
            <w:r>
              <w:rPr>
                <w:rFonts w:hint="eastAsia" w:ascii="Times New Roman" w:hAnsi="Times New Roman" w:eastAsia="仿宋_GB2312" w:cs="Times New Roman"/>
                <w:b/>
                <w:bCs/>
                <w:color w:val="000000"/>
                <w:kern w:val="0"/>
                <w:sz w:val="24"/>
                <w:szCs w:val="24"/>
                <w:highlight w:val="none"/>
                <w:lang w:val="en-US" w:eastAsia="zh-CN" w:bidi="ar"/>
              </w:rPr>
              <w:t>项目名称</w:t>
            </w:r>
          </w:p>
        </w:tc>
        <w:tc>
          <w:tcPr>
            <w:tcW w:w="3332" w:type="pct"/>
            <w:gridSpan w:val="3"/>
            <w:shd w:val="clear" w:color="auto" w:fill="BEBEBE" w:themeFill="background1" w:themeFillShade="BF"/>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lang w:val="en-US" w:eastAsia="zh-CN" w:bidi="ar"/>
              </w:rPr>
            </w:pPr>
            <w:r>
              <w:rPr>
                <w:rFonts w:hint="eastAsia" w:ascii="Times New Roman" w:hAnsi="Times New Roman" w:eastAsia="仿宋_GB2312" w:cs="Times New Roman"/>
                <w:b/>
                <w:bCs/>
                <w:color w:val="000000"/>
                <w:kern w:val="0"/>
                <w:sz w:val="24"/>
                <w:szCs w:val="24"/>
                <w:highlight w:val="none"/>
                <w:lang w:val="en-US" w:eastAsia="zh-CN" w:bidi="ar"/>
              </w:rPr>
              <w:t>202</w:t>
            </w:r>
            <w:r>
              <w:rPr>
                <w:rFonts w:hint="eastAsia" w:eastAsia="仿宋_GB2312" w:cs="Times New Roman"/>
                <w:b/>
                <w:bCs/>
                <w:color w:val="000000"/>
                <w:kern w:val="0"/>
                <w:sz w:val="24"/>
                <w:szCs w:val="24"/>
                <w:highlight w:val="none"/>
                <w:lang w:val="en-US" w:eastAsia="zh-CN" w:bidi="ar"/>
              </w:rPr>
              <w:t>2</w:t>
            </w:r>
            <w:r>
              <w:rPr>
                <w:rFonts w:hint="eastAsia" w:ascii="Times New Roman" w:hAnsi="Times New Roman" w:eastAsia="仿宋_GB2312" w:cs="Times New Roman"/>
                <w:b/>
                <w:bCs/>
                <w:color w:val="000000"/>
                <w:kern w:val="0"/>
                <w:sz w:val="24"/>
                <w:szCs w:val="24"/>
                <w:highlight w:val="none"/>
                <w:lang w:val="en-US" w:eastAsia="zh-CN" w:bidi="ar"/>
              </w:rPr>
              <w:t>年</w:t>
            </w:r>
            <w:r>
              <w:rPr>
                <w:rFonts w:hint="eastAsia" w:eastAsia="仿宋_GB2312" w:cs="Times New Roman"/>
                <w:b/>
                <w:bCs/>
                <w:color w:val="000000"/>
                <w:kern w:val="0"/>
                <w:sz w:val="24"/>
                <w:szCs w:val="24"/>
                <w:highlight w:val="none"/>
                <w:lang w:val="en-US" w:eastAsia="zh-CN" w:bidi="ar"/>
              </w:rPr>
              <w:t>部门整体支出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blHeader/>
          <w:jc w:val="center"/>
        </w:trPr>
        <w:tc>
          <w:tcPr>
            <w:tcW w:w="1667" w:type="pct"/>
            <w:gridSpan w:val="3"/>
            <w:shd w:val="clear" w:color="auto" w:fill="BEBEBE" w:themeFill="background1" w:themeFillShade="BF"/>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24"/>
                <w:szCs w:val="24"/>
                <w:highlight w:val="none"/>
                <w:lang w:val="en-US" w:eastAsia="zh-CN" w:bidi="ar"/>
              </w:rPr>
            </w:pPr>
            <w:r>
              <w:rPr>
                <w:rFonts w:hint="eastAsia" w:ascii="Times New Roman" w:hAnsi="Times New Roman" w:eastAsia="仿宋_GB2312" w:cs="Times New Roman"/>
                <w:b/>
                <w:bCs/>
                <w:color w:val="000000"/>
                <w:kern w:val="0"/>
                <w:sz w:val="24"/>
                <w:szCs w:val="24"/>
                <w:highlight w:val="none"/>
                <w:lang w:val="en-US" w:eastAsia="zh-CN" w:bidi="ar"/>
              </w:rPr>
              <w:t>预算单位</w:t>
            </w:r>
          </w:p>
        </w:tc>
        <w:tc>
          <w:tcPr>
            <w:tcW w:w="3332" w:type="pct"/>
            <w:gridSpan w:val="3"/>
            <w:shd w:val="clear" w:color="auto" w:fill="BEBEBE" w:themeFill="background1" w:themeFillShade="BF"/>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24"/>
                <w:szCs w:val="24"/>
                <w:highlight w:val="none"/>
                <w:lang w:val="en-US" w:eastAsia="zh-CN" w:bidi="ar"/>
              </w:rPr>
            </w:pPr>
            <w:r>
              <w:rPr>
                <w:rFonts w:hint="eastAsia" w:eastAsia="仿宋_GB2312" w:cs="Times New Roman"/>
                <w:b/>
                <w:bCs/>
                <w:color w:val="000000"/>
                <w:kern w:val="0"/>
                <w:sz w:val="24"/>
                <w:szCs w:val="24"/>
                <w:highlight w:val="none"/>
                <w:lang w:val="en-US" w:eastAsia="zh-CN" w:bidi="ar"/>
              </w:rPr>
              <w:t>阿坝县残疾人联合会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11" w:type="pct"/>
            <w:vMerge w:val="restar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预算执行情况</w:t>
            </w:r>
            <w:r>
              <w:rPr>
                <w:rFonts w:hint="eastAsia" w:eastAsia="仿宋_GB2312" w:cs="Times New Roman"/>
                <w:color w:val="000000"/>
                <w:kern w:val="0"/>
                <w:sz w:val="24"/>
                <w:szCs w:val="24"/>
                <w:highlight w:val="none"/>
                <w:lang w:val="en-US" w:eastAsia="zh-CN" w:bidi="ar"/>
              </w:rPr>
              <w:t>（</w:t>
            </w:r>
            <w:r>
              <w:rPr>
                <w:rFonts w:hint="eastAsia" w:ascii="Times New Roman" w:hAnsi="Times New Roman" w:eastAsia="仿宋_GB2312" w:cs="Times New Roman"/>
                <w:color w:val="000000"/>
                <w:kern w:val="0"/>
                <w:sz w:val="24"/>
                <w:szCs w:val="24"/>
                <w:highlight w:val="none"/>
                <w:lang w:val="en-US" w:eastAsia="zh-CN" w:bidi="ar"/>
              </w:rPr>
              <w:t>万元</w:t>
            </w:r>
            <w:r>
              <w:rPr>
                <w:rFonts w:hint="eastAsia" w:eastAsia="仿宋_GB2312" w:cs="Times New Roman"/>
                <w:color w:val="000000"/>
                <w:kern w:val="0"/>
                <w:sz w:val="24"/>
                <w:szCs w:val="24"/>
                <w:highlight w:val="none"/>
                <w:lang w:val="en-US" w:eastAsia="zh-CN" w:bidi="ar"/>
              </w:rPr>
              <w:t>）</w:t>
            </w:r>
          </w:p>
        </w:tc>
        <w:tc>
          <w:tcPr>
            <w:tcW w:w="1155" w:type="pct"/>
            <w:gridSpan w:val="2"/>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预算数</w:t>
            </w:r>
            <w:r>
              <w:rPr>
                <w:rFonts w:hint="eastAsia" w:eastAsia="仿宋_GB2312" w:cs="Times New Roman"/>
                <w:color w:val="000000"/>
                <w:kern w:val="0"/>
                <w:sz w:val="24"/>
                <w:szCs w:val="24"/>
                <w:highlight w:val="none"/>
                <w:lang w:val="en-US" w:eastAsia="zh-CN" w:bidi="ar"/>
              </w:rPr>
              <w:t>：</w:t>
            </w:r>
          </w:p>
        </w:tc>
        <w:tc>
          <w:tcPr>
            <w:tcW w:w="851" w:type="pct"/>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480" w:firstLineChars="20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382.06</w:t>
            </w:r>
          </w:p>
        </w:tc>
        <w:tc>
          <w:tcPr>
            <w:tcW w:w="1259"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执行数</w:t>
            </w:r>
            <w:r>
              <w:rPr>
                <w:rFonts w:hint="eastAsia" w:eastAsia="仿宋_GB2312" w:cs="Times New Roman"/>
                <w:color w:val="000000"/>
                <w:kern w:val="0"/>
                <w:sz w:val="24"/>
                <w:szCs w:val="24"/>
                <w:highlight w:val="none"/>
                <w:lang w:val="en-US" w:eastAsia="zh-CN" w:bidi="ar"/>
              </w:rPr>
              <w:t>：</w:t>
            </w:r>
          </w:p>
        </w:tc>
        <w:tc>
          <w:tcPr>
            <w:tcW w:w="1221" w:type="pct"/>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480" w:firstLineChars="20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382.06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11" w:type="pct"/>
            <w:vMerge w:val="continue"/>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c>
          <w:tcPr>
            <w:tcW w:w="1155" w:type="pct"/>
            <w:gridSpan w:val="2"/>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其中-财政拨款</w:t>
            </w:r>
            <w:r>
              <w:rPr>
                <w:rFonts w:hint="eastAsia" w:eastAsia="仿宋_GB2312" w:cs="Times New Roman"/>
                <w:color w:val="000000"/>
                <w:kern w:val="0"/>
                <w:sz w:val="24"/>
                <w:szCs w:val="24"/>
                <w:highlight w:val="none"/>
                <w:lang w:val="en-US" w:eastAsia="zh-CN" w:bidi="ar"/>
              </w:rPr>
              <w:t>：</w:t>
            </w:r>
          </w:p>
        </w:tc>
        <w:tc>
          <w:tcPr>
            <w:tcW w:w="851" w:type="pct"/>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480" w:firstLineChars="20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382.06</w:t>
            </w:r>
          </w:p>
        </w:tc>
        <w:tc>
          <w:tcPr>
            <w:tcW w:w="1259"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其中-财政拨款</w:t>
            </w:r>
            <w:r>
              <w:rPr>
                <w:rFonts w:hint="eastAsia" w:eastAsia="仿宋_GB2312" w:cs="Times New Roman"/>
                <w:color w:val="000000"/>
                <w:kern w:val="0"/>
                <w:sz w:val="24"/>
                <w:szCs w:val="24"/>
                <w:highlight w:val="none"/>
                <w:lang w:val="en-US" w:eastAsia="zh-CN" w:bidi="ar"/>
              </w:rPr>
              <w:t>：</w:t>
            </w:r>
          </w:p>
        </w:tc>
        <w:tc>
          <w:tcPr>
            <w:tcW w:w="1221" w:type="pct"/>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480" w:firstLineChars="20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382.06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11" w:type="pct"/>
            <w:vMerge w:val="restar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年度目标完成情况</w:t>
            </w:r>
          </w:p>
        </w:tc>
        <w:tc>
          <w:tcPr>
            <w:tcW w:w="2007" w:type="pct"/>
            <w:gridSpan w:val="3"/>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预期目标</w:t>
            </w:r>
          </w:p>
        </w:tc>
        <w:tc>
          <w:tcPr>
            <w:tcW w:w="2480" w:type="pct"/>
            <w:gridSpan w:val="2"/>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实际完成目标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11" w:type="pct"/>
            <w:vMerge w:val="continue"/>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c>
          <w:tcPr>
            <w:tcW w:w="2007" w:type="pct"/>
            <w:gridSpan w:val="3"/>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代表县残疾人共同利益，维护残疾人合法权益；团结教育残疾人，为残疾人服务；履行法律赋予的职责，承担政府委托的任务，管理和发展残疾人事业。</w:t>
            </w:r>
          </w:p>
        </w:tc>
        <w:tc>
          <w:tcPr>
            <w:tcW w:w="2480" w:type="pct"/>
            <w:gridSpan w:val="2"/>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代表县残疾人共同利益，维护残疾人合法权益；团结教育残疾人，为残疾人服务；履行法律赋予的职责，承担政府委托的任务，管理和发展残疾人事业。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11" w:type="pct"/>
            <w:vMerge w:val="restar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绩效指标完成情况</w:t>
            </w:r>
          </w:p>
        </w:tc>
        <w:tc>
          <w:tcPr>
            <w:tcW w:w="545"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一级指标</w:t>
            </w:r>
          </w:p>
        </w:tc>
        <w:tc>
          <w:tcPr>
            <w:tcW w:w="610"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二级指标</w:t>
            </w:r>
          </w:p>
        </w:tc>
        <w:tc>
          <w:tcPr>
            <w:tcW w:w="851"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三级指标</w:t>
            </w:r>
          </w:p>
        </w:tc>
        <w:tc>
          <w:tcPr>
            <w:tcW w:w="1259"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预期指标值</w:t>
            </w:r>
            <w:r>
              <w:rPr>
                <w:rFonts w:hint="eastAsia" w:eastAsia="仿宋_GB2312" w:cs="Times New Roman"/>
                <w:color w:val="000000"/>
                <w:kern w:val="0"/>
                <w:sz w:val="24"/>
                <w:szCs w:val="24"/>
                <w:highlight w:val="none"/>
                <w:lang w:val="en-US" w:eastAsia="zh-CN" w:bidi="ar"/>
              </w:rPr>
              <w:t>（</w:t>
            </w:r>
            <w:r>
              <w:rPr>
                <w:rFonts w:hint="eastAsia" w:ascii="Times New Roman" w:hAnsi="Times New Roman" w:eastAsia="仿宋_GB2312" w:cs="Times New Roman"/>
                <w:color w:val="000000"/>
                <w:kern w:val="0"/>
                <w:sz w:val="24"/>
                <w:szCs w:val="24"/>
                <w:highlight w:val="none"/>
                <w:lang w:val="en-US" w:eastAsia="zh-CN" w:bidi="ar"/>
              </w:rPr>
              <w:t>包含数字及文字描述</w:t>
            </w:r>
            <w:r>
              <w:rPr>
                <w:rFonts w:hint="eastAsia" w:eastAsia="仿宋_GB2312" w:cs="Times New Roman"/>
                <w:color w:val="000000"/>
                <w:kern w:val="0"/>
                <w:sz w:val="24"/>
                <w:szCs w:val="24"/>
                <w:highlight w:val="none"/>
                <w:lang w:val="en-US" w:eastAsia="zh-CN" w:bidi="ar"/>
              </w:rPr>
              <w:t>）</w:t>
            </w:r>
          </w:p>
        </w:tc>
        <w:tc>
          <w:tcPr>
            <w:tcW w:w="1221"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实际完成指标值</w:t>
            </w:r>
            <w:r>
              <w:rPr>
                <w:rFonts w:hint="eastAsia" w:eastAsia="仿宋_GB2312" w:cs="Times New Roman"/>
                <w:color w:val="000000"/>
                <w:kern w:val="0"/>
                <w:sz w:val="24"/>
                <w:szCs w:val="24"/>
                <w:highlight w:val="none"/>
                <w:lang w:val="en-US" w:eastAsia="zh-CN" w:bidi="ar"/>
              </w:rPr>
              <w:t>（</w:t>
            </w:r>
            <w:r>
              <w:rPr>
                <w:rFonts w:hint="eastAsia" w:ascii="Times New Roman" w:hAnsi="Times New Roman" w:eastAsia="仿宋_GB2312" w:cs="Times New Roman"/>
                <w:color w:val="000000"/>
                <w:kern w:val="0"/>
                <w:sz w:val="24"/>
                <w:szCs w:val="24"/>
                <w:highlight w:val="none"/>
                <w:lang w:val="en-US" w:eastAsia="zh-CN" w:bidi="ar"/>
              </w:rPr>
              <w:t>包含数字及文字描述</w:t>
            </w:r>
            <w:r>
              <w:rPr>
                <w:rFonts w:hint="eastAsia" w:eastAsia="仿宋_GB2312" w:cs="Times New Roman"/>
                <w:color w:val="000000"/>
                <w:kern w:val="0"/>
                <w:sz w:val="24"/>
                <w:szCs w:val="24"/>
                <w:highlight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11" w:type="pct"/>
            <w:vMerge w:val="continue"/>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c>
          <w:tcPr>
            <w:tcW w:w="545"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项目完成指标</w:t>
            </w:r>
          </w:p>
        </w:tc>
        <w:tc>
          <w:tcPr>
            <w:tcW w:w="610"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质量指标</w:t>
            </w:r>
          </w:p>
        </w:tc>
        <w:tc>
          <w:tcPr>
            <w:tcW w:w="851"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数量指标</w:t>
            </w:r>
          </w:p>
        </w:tc>
        <w:tc>
          <w:tcPr>
            <w:tcW w:w="1259"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≥60万元</w:t>
            </w:r>
          </w:p>
        </w:tc>
        <w:tc>
          <w:tcPr>
            <w:tcW w:w="1221"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11" w:type="pct"/>
            <w:vMerge w:val="continue"/>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c>
          <w:tcPr>
            <w:tcW w:w="545"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效益指标</w:t>
            </w:r>
          </w:p>
        </w:tc>
        <w:tc>
          <w:tcPr>
            <w:tcW w:w="610"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经济效益指标</w:t>
            </w:r>
          </w:p>
        </w:tc>
        <w:tc>
          <w:tcPr>
            <w:tcW w:w="851"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社会效益指标</w:t>
            </w:r>
          </w:p>
        </w:tc>
        <w:tc>
          <w:tcPr>
            <w:tcW w:w="1259"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≥30人/户</w:t>
            </w:r>
          </w:p>
        </w:tc>
        <w:tc>
          <w:tcPr>
            <w:tcW w:w="1221"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11" w:type="pct"/>
            <w:vMerge w:val="continue"/>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c>
          <w:tcPr>
            <w:tcW w:w="545"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满意度指标</w:t>
            </w:r>
          </w:p>
        </w:tc>
        <w:tc>
          <w:tcPr>
            <w:tcW w:w="610"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帮扶对象满意度指标</w:t>
            </w:r>
          </w:p>
        </w:tc>
        <w:tc>
          <w:tcPr>
            <w:tcW w:w="851"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服务对象满意度</w:t>
            </w:r>
          </w:p>
        </w:tc>
        <w:tc>
          <w:tcPr>
            <w:tcW w:w="1259"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≥100分</w:t>
            </w:r>
          </w:p>
        </w:tc>
        <w:tc>
          <w:tcPr>
            <w:tcW w:w="1221"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综上所述，根据阿坝县残疾人联合会</w:t>
      </w:r>
      <w:r>
        <w:rPr>
          <w:rFonts w:hint="eastAsia"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部门整体支出</w:t>
      </w:r>
      <w:r>
        <w:rPr>
          <w:rFonts w:hint="eastAsia" w:ascii="Times New Roman" w:hAnsi="Times New Roman" w:eastAsia="仿宋_GB2312" w:cs="Times New Roman"/>
          <w:color w:val="000000"/>
          <w:kern w:val="0"/>
          <w:sz w:val="32"/>
          <w:szCs w:val="32"/>
          <w:highlight w:val="none"/>
          <w:lang w:val="en-US" w:eastAsia="zh-CN" w:bidi="ar"/>
        </w:rPr>
        <w:t>绩效目标</w:t>
      </w:r>
      <w:r>
        <w:rPr>
          <w:rFonts w:hint="eastAsia" w:eastAsia="仿宋_GB2312" w:cs="Times New Roman"/>
          <w:color w:val="000000"/>
          <w:kern w:val="0"/>
          <w:sz w:val="32"/>
          <w:szCs w:val="32"/>
          <w:highlight w:val="none"/>
          <w:lang w:val="en-US" w:eastAsia="zh-CN" w:bidi="ar"/>
        </w:rPr>
        <w:t>设置情况，指标得分为4分。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b/>
          <w:bCs/>
          <w:kern w:val="0"/>
          <w:sz w:val="32"/>
          <w:szCs w:val="32"/>
          <w:highlight w:val="none"/>
          <w:shd w:val="clear" w:color="auto" w:fill="FFFFFF"/>
          <w:lang w:val="en-US" w:eastAsia="zh-CN"/>
        </w:rPr>
        <w:t>——目标实现指标分析（权重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7</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2022年阿坝县残疾人联合会编制部门项目数量指标共计8个，目标实现程度如下：</w:t>
      </w:r>
    </w:p>
    <w:tbl>
      <w:tblPr>
        <w:tblStyle w:val="40"/>
        <w:tblW w:w="9169"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63"/>
        <w:gridCol w:w="2071"/>
        <w:gridCol w:w="2563"/>
        <w:gridCol w:w="1593"/>
        <w:gridCol w:w="1436"/>
        <w:gridCol w:w="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71" w:type="dxa"/>
            <w:shd w:val="clear" w:color="auto" w:fill="BEBEBE" w:themeFill="background1" w:themeFillShade="BF"/>
            <w:vAlign w:val="center"/>
          </w:tcPr>
          <w:p>
            <w:pPr>
              <w:keepNext w:val="0"/>
              <w:keepLines w:val="0"/>
              <w:widowControl/>
              <w:suppressLineNumbers w:val="0"/>
              <w:ind w:left="0" w:leftChars="0" w:firstLine="0" w:firstLineChars="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序号</w:t>
            </w:r>
          </w:p>
        </w:tc>
        <w:tc>
          <w:tcPr>
            <w:tcW w:w="2114" w:type="dxa"/>
            <w:shd w:val="clear" w:color="auto" w:fill="BEBEBE" w:themeFill="background1" w:themeFillShade="BF"/>
            <w:vAlign w:val="center"/>
          </w:tcPr>
          <w:p>
            <w:pPr>
              <w:keepNext w:val="0"/>
              <w:keepLines w:val="0"/>
              <w:widowControl/>
              <w:suppressLineNumbers w:val="0"/>
              <w:ind w:left="0" w:leftChars="0" w:firstLine="0" w:firstLineChars="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项目名称</w:t>
            </w:r>
          </w:p>
        </w:tc>
        <w:tc>
          <w:tcPr>
            <w:tcW w:w="2616" w:type="dxa"/>
            <w:shd w:val="clear" w:color="auto" w:fill="BEBEBE" w:themeFill="background1" w:themeFillShade="BF"/>
            <w:vAlign w:val="center"/>
          </w:tcPr>
          <w:p>
            <w:pPr>
              <w:keepNext w:val="0"/>
              <w:keepLines w:val="0"/>
              <w:widowControl/>
              <w:suppressLineNumbers w:val="0"/>
              <w:ind w:left="0" w:leftChars="0" w:firstLine="0" w:firstLineChars="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绩效目标数量</w:t>
            </w:r>
          </w:p>
        </w:tc>
        <w:tc>
          <w:tcPr>
            <w:tcW w:w="1620" w:type="dxa"/>
            <w:shd w:val="clear" w:color="auto" w:fill="BEBEBE" w:themeFill="background1" w:themeFillShade="BF"/>
            <w:vAlign w:val="center"/>
          </w:tcPr>
          <w:p>
            <w:pPr>
              <w:keepNext w:val="0"/>
              <w:keepLines w:val="0"/>
              <w:widowControl/>
              <w:suppressLineNumbers w:val="0"/>
              <w:ind w:left="0" w:leftChars="0" w:firstLine="0" w:firstLineChars="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实际完成绩效目标数量</w:t>
            </w:r>
          </w:p>
        </w:tc>
        <w:tc>
          <w:tcPr>
            <w:tcW w:w="1297" w:type="dxa"/>
            <w:shd w:val="clear" w:color="auto" w:fill="BEBEBE" w:themeFill="background1" w:themeFillShade="BF"/>
            <w:vAlign w:val="center"/>
          </w:tcPr>
          <w:p>
            <w:pPr>
              <w:keepNext w:val="0"/>
              <w:keepLines w:val="0"/>
              <w:widowControl/>
              <w:suppressLineNumbers w:val="0"/>
              <w:ind w:left="0" w:leftChars="0" w:firstLine="0" w:firstLineChars="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目标实现率（%）</w:t>
            </w:r>
          </w:p>
        </w:tc>
        <w:tc>
          <w:tcPr>
            <w:tcW w:w="751" w:type="dxa"/>
            <w:shd w:val="clear" w:color="auto" w:fill="BEBEBE" w:themeFill="background1" w:themeFillShade="BF"/>
            <w:vAlign w:val="center"/>
          </w:tcPr>
          <w:p>
            <w:pPr>
              <w:keepNext w:val="0"/>
              <w:keepLines w:val="0"/>
              <w:widowControl/>
              <w:suppressLineNumbers w:val="0"/>
              <w:ind w:left="0" w:leftChars="0" w:firstLine="0" w:firstLineChars="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771"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val="0"/>
                <w:bCs w:val="0"/>
                <w:color w:val="000000"/>
                <w:kern w:val="0"/>
                <w:sz w:val="24"/>
                <w:szCs w:val="24"/>
                <w:highlight w:val="none"/>
                <w:lang w:val="en-US" w:eastAsia="zh-CN" w:bidi="ar"/>
              </w:rPr>
            </w:pPr>
            <w:r>
              <w:rPr>
                <w:rFonts w:hint="eastAsia" w:ascii="Times New Roman" w:hAnsi="Times New Roman" w:eastAsia="仿宋_GB2312" w:cs="Times New Roman"/>
                <w:b w:val="0"/>
                <w:bCs w:val="0"/>
                <w:color w:val="000000"/>
                <w:kern w:val="0"/>
                <w:sz w:val="24"/>
                <w:szCs w:val="24"/>
                <w:highlight w:val="none"/>
                <w:lang w:val="en-US" w:eastAsia="zh-CN" w:bidi="ar"/>
              </w:rPr>
              <w:t>1</w:t>
            </w:r>
          </w:p>
        </w:tc>
        <w:tc>
          <w:tcPr>
            <w:tcW w:w="2114" w:type="dxa"/>
            <w:vMerge w:val="restart"/>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残疾人事业补助资金项目</w:t>
            </w:r>
          </w:p>
        </w:tc>
        <w:tc>
          <w:tcPr>
            <w:tcW w:w="2616"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接受基本康复服务的残疾人数≥7人</w:t>
            </w:r>
          </w:p>
        </w:tc>
        <w:tc>
          <w:tcPr>
            <w:tcW w:w="1620"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7人</w:t>
            </w:r>
          </w:p>
        </w:tc>
        <w:tc>
          <w:tcPr>
            <w:tcW w:w="1297"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100%</w:t>
            </w:r>
          </w:p>
        </w:tc>
        <w:tc>
          <w:tcPr>
            <w:tcW w:w="751"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771"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val="0"/>
                <w:bCs w:val="0"/>
                <w:color w:val="000000"/>
                <w:kern w:val="0"/>
                <w:sz w:val="24"/>
                <w:szCs w:val="24"/>
                <w:highlight w:val="none"/>
                <w:lang w:val="en-US" w:eastAsia="zh-CN" w:bidi="ar"/>
              </w:rPr>
            </w:pPr>
            <w:r>
              <w:rPr>
                <w:rFonts w:hint="eastAsia" w:eastAsia="仿宋_GB2312" w:cs="Times New Roman"/>
                <w:b w:val="0"/>
                <w:bCs w:val="0"/>
                <w:color w:val="000000"/>
                <w:kern w:val="0"/>
                <w:sz w:val="24"/>
                <w:szCs w:val="24"/>
                <w:highlight w:val="none"/>
                <w:lang w:val="en-US" w:eastAsia="zh-CN" w:bidi="ar"/>
              </w:rPr>
              <w:t>2</w:t>
            </w:r>
          </w:p>
        </w:tc>
        <w:tc>
          <w:tcPr>
            <w:tcW w:w="2114" w:type="dxa"/>
            <w:vMerge w:val="continue"/>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c>
          <w:tcPr>
            <w:tcW w:w="2616"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残疾人文化活动人数≥31人</w:t>
            </w:r>
          </w:p>
        </w:tc>
        <w:tc>
          <w:tcPr>
            <w:tcW w:w="1620"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31人</w:t>
            </w:r>
          </w:p>
        </w:tc>
        <w:tc>
          <w:tcPr>
            <w:tcW w:w="1297"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480" w:firstLineChars="20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100%</w:t>
            </w:r>
          </w:p>
        </w:tc>
        <w:tc>
          <w:tcPr>
            <w:tcW w:w="751"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771"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eastAsia="仿宋_GB2312" w:cs="Times New Roman"/>
                <w:b w:val="0"/>
                <w:bCs w:val="0"/>
                <w:color w:val="000000"/>
                <w:kern w:val="0"/>
                <w:sz w:val="24"/>
                <w:szCs w:val="24"/>
                <w:highlight w:val="none"/>
                <w:lang w:val="en-US" w:eastAsia="zh-CN" w:bidi="ar"/>
              </w:rPr>
            </w:pPr>
            <w:r>
              <w:rPr>
                <w:rFonts w:hint="eastAsia" w:eastAsia="仿宋_GB2312" w:cs="Times New Roman"/>
                <w:b w:val="0"/>
                <w:bCs w:val="0"/>
                <w:color w:val="000000"/>
                <w:kern w:val="0"/>
                <w:sz w:val="24"/>
                <w:szCs w:val="24"/>
                <w:highlight w:val="none"/>
                <w:lang w:val="en-US" w:eastAsia="zh-CN" w:bidi="ar"/>
              </w:rPr>
              <w:t>3</w:t>
            </w:r>
          </w:p>
        </w:tc>
        <w:tc>
          <w:tcPr>
            <w:tcW w:w="2114" w:type="dxa"/>
            <w:vMerge w:val="continue"/>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c>
          <w:tcPr>
            <w:tcW w:w="2616"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贫困重度残疾人家庭无障碍改造户数≥47户</w:t>
            </w:r>
          </w:p>
        </w:tc>
        <w:tc>
          <w:tcPr>
            <w:tcW w:w="1620"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47户</w:t>
            </w:r>
          </w:p>
        </w:tc>
        <w:tc>
          <w:tcPr>
            <w:tcW w:w="1297"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480" w:firstLineChars="20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100%</w:t>
            </w:r>
          </w:p>
        </w:tc>
        <w:tc>
          <w:tcPr>
            <w:tcW w:w="751"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771"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eastAsia="仿宋_GB2312" w:cs="Times New Roman"/>
                <w:b w:val="0"/>
                <w:bCs w:val="0"/>
                <w:color w:val="000000"/>
                <w:kern w:val="0"/>
                <w:sz w:val="24"/>
                <w:szCs w:val="24"/>
                <w:highlight w:val="none"/>
                <w:lang w:val="en-US" w:eastAsia="zh-CN" w:bidi="ar"/>
              </w:rPr>
            </w:pPr>
            <w:r>
              <w:rPr>
                <w:rFonts w:hint="eastAsia" w:eastAsia="仿宋_GB2312" w:cs="Times New Roman"/>
                <w:b w:val="0"/>
                <w:bCs w:val="0"/>
                <w:color w:val="000000"/>
                <w:kern w:val="0"/>
                <w:sz w:val="24"/>
                <w:szCs w:val="24"/>
                <w:highlight w:val="none"/>
                <w:lang w:val="en-US" w:eastAsia="zh-CN" w:bidi="ar"/>
              </w:rPr>
              <w:t>4</w:t>
            </w:r>
          </w:p>
        </w:tc>
        <w:tc>
          <w:tcPr>
            <w:tcW w:w="2114" w:type="dxa"/>
            <w:vMerge w:val="continue"/>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c>
          <w:tcPr>
            <w:tcW w:w="2616"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农村残疾人实用技术培训人数≥50人</w:t>
            </w:r>
          </w:p>
        </w:tc>
        <w:tc>
          <w:tcPr>
            <w:tcW w:w="1620"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50人</w:t>
            </w:r>
          </w:p>
        </w:tc>
        <w:tc>
          <w:tcPr>
            <w:tcW w:w="1297"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480" w:firstLineChars="20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100%</w:t>
            </w:r>
          </w:p>
        </w:tc>
        <w:tc>
          <w:tcPr>
            <w:tcW w:w="751"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771"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eastAsia="仿宋_GB2312" w:cs="Times New Roman"/>
                <w:b w:val="0"/>
                <w:bCs w:val="0"/>
                <w:color w:val="000000"/>
                <w:kern w:val="0"/>
                <w:sz w:val="24"/>
                <w:szCs w:val="24"/>
                <w:highlight w:val="none"/>
                <w:lang w:val="en-US" w:eastAsia="zh-CN" w:bidi="ar"/>
              </w:rPr>
            </w:pPr>
            <w:r>
              <w:rPr>
                <w:rFonts w:hint="eastAsia" w:eastAsia="仿宋_GB2312" w:cs="Times New Roman"/>
                <w:b w:val="0"/>
                <w:bCs w:val="0"/>
                <w:color w:val="000000"/>
                <w:kern w:val="0"/>
                <w:sz w:val="24"/>
                <w:szCs w:val="24"/>
                <w:highlight w:val="none"/>
                <w:lang w:val="en-US" w:eastAsia="zh-CN" w:bidi="ar"/>
              </w:rPr>
              <w:t>5</w:t>
            </w:r>
          </w:p>
        </w:tc>
        <w:tc>
          <w:tcPr>
            <w:tcW w:w="2114" w:type="dxa"/>
            <w:vMerge w:val="continue"/>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c>
          <w:tcPr>
            <w:tcW w:w="2616"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托养残疾人人数≥150人</w:t>
            </w:r>
          </w:p>
        </w:tc>
        <w:tc>
          <w:tcPr>
            <w:tcW w:w="1620"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150人</w:t>
            </w:r>
          </w:p>
        </w:tc>
        <w:tc>
          <w:tcPr>
            <w:tcW w:w="1297"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480" w:firstLineChars="20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100%</w:t>
            </w:r>
          </w:p>
        </w:tc>
        <w:tc>
          <w:tcPr>
            <w:tcW w:w="751"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771"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eastAsia="仿宋_GB2312" w:cs="Times New Roman"/>
                <w:b w:val="0"/>
                <w:bCs w:val="0"/>
                <w:color w:val="000000"/>
                <w:kern w:val="0"/>
                <w:sz w:val="24"/>
                <w:szCs w:val="24"/>
                <w:highlight w:val="none"/>
                <w:lang w:val="en-US" w:eastAsia="zh-CN" w:bidi="ar"/>
              </w:rPr>
            </w:pPr>
            <w:r>
              <w:rPr>
                <w:rFonts w:hint="eastAsia" w:eastAsia="仿宋_GB2312" w:cs="Times New Roman"/>
                <w:b w:val="0"/>
                <w:bCs w:val="0"/>
                <w:color w:val="000000"/>
                <w:kern w:val="0"/>
                <w:sz w:val="24"/>
                <w:szCs w:val="24"/>
                <w:highlight w:val="none"/>
                <w:lang w:val="en-US" w:eastAsia="zh-CN" w:bidi="ar"/>
              </w:rPr>
              <w:t>6</w:t>
            </w:r>
          </w:p>
        </w:tc>
        <w:tc>
          <w:tcPr>
            <w:tcW w:w="2114" w:type="dxa"/>
            <w:vMerge w:val="continue"/>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c>
          <w:tcPr>
            <w:tcW w:w="2616"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残疾人机动车燃油补贴人数≥360人</w:t>
            </w:r>
          </w:p>
        </w:tc>
        <w:tc>
          <w:tcPr>
            <w:tcW w:w="1620"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360人</w:t>
            </w:r>
          </w:p>
        </w:tc>
        <w:tc>
          <w:tcPr>
            <w:tcW w:w="1297"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480" w:firstLineChars="20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100%</w:t>
            </w:r>
          </w:p>
        </w:tc>
        <w:tc>
          <w:tcPr>
            <w:tcW w:w="751"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771"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eastAsia="仿宋_GB2312" w:cs="Times New Roman"/>
                <w:b w:val="0"/>
                <w:bCs w:val="0"/>
                <w:color w:val="000000"/>
                <w:kern w:val="0"/>
                <w:sz w:val="24"/>
                <w:szCs w:val="24"/>
                <w:highlight w:val="none"/>
                <w:lang w:val="en-US" w:eastAsia="zh-CN" w:bidi="ar"/>
              </w:rPr>
            </w:pPr>
            <w:r>
              <w:rPr>
                <w:rFonts w:hint="eastAsia" w:eastAsia="仿宋_GB2312" w:cs="Times New Roman"/>
                <w:b w:val="0"/>
                <w:bCs w:val="0"/>
                <w:color w:val="000000"/>
                <w:kern w:val="0"/>
                <w:sz w:val="24"/>
                <w:szCs w:val="24"/>
                <w:highlight w:val="none"/>
                <w:lang w:val="en-US" w:eastAsia="zh-CN" w:bidi="ar"/>
              </w:rPr>
              <w:t>7</w:t>
            </w:r>
          </w:p>
        </w:tc>
        <w:tc>
          <w:tcPr>
            <w:tcW w:w="2114" w:type="dxa"/>
            <w:vMerge w:val="continue"/>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c>
          <w:tcPr>
            <w:tcW w:w="2616"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残疾学生人数≥116人</w:t>
            </w:r>
          </w:p>
        </w:tc>
        <w:tc>
          <w:tcPr>
            <w:tcW w:w="1620"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85人</w:t>
            </w:r>
          </w:p>
        </w:tc>
        <w:tc>
          <w:tcPr>
            <w:tcW w:w="1297"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480" w:firstLineChars="20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73.28%</w:t>
            </w:r>
          </w:p>
        </w:tc>
        <w:tc>
          <w:tcPr>
            <w:tcW w:w="751"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771"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eastAsia="仿宋_GB2312" w:cs="Times New Roman"/>
                <w:b w:val="0"/>
                <w:bCs w:val="0"/>
                <w:color w:val="000000"/>
                <w:kern w:val="0"/>
                <w:sz w:val="24"/>
                <w:szCs w:val="24"/>
                <w:highlight w:val="none"/>
                <w:lang w:val="en-US" w:eastAsia="zh-CN" w:bidi="ar"/>
              </w:rPr>
            </w:pPr>
            <w:r>
              <w:rPr>
                <w:rFonts w:hint="eastAsia" w:eastAsia="仿宋_GB2312" w:cs="Times New Roman"/>
                <w:b w:val="0"/>
                <w:bCs w:val="0"/>
                <w:color w:val="000000"/>
                <w:kern w:val="0"/>
                <w:sz w:val="24"/>
                <w:szCs w:val="24"/>
                <w:highlight w:val="none"/>
                <w:lang w:val="en-US" w:eastAsia="zh-CN" w:bidi="ar"/>
              </w:rPr>
              <w:t>8</w:t>
            </w:r>
          </w:p>
        </w:tc>
        <w:tc>
          <w:tcPr>
            <w:tcW w:w="2114" w:type="dxa"/>
            <w:vMerge w:val="continue"/>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c>
          <w:tcPr>
            <w:tcW w:w="2616"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全县村社数≥81个</w:t>
            </w:r>
          </w:p>
        </w:tc>
        <w:tc>
          <w:tcPr>
            <w:tcW w:w="1620"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81个</w:t>
            </w:r>
          </w:p>
        </w:tc>
        <w:tc>
          <w:tcPr>
            <w:tcW w:w="1297"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480" w:firstLineChars="20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100%</w:t>
            </w:r>
          </w:p>
        </w:tc>
        <w:tc>
          <w:tcPr>
            <w:tcW w:w="751" w:type="dxa"/>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综上，</w:t>
      </w:r>
      <w:r>
        <w:rPr>
          <w:rFonts w:hint="eastAsia" w:eastAsia="仿宋_GB2312" w:cs="Times New Roman"/>
          <w:color w:val="000000"/>
          <w:kern w:val="0"/>
          <w:sz w:val="32"/>
          <w:szCs w:val="32"/>
          <w:highlight w:val="none"/>
          <w:lang w:val="en-US" w:eastAsia="zh-CN" w:bidi="ar"/>
        </w:rPr>
        <w:t>阿坝县残疾人联合会</w:t>
      </w:r>
      <w:r>
        <w:rPr>
          <w:rFonts w:hint="default"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年编制的绩效目标评价实现率为</w:t>
      </w:r>
      <w:r>
        <w:rPr>
          <w:rFonts w:hint="eastAsia" w:eastAsia="仿宋_GB2312" w:cs="Times New Roman"/>
          <w:color w:val="000000"/>
          <w:kern w:val="0"/>
          <w:sz w:val="32"/>
          <w:szCs w:val="32"/>
          <w:highlight w:val="none"/>
          <w:lang w:val="en-US" w:eastAsia="zh-CN" w:bidi="ar"/>
        </w:rPr>
        <w:t>87.5</w:t>
      </w:r>
      <w:r>
        <w:rPr>
          <w:rFonts w:hint="default" w:ascii="Times New Roman" w:hAnsi="Times New Roman" w:eastAsia="仿宋_GB2312" w:cs="Times New Roman"/>
          <w:color w:val="000000"/>
          <w:kern w:val="0"/>
          <w:sz w:val="32"/>
          <w:szCs w:val="32"/>
          <w:highlight w:val="none"/>
          <w:lang w:val="en-US" w:eastAsia="zh-CN" w:bidi="ar"/>
        </w:rPr>
        <w:t>%，共</w:t>
      </w:r>
      <w:r>
        <w:rPr>
          <w:rFonts w:hint="eastAsia" w:eastAsia="仿宋_GB2312" w:cs="Times New Roman"/>
          <w:color w:val="000000"/>
          <w:kern w:val="0"/>
          <w:sz w:val="32"/>
          <w:szCs w:val="32"/>
          <w:highlight w:val="none"/>
          <w:lang w:val="en-US" w:eastAsia="zh-CN" w:bidi="ar"/>
        </w:rPr>
        <w:t>7</w:t>
      </w:r>
      <w:r>
        <w:rPr>
          <w:rFonts w:hint="default" w:ascii="Times New Roman" w:hAnsi="Times New Roman" w:eastAsia="仿宋_GB2312" w:cs="Times New Roman"/>
          <w:color w:val="000000"/>
          <w:kern w:val="0"/>
          <w:sz w:val="32"/>
          <w:szCs w:val="32"/>
          <w:highlight w:val="none"/>
          <w:lang w:val="en-US" w:eastAsia="zh-CN" w:bidi="ar"/>
        </w:rPr>
        <w:t>个绩效目标达到预期值。该项指标得分=达到预期值的数量指标个数/全部数量指标个数（即评价选取的项目绩效目标包含的所有数量指标）*</w:t>
      </w:r>
      <w:r>
        <w:rPr>
          <w:rFonts w:hint="eastAsia" w:ascii="Times New Roman" w:hAnsi="Times New Roman" w:eastAsia="仿宋_GB2312" w:cs="Times New Roman"/>
          <w:color w:val="000000"/>
          <w:kern w:val="0"/>
          <w:sz w:val="32"/>
          <w:szCs w:val="32"/>
          <w:highlight w:val="none"/>
          <w:lang w:val="en-US" w:eastAsia="zh-CN" w:bidi="ar"/>
        </w:rPr>
        <w:t>8</w:t>
      </w:r>
      <w:r>
        <w:rPr>
          <w:rFonts w:hint="default" w:ascii="Times New Roman" w:hAnsi="Times New Roman" w:eastAsia="仿宋_GB2312" w:cs="Times New Roman"/>
          <w:color w:val="000000"/>
          <w:kern w:val="0"/>
          <w:sz w:val="32"/>
          <w:szCs w:val="32"/>
          <w:highlight w:val="none"/>
          <w:lang w:val="en-US" w:eastAsia="zh-CN" w:bidi="ar"/>
        </w:rPr>
        <w:t>分=</w:t>
      </w:r>
      <w:r>
        <w:rPr>
          <w:rFonts w:hint="eastAsia" w:eastAsia="仿宋_GB2312" w:cs="Times New Roman"/>
          <w:color w:val="000000"/>
          <w:kern w:val="0"/>
          <w:sz w:val="32"/>
          <w:szCs w:val="32"/>
          <w:highlight w:val="none"/>
          <w:lang w:val="en-US" w:eastAsia="zh-CN" w:bidi="ar"/>
        </w:rPr>
        <w:t>7</w:t>
      </w:r>
      <w:r>
        <w:rPr>
          <w:rFonts w:hint="default" w:ascii="Times New Roman" w:hAnsi="Times New Roman" w:eastAsia="仿宋_GB2312" w:cs="Times New Roman"/>
          <w:color w:val="000000"/>
          <w:kern w:val="0"/>
          <w:sz w:val="32"/>
          <w:szCs w:val="32"/>
          <w:highlight w:val="none"/>
          <w:lang w:val="en-US" w:eastAsia="zh-CN" w:bidi="ar"/>
        </w:rPr>
        <w:t>个/</w:t>
      </w:r>
      <w:r>
        <w:rPr>
          <w:rFonts w:hint="eastAsia" w:eastAsia="仿宋_GB2312" w:cs="Times New Roman"/>
          <w:color w:val="000000"/>
          <w:kern w:val="0"/>
          <w:sz w:val="32"/>
          <w:szCs w:val="32"/>
          <w:highlight w:val="none"/>
          <w:lang w:val="en-US" w:eastAsia="zh-CN" w:bidi="ar"/>
        </w:rPr>
        <w:t>8</w:t>
      </w:r>
      <w:r>
        <w:rPr>
          <w:rFonts w:hint="default" w:ascii="Times New Roman" w:hAnsi="Times New Roman" w:eastAsia="仿宋_GB2312" w:cs="Times New Roman"/>
          <w:color w:val="000000"/>
          <w:kern w:val="0"/>
          <w:sz w:val="32"/>
          <w:szCs w:val="32"/>
          <w:highlight w:val="none"/>
          <w:lang w:val="en-US" w:eastAsia="zh-CN" w:bidi="ar"/>
        </w:rPr>
        <w:t>个*</w:t>
      </w:r>
      <w:r>
        <w:rPr>
          <w:rFonts w:hint="eastAsia" w:ascii="Times New Roman" w:hAnsi="Times New Roman" w:eastAsia="仿宋_GB2312" w:cs="Times New Roman"/>
          <w:color w:val="000000"/>
          <w:kern w:val="0"/>
          <w:sz w:val="32"/>
          <w:szCs w:val="32"/>
          <w:highlight w:val="none"/>
          <w:lang w:val="en-US" w:eastAsia="zh-CN" w:bidi="ar"/>
        </w:rPr>
        <w:t>8</w:t>
      </w:r>
      <w:r>
        <w:rPr>
          <w:rFonts w:hint="default" w:ascii="Times New Roman" w:hAnsi="Times New Roman" w:eastAsia="仿宋_GB2312" w:cs="Times New Roman"/>
          <w:color w:val="000000"/>
          <w:kern w:val="0"/>
          <w:sz w:val="32"/>
          <w:szCs w:val="32"/>
          <w:highlight w:val="none"/>
          <w:lang w:val="en-US" w:eastAsia="zh-CN" w:bidi="ar"/>
        </w:rPr>
        <w:t>分=</w:t>
      </w:r>
      <w:r>
        <w:rPr>
          <w:rFonts w:hint="eastAsia" w:eastAsia="仿宋_GB2312" w:cs="Times New Roman"/>
          <w:color w:val="000000"/>
          <w:kern w:val="0"/>
          <w:sz w:val="32"/>
          <w:szCs w:val="32"/>
          <w:highlight w:val="none"/>
          <w:lang w:val="en-US" w:eastAsia="zh-CN" w:bidi="ar"/>
        </w:rPr>
        <w:t>7</w:t>
      </w:r>
      <w:r>
        <w:rPr>
          <w:rFonts w:hint="default" w:ascii="Times New Roman" w:hAnsi="Times New Roman" w:eastAsia="仿宋_GB2312" w:cs="Times New Roman"/>
          <w:color w:val="000000"/>
          <w:kern w:val="0"/>
          <w:sz w:val="32"/>
          <w:szCs w:val="32"/>
          <w:highlight w:val="none"/>
          <w:lang w:val="en-US" w:eastAsia="zh-CN" w:bidi="ar"/>
        </w:rPr>
        <w:t>分。</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（2）</w:t>
      </w:r>
      <w:r>
        <w:rPr>
          <w:rFonts w:hint="eastAsia" w:eastAsia="仿宋_GB2312" w:cs="Times New Roman"/>
          <w:b/>
          <w:bCs/>
          <w:kern w:val="0"/>
          <w:sz w:val="32"/>
          <w:szCs w:val="32"/>
          <w:highlight w:val="none"/>
          <w:shd w:val="clear" w:color="auto" w:fill="FFFFFF"/>
          <w:lang w:val="en-US" w:eastAsia="zh-CN"/>
        </w:rPr>
        <w:t>预算执行</w:t>
      </w:r>
      <w:r>
        <w:rPr>
          <w:rFonts w:hint="default" w:ascii="Times New Roman" w:hAnsi="Times New Roman" w:eastAsia="仿宋_GB2312" w:cs="Times New Roman"/>
          <w:b/>
          <w:bCs/>
          <w:kern w:val="0"/>
          <w:sz w:val="32"/>
          <w:szCs w:val="32"/>
          <w:highlight w:val="none"/>
          <w:shd w:val="clear" w:color="auto" w:fill="FFFFFF"/>
          <w:lang w:val="en-US" w:eastAsia="zh-CN"/>
        </w:rPr>
        <w:t>情况</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rPr>
      </w:pPr>
      <w:r>
        <w:rPr>
          <w:rFonts w:hint="default" w:ascii="Times New Roman" w:hAnsi="Times New Roman" w:eastAsia="仿宋_GB2312" w:cs="Times New Roman"/>
          <w:b/>
          <w:bCs/>
          <w:kern w:val="0"/>
          <w:sz w:val="32"/>
          <w:szCs w:val="32"/>
          <w:highlight w:val="none"/>
          <w:shd w:val="clear" w:color="auto" w:fill="FFFFFF"/>
          <w:lang w:val="en-US" w:eastAsia="zh-CN"/>
        </w:rPr>
        <w:t>——支出控制指标分析（权重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被评价单位</w:t>
      </w:r>
      <w:r>
        <w:rPr>
          <w:rFonts w:hint="eastAsia" w:eastAsia="仿宋_GB2312" w:cs="Times New Roman"/>
          <w:color w:val="000000"/>
          <w:kern w:val="0"/>
          <w:sz w:val="32"/>
          <w:szCs w:val="32"/>
          <w:highlight w:val="none"/>
          <w:lang w:val="en-US" w:eastAsia="zh-CN" w:bidi="ar"/>
        </w:rPr>
        <w:t>2022年预算报表记载，部门日常公用经费、项目支出中的“</w:t>
      </w:r>
      <w:r>
        <w:rPr>
          <w:rFonts w:hint="default" w:ascii="Times New Roman" w:hAnsi="Times New Roman" w:eastAsia="仿宋_GB2312" w:cs="Times New Roman"/>
          <w:color w:val="000000"/>
          <w:kern w:val="0"/>
          <w:sz w:val="32"/>
          <w:szCs w:val="32"/>
          <w:highlight w:val="none"/>
          <w:lang w:val="en-US" w:eastAsia="zh-CN" w:bidi="ar"/>
        </w:rPr>
        <w:t>办公费、印刷费、水费、电费、物业管理费</w:t>
      </w:r>
      <w:r>
        <w:rPr>
          <w:rFonts w:hint="eastAsia" w:eastAsia="仿宋_GB2312" w:cs="Times New Roman"/>
          <w:color w:val="000000"/>
          <w:kern w:val="0"/>
          <w:sz w:val="32"/>
          <w:szCs w:val="32"/>
          <w:highlight w:val="none"/>
          <w:lang w:val="en-US" w:eastAsia="zh-CN" w:bidi="ar"/>
        </w:rPr>
        <w:t>”年初预算共1.88万元（其中部门日常公用经费涉及1.88万元，项目支出涉及0.00万元），2022年部门决算报表记载，部门</w:t>
      </w:r>
      <w:r>
        <w:rPr>
          <w:rFonts w:hint="eastAsia" w:ascii="Times New Roman" w:hAnsi="Times New Roman" w:eastAsia="仿宋_GB2312" w:cs="Times New Roman"/>
          <w:color w:val="000000"/>
          <w:kern w:val="0"/>
          <w:sz w:val="32"/>
          <w:szCs w:val="32"/>
          <w:highlight w:val="none"/>
          <w:lang w:val="en-US" w:eastAsia="zh-CN" w:bidi="ar"/>
        </w:rPr>
        <w:t>日常公用经费</w:t>
      </w:r>
      <w:r>
        <w:rPr>
          <w:rFonts w:hint="default" w:ascii="Times New Roman" w:hAnsi="Times New Roman" w:eastAsia="仿宋_GB2312" w:cs="Times New Roman"/>
          <w:color w:val="000000"/>
          <w:kern w:val="0"/>
          <w:sz w:val="32"/>
          <w:szCs w:val="32"/>
          <w:highlight w:val="none"/>
          <w:lang w:val="en-US" w:eastAsia="zh-CN" w:bidi="ar"/>
        </w:rPr>
        <w:t>、项目支出中</w:t>
      </w:r>
      <w:r>
        <w:rPr>
          <w:rFonts w:hint="eastAsia"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办公费、印刷费、水费、电费、物业管理费</w:t>
      </w:r>
      <w:r>
        <w:rPr>
          <w:rFonts w:hint="eastAsia"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等科目支出数共</w:t>
      </w:r>
      <w:r>
        <w:rPr>
          <w:rFonts w:hint="eastAsia" w:eastAsia="仿宋_GB2312" w:cs="Times New Roman"/>
          <w:color w:val="000000"/>
          <w:kern w:val="0"/>
          <w:sz w:val="32"/>
          <w:szCs w:val="32"/>
          <w:highlight w:val="none"/>
          <w:lang w:val="en-US" w:eastAsia="zh-CN" w:bidi="ar"/>
        </w:rPr>
        <w:t>1.88万元（其中部门日常公用经费涉及1.88万元，项目支出涉及0.00万元），</w:t>
      </w:r>
      <w:r>
        <w:rPr>
          <w:rFonts w:hint="default" w:ascii="Times New Roman" w:hAnsi="Times New Roman" w:eastAsia="仿宋_GB2312" w:cs="Times New Roman"/>
          <w:color w:val="000000"/>
          <w:kern w:val="0"/>
          <w:sz w:val="32"/>
          <w:szCs w:val="32"/>
          <w:highlight w:val="none"/>
          <w:lang w:val="en-US" w:eastAsia="zh-CN" w:bidi="ar"/>
        </w:rPr>
        <w:t>预决算偏差程度=（</w:t>
      </w:r>
      <w:r>
        <w:rPr>
          <w:rFonts w:hint="eastAsia" w:eastAsia="仿宋_GB2312" w:cs="Times New Roman"/>
          <w:color w:val="000000"/>
          <w:kern w:val="0"/>
          <w:sz w:val="32"/>
          <w:szCs w:val="32"/>
          <w:highlight w:val="none"/>
          <w:lang w:val="en-US" w:eastAsia="zh-CN" w:bidi="ar"/>
        </w:rPr>
        <w:t>1.88万元</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1.88万元</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1.88万元</w:t>
      </w:r>
      <w:r>
        <w:rPr>
          <w:rFonts w:hint="default" w:ascii="Times New Roman" w:hAnsi="Times New Roman" w:eastAsia="仿宋_GB2312" w:cs="Times New Roman"/>
          <w:color w:val="000000"/>
          <w:kern w:val="0"/>
          <w:sz w:val="32"/>
          <w:szCs w:val="32"/>
          <w:highlight w:val="none"/>
          <w:lang w:val="en-US" w:eastAsia="zh-CN" w:bidi="ar"/>
        </w:rPr>
        <w:t>×100%=</w:t>
      </w:r>
      <w:r>
        <w:rPr>
          <w:rFonts w:hint="eastAsia" w:eastAsia="仿宋_GB2312" w:cs="Times New Roman"/>
          <w:color w:val="000000"/>
          <w:kern w:val="0"/>
          <w:sz w:val="32"/>
          <w:szCs w:val="32"/>
          <w:highlight w:val="none"/>
          <w:lang w:val="en-US" w:eastAsia="zh-CN" w:bidi="ar"/>
        </w:rPr>
        <w:t>0</w:t>
      </w:r>
      <w:r>
        <w:rPr>
          <w:rFonts w:hint="default" w:ascii="Times New Roman" w:hAnsi="Times New Roman" w:eastAsia="仿宋_GB2312" w:cs="Times New Roman"/>
          <w:color w:val="000000"/>
          <w:kern w:val="0"/>
          <w:sz w:val="32"/>
          <w:szCs w:val="32"/>
          <w:highlight w:val="none"/>
          <w:lang w:val="en-US" w:eastAsia="zh-CN" w:bidi="ar"/>
        </w:rPr>
        <w:t>。预决算偏差程度在</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以内</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得</w:t>
      </w:r>
      <w:r>
        <w:rPr>
          <w:rFonts w:hint="default" w:ascii="Times New Roman" w:hAnsi="Times New Roman" w:eastAsia="仿宋_GB2312" w:cs="Times New Roman"/>
          <w:color w:val="000000"/>
          <w:kern w:val="0"/>
          <w:sz w:val="32"/>
          <w:szCs w:val="32"/>
          <w:highlight w:val="none"/>
          <w:lang w:val="en-US" w:eastAsia="zh-CN" w:bidi="ar"/>
        </w:rPr>
        <w:t>6分</w:t>
      </w:r>
      <w:r>
        <w:rPr>
          <w:rFonts w:hint="eastAsia"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——执行进度指标分析（权重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4.02</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rPr>
          <w:rFonts w:hint="default" w:ascii="Times New Roman" w:hAnsi="Times New Roman" w:eastAsia="仿宋_GB2312" w:cs="Times New Roman"/>
          <w:color w:val="000000"/>
          <w:kern w:val="0"/>
          <w:sz w:val="32"/>
          <w:szCs w:val="32"/>
          <w:highlight w:val="yellow"/>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被评价单位202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年1-6月部门预算序时进度=158.88万元/440.24万元*100%=</w:t>
      </w:r>
      <w:r>
        <w:rPr>
          <w:rFonts w:hint="eastAsia" w:eastAsia="仿宋_GB2312" w:cs="Times New Roman"/>
          <w:color w:val="000000"/>
          <w:kern w:val="0"/>
          <w:sz w:val="32"/>
          <w:szCs w:val="32"/>
          <w:highlight w:val="none"/>
          <w:lang w:val="en-US" w:eastAsia="zh-CN" w:bidi="ar"/>
        </w:rPr>
        <w:t>36.09%</w:t>
      </w:r>
      <w:r>
        <w:rPr>
          <w:rFonts w:hint="eastAsia" w:ascii="Times New Roman" w:hAnsi="Times New Roman" w:eastAsia="仿宋_GB2312" w:cs="Times New Roman"/>
          <w:color w:val="000000"/>
          <w:kern w:val="0"/>
          <w:sz w:val="32"/>
          <w:szCs w:val="32"/>
          <w:highlight w:val="none"/>
          <w:lang w:val="en-US" w:eastAsia="zh-CN" w:bidi="ar"/>
        </w:rPr>
        <w:t>，未达到80.00%序时进度，得分</w:t>
      </w:r>
      <w:r>
        <w:rPr>
          <w:rFonts w:hint="eastAsia" w:eastAsia="仿宋_GB2312" w:cs="Times New Roman"/>
          <w:color w:val="000000"/>
          <w:kern w:val="0"/>
          <w:sz w:val="32"/>
          <w:szCs w:val="32"/>
          <w:highlight w:val="none"/>
          <w:lang w:val="en-US" w:eastAsia="zh-CN" w:bidi="ar"/>
        </w:rPr>
        <w:t>0.9</w:t>
      </w:r>
      <w:r>
        <w:rPr>
          <w:rFonts w:hint="eastAsia" w:ascii="Times New Roman" w:hAnsi="Times New Roman" w:eastAsia="仿宋_GB2312" w:cs="Times New Roman"/>
          <w:color w:val="000000"/>
          <w:kern w:val="0"/>
          <w:sz w:val="32"/>
          <w:szCs w:val="32"/>
          <w:highlight w:val="none"/>
          <w:lang w:val="en-US" w:eastAsia="zh-CN" w:bidi="ar"/>
        </w:rPr>
        <w:t>分；202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年1-9月预算序时进度=277.54万元/440.24万元</w:t>
      </w:r>
      <w:r>
        <w:rPr>
          <w:rFonts w:hint="eastAsia" w:eastAsia="仿宋_GB2312" w:cs="Times New Roman"/>
          <w:color w:val="000000"/>
          <w:kern w:val="0"/>
          <w:sz w:val="32"/>
          <w:szCs w:val="32"/>
          <w:highlight w:val="none"/>
          <w:lang w:val="en-US" w:eastAsia="zh-CN" w:bidi="ar"/>
        </w:rPr>
        <w:t>*100%</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63.04%</w:t>
      </w:r>
      <w:r>
        <w:rPr>
          <w:rFonts w:hint="eastAsia" w:ascii="Times New Roman" w:hAnsi="Times New Roman" w:eastAsia="仿宋_GB2312" w:cs="Times New Roman"/>
          <w:color w:val="000000"/>
          <w:kern w:val="0"/>
          <w:sz w:val="32"/>
          <w:szCs w:val="32"/>
          <w:highlight w:val="none"/>
          <w:lang w:val="en-US" w:eastAsia="zh-CN" w:bidi="ar"/>
        </w:rPr>
        <w:t>，未达到90.00%的序时进度，得分</w:t>
      </w:r>
      <w:r>
        <w:rPr>
          <w:rFonts w:hint="eastAsia" w:eastAsia="仿宋_GB2312" w:cs="Times New Roman"/>
          <w:color w:val="000000"/>
          <w:kern w:val="0"/>
          <w:sz w:val="32"/>
          <w:szCs w:val="32"/>
          <w:highlight w:val="none"/>
          <w:lang w:val="en-US" w:eastAsia="zh-CN" w:bidi="ar"/>
        </w:rPr>
        <w:t>1.4</w:t>
      </w:r>
      <w:r>
        <w:rPr>
          <w:rFonts w:hint="eastAsia" w:ascii="Times New Roman" w:hAnsi="Times New Roman" w:eastAsia="仿宋_GB2312" w:cs="Times New Roman"/>
          <w:color w:val="000000"/>
          <w:kern w:val="0"/>
          <w:sz w:val="32"/>
          <w:szCs w:val="32"/>
          <w:highlight w:val="none"/>
          <w:lang w:val="en-US" w:eastAsia="zh-CN" w:bidi="ar"/>
        </w:rPr>
        <w:t>分；202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年1-11月预算序时进度</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341.13万元/440.24万元</w:t>
      </w:r>
      <w:r>
        <w:rPr>
          <w:rFonts w:hint="eastAsia" w:eastAsia="仿宋_GB2312" w:cs="Times New Roman"/>
          <w:color w:val="000000"/>
          <w:kern w:val="0"/>
          <w:sz w:val="32"/>
          <w:szCs w:val="32"/>
          <w:highlight w:val="none"/>
          <w:lang w:val="en-US" w:eastAsia="zh-CN" w:bidi="ar"/>
        </w:rPr>
        <w:t>*100%</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77.49%</w:t>
      </w:r>
      <w:r>
        <w:rPr>
          <w:rFonts w:hint="eastAsia" w:ascii="Times New Roman" w:hAnsi="Times New Roman" w:eastAsia="仿宋_GB2312" w:cs="Times New Roman"/>
          <w:color w:val="000000"/>
          <w:kern w:val="0"/>
          <w:sz w:val="32"/>
          <w:szCs w:val="32"/>
          <w:highlight w:val="none"/>
          <w:lang w:val="en-US" w:eastAsia="zh-CN" w:bidi="ar"/>
        </w:rPr>
        <w:t>，未达到90.00%序时进度，得分</w:t>
      </w:r>
      <w:r>
        <w:rPr>
          <w:rFonts w:hint="eastAsia" w:eastAsia="仿宋_GB2312" w:cs="Times New Roman"/>
          <w:color w:val="000000"/>
          <w:kern w:val="0"/>
          <w:sz w:val="32"/>
          <w:szCs w:val="32"/>
          <w:highlight w:val="none"/>
          <w:lang w:val="en-US" w:eastAsia="zh-CN" w:bidi="ar"/>
        </w:rPr>
        <w:t>1</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72</w:t>
      </w:r>
      <w:r>
        <w:rPr>
          <w:rFonts w:hint="eastAsia" w:ascii="Times New Roman" w:hAnsi="Times New Roman" w:eastAsia="仿宋_GB2312" w:cs="Times New Roman"/>
          <w:color w:val="000000"/>
          <w:kern w:val="0"/>
          <w:sz w:val="32"/>
          <w:szCs w:val="32"/>
          <w:highlight w:val="none"/>
          <w:lang w:val="en-US" w:eastAsia="zh-CN" w:bidi="ar"/>
        </w:rPr>
        <w:t>分。最终得分=</w:t>
      </w:r>
      <w:r>
        <w:rPr>
          <w:rFonts w:hint="eastAsia" w:eastAsia="仿宋_GB2312" w:cs="Times New Roman"/>
          <w:color w:val="000000"/>
          <w:kern w:val="0"/>
          <w:sz w:val="32"/>
          <w:szCs w:val="32"/>
          <w:highlight w:val="none"/>
          <w:lang w:val="en-US" w:eastAsia="zh-CN" w:bidi="ar"/>
        </w:rPr>
        <w:t>0.9+1.4+1.72</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4</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02</w:t>
      </w:r>
      <w:r>
        <w:rPr>
          <w:rFonts w:hint="eastAsia" w:ascii="Times New Roman" w:hAnsi="Times New Roman" w:eastAsia="仿宋_GB2312" w:cs="Times New Roman"/>
          <w:color w:val="000000"/>
          <w:kern w:val="0"/>
          <w:sz w:val="32"/>
          <w:szCs w:val="32"/>
          <w:highlight w:val="none"/>
          <w:lang w:val="en-US" w:eastAsia="zh-CN" w:bidi="ar"/>
        </w:rPr>
        <w:t>分。</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（3）完成结果情况</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w:t>
      </w:r>
      <w:r>
        <w:rPr>
          <w:rFonts w:hint="eastAsia" w:eastAsia="仿宋_GB2312" w:cs="Times New Roman"/>
          <w:b/>
          <w:bCs/>
          <w:kern w:val="0"/>
          <w:sz w:val="32"/>
          <w:szCs w:val="32"/>
          <w:highlight w:val="none"/>
          <w:shd w:val="clear" w:color="auto" w:fill="FFFFFF"/>
          <w:lang w:val="en-US" w:eastAsia="zh-CN"/>
        </w:rPr>
        <w:t>预算完成</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7.98</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被评价单位2022年部门年初预算项目共1个，年中追加指标10个，截至2022年12月31日年中追加项目预算执行进度如下表：</w:t>
      </w:r>
    </w:p>
    <w:tbl>
      <w:tblPr>
        <w:tblStyle w:val="40"/>
        <w:tblW w:w="545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543"/>
        <w:gridCol w:w="1487"/>
        <w:gridCol w:w="956"/>
        <w:gridCol w:w="1024"/>
        <w:gridCol w:w="1366"/>
        <w:gridCol w:w="1300"/>
        <w:gridCol w:w="11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blHeader/>
          <w:jc w:val="center"/>
        </w:trPr>
        <w:tc>
          <w:tcPr>
            <w:tcW w:w="1294" w:type="pct"/>
            <w:tcBorders>
              <w:top w:val="single" w:color="000000" w:sz="4" w:space="0"/>
              <w:left w:val="single" w:color="000000" w:sz="4" w:space="0"/>
              <w:bottom w:val="single" w:color="000000" w:sz="4" w:space="0"/>
              <w:right w:val="single" w:color="000000" w:sz="4" w:space="0"/>
            </w:tcBorders>
            <w:shd w:val="clear" w:color="auto" w:fill="BEBEBE"/>
            <w:vAlign w:val="center"/>
          </w:tcPr>
          <w:p>
            <w:pPr>
              <w:keepNext w:val="0"/>
              <w:keepLines w:val="0"/>
              <w:widowControl/>
              <w:suppressLineNumbers w:val="0"/>
              <w:spacing w:line="240" w:lineRule="auto"/>
              <w:ind w:left="0" w:leftChars="0" w:firstLine="0" w:firstLineChars="0"/>
              <w:jc w:val="center"/>
              <w:textAlignment w:val="center"/>
              <w:rPr>
                <w:rFonts w:hint="eastAsia" w:ascii="Times New Roman" w:hAnsi="Times New Roman" w:eastAsia="仿宋_GB2312" w:cs="Times New Roman"/>
                <w:b/>
                <w:bCs/>
                <w:i w:val="0"/>
                <w:iCs w:val="0"/>
                <w:color w:val="000000"/>
                <w:kern w:val="0"/>
                <w:sz w:val="21"/>
                <w:szCs w:val="21"/>
                <w:highlight w:val="none"/>
                <w:u w:val="none"/>
                <w:lang w:val="en-US" w:eastAsia="zh-CN" w:bidi="ar"/>
              </w:rPr>
            </w:pPr>
            <w:r>
              <w:rPr>
                <w:rFonts w:hint="eastAsia" w:ascii="Times New Roman" w:hAnsi="Times New Roman" w:eastAsia="仿宋_GB2312" w:cs="Times New Roman"/>
                <w:b/>
                <w:bCs/>
                <w:i w:val="0"/>
                <w:iCs w:val="0"/>
                <w:color w:val="000000"/>
                <w:kern w:val="0"/>
                <w:sz w:val="21"/>
                <w:szCs w:val="21"/>
                <w:highlight w:val="none"/>
                <w:u w:val="none"/>
                <w:lang w:val="en-US" w:eastAsia="zh-CN" w:bidi="ar"/>
              </w:rPr>
              <w:t>项目名称</w:t>
            </w:r>
          </w:p>
        </w:tc>
        <w:tc>
          <w:tcPr>
            <w:tcW w:w="757" w:type="pct"/>
            <w:tcBorders>
              <w:top w:val="single" w:color="000000" w:sz="4" w:space="0"/>
              <w:left w:val="single" w:color="000000" w:sz="4" w:space="0"/>
              <w:bottom w:val="single" w:color="000000" w:sz="4" w:space="0"/>
              <w:right w:val="single" w:color="000000" w:sz="4" w:space="0"/>
            </w:tcBorders>
            <w:shd w:val="clear" w:color="auto" w:fill="BEBEBE"/>
            <w:vAlign w:val="center"/>
          </w:tcPr>
          <w:p>
            <w:pPr>
              <w:keepNext w:val="0"/>
              <w:keepLines w:val="0"/>
              <w:widowControl/>
              <w:suppressLineNumbers w:val="0"/>
              <w:spacing w:line="240" w:lineRule="auto"/>
              <w:ind w:left="0" w:leftChars="0" w:firstLine="0" w:firstLineChars="0"/>
              <w:jc w:val="center"/>
              <w:textAlignment w:val="center"/>
              <w:rPr>
                <w:rFonts w:hint="eastAsia" w:ascii="Times New Roman" w:hAnsi="Times New Roman" w:eastAsia="仿宋_GB2312" w:cs="Times New Roman"/>
                <w:b/>
                <w:bCs/>
                <w:i w:val="0"/>
                <w:iCs w:val="0"/>
                <w:color w:val="000000"/>
                <w:kern w:val="0"/>
                <w:sz w:val="21"/>
                <w:szCs w:val="21"/>
                <w:highlight w:val="none"/>
                <w:u w:val="none"/>
                <w:lang w:val="en-US" w:eastAsia="zh-CN" w:bidi="ar"/>
              </w:rPr>
            </w:pPr>
            <w:r>
              <w:rPr>
                <w:rFonts w:hint="eastAsia" w:ascii="Times New Roman" w:hAnsi="Times New Roman" w:eastAsia="仿宋_GB2312" w:cs="Times New Roman"/>
                <w:b/>
                <w:bCs/>
                <w:i w:val="0"/>
                <w:iCs w:val="0"/>
                <w:color w:val="000000"/>
                <w:kern w:val="0"/>
                <w:sz w:val="21"/>
                <w:szCs w:val="21"/>
                <w:highlight w:val="none"/>
                <w:u w:val="none"/>
                <w:lang w:val="en-US" w:eastAsia="zh-CN" w:bidi="ar"/>
              </w:rPr>
              <w:t>年初预算数（</w:t>
            </w:r>
            <w:r>
              <w:rPr>
                <w:rFonts w:hint="eastAsia" w:eastAsia="仿宋_GB2312" w:cs="Times New Roman"/>
                <w:b/>
                <w:bCs/>
                <w:i w:val="0"/>
                <w:iCs w:val="0"/>
                <w:color w:val="000000"/>
                <w:kern w:val="0"/>
                <w:sz w:val="21"/>
                <w:szCs w:val="21"/>
                <w:highlight w:val="none"/>
                <w:u w:val="none"/>
                <w:lang w:val="en-US" w:eastAsia="zh-CN" w:bidi="ar"/>
              </w:rPr>
              <w:t>万</w:t>
            </w:r>
            <w:r>
              <w:rPr>
                <w:rFonts w:hint="eastAsia" w:ascii="Times New Roman" w:hAnsi="Times New Roman" w:eastAsia="仿宋_GB2312" w:cs="Times New Roman"/>
                <w:b/>
                <w:bCs/>
                <w:i w:val="0"/>
                <w:iCs w:val="0"/>
                <w:color w:val="000000"/>
                <w:kern w:val="0"/>
                <w:sz w:val="21"/>
                <w:szCs w:val="21"/>
                <w:highlight w:val="none"/>
                <w:u w:val="none"/>
                <w:lang w:val="en-US" w:eastAsia="zh-CN" w:bidi="ar"/>
              </w:rPr>
              <w:t>元）</w:t>
            </w:r>
          </w:p>
        </w:tc>
        <w:tc>
          <w:tcPr>
            <w:tcW w:w="486" w:type="pct"/>
            <w:tcBorders>
              <w:top w:val="single" w:color="000000" w:sz="4" w:space="0"/>
              <w:left w:val="single" w:color="000000" w:sz="4" w:space="0"/>
              <w:bottom w:val="single" w:color="000000" w:sz="4" w:space="0"/>
              <w:right w:val="single" w:color="000000" w:sz="4" w:space="0"/>
            </w:tcBorders>
            <w:shd w:val="clear" w:color="auto" w:fill="BEBEBE"/>
            <w:vAlign w:val="center"/>
          </w:tcPr>
          <w:p>
            <w:pPr>
              <w:keepNext w:val="0"/>
              <w:keepLines w:val="0"/>
              <w:widowControl/>
              <w:suppressLineNumbers w:val="0"/>
              <w:spacing w:line="240" w:lineRule="auto"/>
              <w:ind w:left="0" w:leftChars="0" w:firstLine="0" w:firstLineChars="0"/>
              <w:jc w:val="center"/>
              <w:textAlignment w:val="center"/>
              <w:rPr>
                <w:rFonts w:hint="eastAsia" w:ascii="Times New Roman" w:hAnsi="Times New Roman" w:eastAsia="仿宋_GB2312" w:cs="Times New Roman"/>
                <w:b/>
                <w:bCs/>
                <w:i w:val="0"/>
                <w:iCs w:val="0"/>
                <w:color w:val="000000"/>
                <w:kern w:val="0"/>
                <w:sz w:val="21"/>
                <w:szCs w:val="21"/>
                <w:highlight w:val="none"/>
                <w:u w:val="none"/>
                <w:lang w:val="en-US" w:eastAsia="zh-CN" w:bidi="ar"/>
              </w:rPr>
            </w:pPr>
            <w:r>
              <w:rPr>
                <w:rFonts w:hint="eastAsia" w:ascii="Times New Roman" w:hAnsi="Times New Roman" w:eastAsia="仿宋_GB2312" w:cs="Times New Roman"/>
                <w:b/>
                <w:bCs/>
                <w:i w:val="0"/>
                <w:iCs w:val="0"/>
                <w:color w:val="000000"/>
                <w:kern w:val="0"/>
                <w:sz w:val="21"/>
                <w:szCs w:val="21"/>
                <w:highlight w:val="none"/>
                <w:u w:val="none"/>
                <w:lang w:val="en-US" w:eastAsia="zh-CN" w:bidi="ar"/>
              </w:rPr>
              <w:t>追加数（</w:t>
            </w:r>
            <w:r>
              <w:rPr>
                <w:rFonts w:hint="eastAsia" w:eastAsia="仿宋_GB2312" w:cs="Times New Roman"/>
                <w:b/>
                <w:bCs/>
                <w:i w:val="0"/>
                <w:iCs w:val="0"/>
                <w:color w:val="000000"/>
                <w:kern w:val="0"/>
                <w:sz w:val="21"/>
                <w:szCs w:val="21"/>
                <w:highlight w:val="none"/>
                <w:u w:val="none"/>
                <w:lang w:val="en-US" w:eastAsia="zh-CN" w:bidi="ar"/>
              </w:rPr>
              <w:t>万</w:t>
            </w:r>
            <w:r>
              <w:rPr>
                <w:rFonts w:hint="eastAsia" w:ascii="Times New Roman" w:hAnsi="Times New Roman" w:eastAsia="仿宋_GB2312" w:cs="Times New Roman"/>
                <w:b/>
                <w:bCs/>
                <w:i w:val="0"/>
                <w:iCs w:val="0"/>
                <w:color w:val="000000"/>
                <w:kern w:val="0"/>
                <w:sz w:val="21"/>
                <w:szCs w:val="21"/>
                <w:highlight w:val="none"/>
                <w:u w:val="none"/>
                <w:lang w:val="en-US" w:eastAsia="zh-CN" w:bidi="ar"/>
              </w:rPr>
              <w:t>元）</w:t>
            </w:r>
          </w:p>
        </w:tc>
        <w:tc>
          <w:tcPr>
            <w:tcW w:w="521" w:type="pct"/>
            <w:tcBorders>
              <w:top w:val="single" w:color="000000" w:sz="4" w:space="0"/>
              <w:left w:val="single" w:color="000000" w:sz="4" w:space="0"/>
              <w:bottom w:val="single" w:color="000000" w:sz="4" w:space="0"/>
              <w:right w:val="single" w:color="000000" w:sz="4" w:space="0"/>
            </w:tcBorders>
            <w:shd w:val="clear" w:color="auto" w:fill="BEBEBE"/>
            <w:vAlign w:val="center"/>
          </w:tcPr>
          <w:p>
            <w:pPr>
              <w:keepNext w:val="0"/>
              <w:keepLines w:val="0"/>
              <w:widowControl/>
              <w:suppressLineNumbers w:val="0"/>
              <w:spacing w:line="240" w:lineRule="auto"/>
              <w:ind w:left="0" w:leftChars="0" w:firstLine="0" w:firstLineChars="0"/>
              <w:jc w:val="center"/>
              <w:textAlignment w:val="center"/>
              <w:rPr>
                <w:rFonts w:hint="eastAsia" w:ascii="Times New Roman" w:hAnsi="Times New Roman" w:eastAsia="仿宋_GB2312" w:cs="Times New Roman"/>
                <w:b/>
                <w:bCs/>
                <w:i w:val="0"/>
                <w:iCs w:val="0"/>
                <w:color w:val="000000"/>
                <w:kern w:val="0"/>
                <w:sz w:val="21"/>
                <w:szCs w:val="21"/>
                <w:highlight w:val="none"/>
                <w:u w:val="none"/>
                <w:lang w:val="en-US" w:eastAsia="zh-CN" w:bidi="ar"/>
              </w:rPr>
            </w:pPr>
            <w:r>
              <w:rPr>
                <w:rFonts w:hint="eastAsia" w:ascii="Times New Roman" w:hAnsi="Times New Roman" w:eastAsia="仿宋_GB2312" w:cs="Times New Roman"/>
                <w:b/>
                <w:bCs/>
                <w:i w:val="0"/>
                <w:iCs w:val="0"/>
                <w:color w:val="000000"/>
                <w:kern w:val="0"/>
                <w:sz w:val="21"/>
                <w:szCs w:val="21"/>
                <w:highlight w:val="none"/>
                <w:u w:val="none"/>
                <w:lang w:val="en-US" w:eastAsia="zh-CN" w:bidi="ar"/>
              </w:rPr>
              <w:t>追减数（</w:t>
            </w:r>
            <w:r>
              <w:rPr>
                <w:rFonts w:hint="eastAsia" w:eastAsia="仿宋_GB2312" w:cs="Times New Roman"/>
                <w:b/>
                <w:bCs/>
                <w:i w:val="0"/>
                <w:iCs w:val="0"/>
                <w:color w:val="000000"/>
                <w:kern w:val="0"/>
                <w:sz w:val="21"/>
                <w:szCs w:val="21"/>
                <w:highlight w:val="none"/>
                <w:u w:val="none"/>
                <w:lang w:val="en-US" w:eastAsia="zh-CN" w:bidi="ar"/>
              </w:rPr>
              <w:t>万</w:t>
            </w:r>
            <w:r>
              <w:rPr>
                <w:rFonts w:hint="eastAsia" w:ascii="Times New Roman" w:hAnsi="Times New Roman" w:eastAsia="仿宋_GB2312" w:cs="Times New Roman"/>
                <w:b/>
                <w:bCs/>
                <w:i w:val="0"/>
                <w:iCs w:val="0"/>
                <w:color w:val="000000"/>
                <w:kern w:val="0"/>
                <w:sz w:val="21"/>
                <w:szCs w:val="21"/>
                <w:highlight w:val="none"/>
                <w:u w:val="none"/>
                <w:lang w:val="en-US" w:eastAsia="zh-CN" w:bidi="ar"/>
              </w:rPr>
              <w:t>元）</w:t>
            </w:r>
          </w:p>
        </w:tc>
        <w:tc>
          <w:tcPr>
            <w:tcW w:w="695" w:type="pct"/>
            <w:tcBorders>
              <w:top w:val="single" w:color="000000" w:sz="4" w:space="0"/>
              <w:left w:val="single" w:color="000000" w:sz="4" w:space="0"/>
              <w:bottom w:val="single" w:color="000000" w:sz="4" w:space="0"/>
              <w:right w:val="single" w:color="000000" w:sz="4" w:space="0"/>
            </w:tcBorders>
            <w:shd w:val="clear" w:color="auto" w:fill="BEBEBE"/>
            <w:vAlign w:val="center"/>
          </w:tcPr>
          <w:p>
            <w:pPr>
              <w:keepNext w:val="0"/>
              <w:keepLines w:val="0"/>
              <w:widowControl/>
              <w:suppressLineNumbers w:val="0"/>
              <w:spacing w:line="240" w:lineRule="auto"/>
              <w:ind w:left="0" w:leftChars="0" w:firstLine="0" w:firstLineChars="0"/>
              <w:jc w:val="center"/>
              <w:textAlignment w:val="center"/>
              <w:rPr>
                <w:rFonts w:hint="eastAsia" w:ascii="Times New Roman" w:hAnsi="Times New Roman" w:eastAsia="仿宋_GB2312" w:cs="Times New Roman"/>
                <w:b/>
                <w:bCs/>
                <w:i w:val="0"/>
                <w:iCs w:val="0"/>
                <w:color w:val="000000"/>
                <w:kern w:val="0"/>
                <w:sz w:val="21"/>
                <w:szCs w:val="21"/>
                <w:highlight w:val="none"/>
                <w:u w:val="none"/>
                <w:lang w:val="en-US" w:eastAsia="zh-CN" w:bidi="ar"/>
              </w:rPr>
            </w:pPr>
            <w:r>
              <w:rPr>
                <w:rFonts w:hint="eastAsia" w:ascii="Times New Roman" w:hAnsi="Times New Roman" w:eastAsia="仿宋_GB2312" w:cs="Times New Roman"/>
                <w:b/>
                <w:bCs/>
                <w:i w:val="0"/>
                <w:iCs w:val="0"/>
                <w:color w:val="000000"/>
                <w:kern w:val="0"/>
                <w:sz w:val="21"/>
                <w:szCs w:val="21"/>
                <w:highlight w:val="none"/>
                <w:u w:val="none"/>
                <w:lang w:val="en-US" w:eastAsia="zh-CN" w:bidi="ar"/>
              </w:rPr>
              <w:t>当前预算</w:t>
            </w:r>
          </w:p>
        </w:tc>
        <w:tc>
          <w:tcPr>
            <w:tcW w:w="661" w:type="pct"/>
            <w:tcBorders>
              <w:top w:val="single" w:color="000000" w:sz="4" w:space="0"/>
              <w:left w:val="single" w:color="000000" w:sz="4" w:space="0"/>
              <w:bottom w:val="single" w:color="000000" w:sz="4" w:space="0"/>
              <w:right w:val="single" w:color="000000" w:sz="4" w:space="0"/>
            </w:tcBorders>
            <w:shd w:val="clear" w:color="auto" w:fill="BEBEBE"/>
            <w:vAlign w:val="center"/>
          </w:tcPr>
          <w:p>
            <w:pPr>
              <w:keepNext w:val="0"/>
              <w:keepLines w:val="0"/>
              <w:widowControl/>
              <w:suppressLineNumbers w:val="0"/>
              <w:spacing w:line="240" w:lineRule="auto"/>
              <w:ind w:left="0" w:leftChars="0" w:firstLine="0" w:firstLineChars="0"/>
              <w:jc w:val="center"/>
              <w:textAlignment w:val="center"/>
              <w:rPr>
                <w:rFonts w:hint="eastAsia" w:ascii="Times New Roman" w:hAnsi="Times New Roman" w:eastAsia="仿宋_GB2312" w:cs="Times New Roman"/>
                <w:b/>
                <w:bCs/>
                <w:i w:val="0"/>
                <w:iCs w:val="0"/>
                <w:color w:val="000000"/>
                <w:kern w:val="0"/>
                <w:sz w:val="21"/>
                <w:szCs w:val="21"/>
                <w:highlight w:val="none"/>
                <w:u w:val="none"/>
                <w:lang w:val="en-US" w:eastAsia="zh-CN" w:bidi="ar"/>
              </w:rPr>
            </w:pPr>
            <w:r>
              <w:rPr>
                <w:rFonts w:hint="eastAsia" w:ascii="Times New Roman" w:hAnsi="Times New Roman" w:eastAsia="仿宋_GB2312" w:cs="Times New Roman"/>
                <w:b/>
                <w:bCs/>
                <w:i w:val="0"/>
                <w:iCs w:val="0"/>
                <w:color w:val="000000"/>
                <w:kern w:val="0"/>
                <w:sz w:val="21"/>
                <w:szCs w:val="21"/>
                <w:highlight w:val="none"/>
                <w:u w:val="none"/>
                <w:lang w:val="en-US" w:eastAsia="zh-CN" w:bidi="ar"/>
              </w:rPr>
              <w:t>年末执行数（</w:t>
            </w:r>
            <w:r>
              <w:rPr>
                <w:rFonts w:hint="eastAsia" w:eastAsia="仿宋_GB2312" w:cs="Times New Roman"/>
                <w:b/>
                <w:bCs/>
                <w:i w:val="0"/>
                <w:iCs w:val="0"/>
                <w:color w:val="000000"/>
                <w:kern w:val="0"/>
                <w:sz w:val="21"/>
                <w:szCs w:val="21"/>
                <w:highlight w:val="none"/>
                <w:u w:val="none"/>
                <w:lang w:val="en-US" w:eastAsia="zh-CN" w:bidi="ar"/>
              </w:rPr>
              <w:t>万</w:t>
            </w:r>
            <w:r>
              <w:rPr>
                <w:rFonts w:hint="eastAsia" w:ascii="Times New Roman" w:hAnsi="Times New Roman" w:eastAsia="仿宋_GB2312" w:cs="Times New Roman"/>
                <w:b/>
                <w:bCs/>
                <w:i w:val="0"/>
                <w:iCs w:val="0"/>
                <w:color w:val="000000"/>
                <w:kern w:val="0"/>
                <w:sz w:val="21"/>
                <w:szCs w:val="21"/>
                <w:highlight w:val="none"/>
                <w:u w:val="none"/>
                <w:lang w:val="en-US" w:eastAsia="zh-CN" w:bidi="ar"/>
              </w:rPr>
              <w:t>元）</w:t>
            </w:r>
          </w:p>
        </w:tc>
        <w:tc>
          <w:tcPr>
            <w:tcW w:w="582" w:type="pct"/>
            <w:tcBorders>
              <w:top w:val="single" w:color="000000" w:sz="4" w:space="0"/>
              <w:left w:val="single" w:color="000000" w:sz="4" w:space="0"/>
              <w:bottom w:val="single" w:color="000000" w:sz="4" w:space="0"/>
              <w:right w:val="single" w:color="000000" w:sz="4" w:space="0"/>
            </w:tcBorders>
            <w:shd w:val="clear" w:color="auto" w:fill="BEBEBE"/>
            <w:vAlign w:val="center"/>
          </w:tcPr>
          <w:p>
            <w:pPr>
              <w:keepNext w:val="0"/>
              <w:keepLines w:val="0"/>
              <w:widowControl/>
              <w:suppressLineNumbers w:val="0"/>
              <w:spacing w:line="240" w:lineRule="auto"/>
              <w:ind w:left="0" w:leftChars="0" w:firstLine="0" w:firstLineChars="0"/>
              <w:jc w:val="center"/>
              <w:textAlignment w:val="center"/>
              <w:rPr>
                <w:rFonts w:hint="eastAsia" w:ascii="Times New Roman" w:hAnsi="Times New Roman" w:eastAsia="仿宋_GB2312" w:cs="Times New Roman"/>
                <w:b/>
                <w:bCs/>
                <w:i w:val="0"/>
                <w:iCs w:val="0"/>
                <w:color w:val="000000"/>
                <w:kern w:val="0"/>
                <w:sz w:val="21"/>
                <w:szCs w:val="21"/>
                <w:highlight w:val="none"/>
                <w:u w:val="none"/>
                <w:lang w:val="en-US" w:eastAsia="zh-CN" w:bidi="ar"/>
              </w:rPr>
            </w:pPr>
            <w:r>
              <w:rPr>
                <w:rFonts w:hint="eastAsia" w:ascii="Times New Roman" w:hAnsi="Times New Roman" w:eastAsia="仿宋_GB2312" w:cs="Times New Roman"/>
                <w:b/>
                <w:bCs/>
                <w:i w:val="0"/>
                <w:iCs w:val="0"/>
                <w:color w:val="000000"/>
                <w:kern w:val="0"/>
                <w:sz w:val="21"/>
                <w:szCs w:val="21"/>
                <w:highlight w:val="none"/>
                <w:u w:val="none"/>
                <w:lang w:val="en-US" w:eastAsia="zh-CN" w:bidi="ar"/>
              </w:rPr>
              <w:t>执行进度（</w:t>
            </w:r>
            <w:r>
              <w:rPr>
                <w:rFonts w:hint="default" w:ascii="Times New Roman" w:hAnsi="Times New Roman" w:eastAsia="仿宋_GB2312" w:cs="Times New Roman"/>
                <w:b/>
                <w:bCs/>
                <w:i w:val="0"/>
                <w:iCs w:val="0"/>
                <w:color w:val="000000"/>
                <w:kern w:val="0"/>
                <w:sz w:val="21"/>
                <w:szCs w:val="21"/>
                <w:highlight w:val="none"/>
                <w:u w:val="none"/>
                <w:lang w:val="en-US" w:eastAsia="zh-CN" w:bidi="ar"/>
              </w:rPr>
              <w:t>%</w:t>
            </w:r>
            <w:r>
              <w:rPr>
                <w:rFonts w:hint="eastAsia" w:ascii="Times New Roman" w:hAnsi="Times New Roman" w:eastAsia="仿宋_GB2312" w:cs="Times New Roman"/>
                <w:b/>
                <w:bCs/>
                <w:i w:val="0"/>
                <w:iCs w:val="0"/>
                <w:color w:val="000000"/>
                <w:kern w:val="0"/>
                <w:sz w:val="21"/>
                <w:szCs w:val="21"/>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6" w:hRule="atLeast"/>
          <w:jc w:val="center"/>
        </w:trPr>
        <w:tc>
          <w:tcPr>
            <w:tcW w:w="129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残疾人就业保障金</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60.00 </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1.57 </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58.43 </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58.43 </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 w:hRule="atLeast"/>
          <w:jc w:val="center"/>
        </w:trPr>
        <w:tc>
          <w:tcPr>
            <w:tcW w:w="129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残疾人康复</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11.25 </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11.25 </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11.25 </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jc w:val="center"/>
        </w:trPr>
        <w:tc>
          <w:tcPr>
            <w:tcW w:w="129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中央和省级财政残疾人事业发展补助资金</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4.30 </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4.30 </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4.30 </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jc w:val="center"/>
        </w:trPr>
        <w:tc>
          <w:tcPr>
            <w:tcW w:w="129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中央和省级财政残疾人事业发展补助资金</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17.98 </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17.98 </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17.98 </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jc w:val="center"/>
        </w:trPr>
        <w:tc>
          <w:tcPr>
            <w:tcW w:w="129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中央和省级财政残疾人事业发展补助资金</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25.18 </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25.18 </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25.18 </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 w:hRule="atLeast"/>
          <w:jc w:val="center"/>
        </w:trPr>
        <w:tc>
          <w:tcPr>
            <w:tcW w:w="129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州级财政残疾人事业发展补助资金</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2.85 </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2.85 </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2.12 </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74.39%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 w:hRule="atLeast"/>
          <w:jc w:val="center"/>
        </w:trPr>
        <w:tc>
          <w:tcPr>
            <w:tcW w:w="129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州级财政残疾人事业发展补助（村（社区）残协）资金）</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3.24 </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3.24 </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3.24 </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 w:hRule="atLeast"/>
          <w:jc w:val="center"/>
        </w:trPr>
        <w:tc>
          <w:tcPr>
            <w:tcW w:w="129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阿坝县残疾人就业创业能力提升项目（浙江援建）</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50.00 </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50.00 </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50.00 </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 w:hRule="atLeast"/>
          <w:jc w:val="center"/>
        </w:trPr>
        <w:tc>
          <w:tcPr>
            <w:tcW w:w="129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中央、省、州残疾人事业发展补助资金</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51.33 </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51.33 </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51.33 </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 w:hRule="atLeast"/>
          <w:jc w:val="center"/>
        </w:trPr>
        <w:tc>
          <w:tcPr>
            <w:tcW w:w="129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“净土阿坝，自强助学”</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4.94 </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4.94 </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4.94 </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 w:hRule="atLeast"/>
          <w:jc w:val="center"/>
        </w:trPr>
        <w:tc>
          <w:tcPr>
            <w:tcW w:w="129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村残协建设经费</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4.86 </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4.86 </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4.86 </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 w:hRule="atLeast"/>
          <w:jc w:val="center"/>
        </w:trPr>
        <w:tc>
          <w:tcPr>
            <w:tcW w:w="1294" w:type="pct"/>
            <w:tcBorders>
              <w:top w:val="single" w:color="000000" w:sz="4" w:space="0"/>
              <w:left w:val="single" w:color="000000" w:sz="4" w:space="0"/>
              <w:bottom w:val="single" w:color="000000" w:sz="4" w:space="0"/>
              <w:right w:val="single" w:color="000000" w:sz="4" w:space="0"/>
            </w:tcBorders>
            <w:shd w:val="clear" w:color="auto" w:fill="BEBEBE"/>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24"/>
                <w:szCs w:val="24"/>
                <w:highlight w:val="none"/>
                <w:lang w:val="en-US" w:eastAsia="zh-CN" w:bidi="ar"/>
              </w:rPr>
            </w:pPr>
            <w:r>
              <w:rPr>
                <w:rFonts w:hint="eastAsia" w:ascii="Times New Roman" w:hAnsi="Times New Roman" w:eastAsia="仿宋_GB2312" w:cs="Times New Roman"/>
                <w:b/>
                <w:bCs/>
                <w:color w:val="000000"/>
                <w:kern w:val="0"/>
                <w:sz w:val="24"/>
                <w:szCs w:val="24"/>
                <w:highlight w:val="none"/>
                <w:lang w:val="en-US" w:eastAsia="zh-CN" w:bidi="ar"/>
              </w:rPr>
              <w:t>合计</w:t>
            </w:r>
          </w:p>
        </w:tc>
        <w:tc>
          <w:tcPr>
            <w:tcW w:w="1487" w:type="dxa"/>
            <w:tcBorders>
              <w:top w:val="single" w:color="000000" w:sz="4" w:space="0"/>
              <w:left w:val="single" w:color="000000" w:sz="4" w:space="0"/>
              <w:bottom w:val="single" w:color="000000" w:sz="4" w:space="0"/>
              <w:right w:val="single" w:color="000000" w:sz="4" w:space="0"/>
            </w:tcBorders>
            <w:shd w:val="clear" w:color="auto" w:fill="BEBEBE"/>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lang w:val="en-US" w:eastAsia="zh-CN" w:bidi="ar"/>
              </w:rPr>
            </w:pPr>
            <w:r>
              <w:rPr>
                <w:rFonts w:hint="eastAsia" w:ascii="Times New Roman" w:hAnsi="Times New Roman" w:eastAsia="仿宋_GB2312" w:cs="Times New Roman"/>
                <w:b/>
                <w:bCs/>
                <w:color w:val="000000"/>
                <w:kern w:val="0"/>
                <w:sz w:val="24"/>
                <w:szCs w:val="24"/>
                <w:highlight w:val="none"/>
                <w:lang w:val="en-US" w:eastAsia="zh-CN" w:bidi="ar"/>
              </w:rPr>
              <w:t>60</w:t>
            </w:r>
          </w:p>
        </w:tc>
        <w:tc>
          <w:tcPr>
            <w:tcW w:w="956" w:type="dxa"/>
            <w:tcBorders>
              <w:top w:val="single" w:color="000000" w:sz="4" w:space="0"/>
              <w:left w:val="single" w:color="000000" w:sz="4" w:space="0"/>
              <w:bottom w:val="single" w:color="000000" w:sz="4" w:space="0"/>
              <w:right w:val="single" w:color="000000" w:sz="4" w:space="0"/>
            </w:tcBorders>
            <w:shd w:val="clear" w:color="auto" w:fill="BEBEBE"/>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lang w:val="en-US" w:eastAsia="zh-CN" w:bidi="ar"/>
              </w:rPr>
            </w:pPr>
            <w:r>
              <w:rPr>
                <w:rFonts w:hint="eastAsia" w:ascii="Times New Roman" w:hAnsi="Times New Roman" w:eastAsia="仿宋_GB2312" w:cs="Times New Roman"/>
                <w:b/>
                <w:bCs/>
                <w:color w:val="000000"/>
                <w:kern w:val="0"/>
                <w:sz w:val="24"/>
                <w:szCs w:val="24"/>
                <w:highlight w:val="none"/>
                <w:lang w:val="en-US" w:eastAsia="zh-CN" w:bidi="ar"/>
              </w:rPr>
              <w:t>175.93</w:t>
            </w:r>
          </w:p>
        </w:tc>
        <w:tc>
          <w:tcPr>
            <w:tcW w:w="1024" w:type="dxa"/>
            <w:tcBorders>
              <w:top w:val="single" w:color="000000" w:sz="4" w:space="0"/>
              <w:left w:val="single" w:color="000000" w:sz="4" w:space="0"/>
              <w:bottom w:val="single" w:color="000000" w:sz="4" w:space="0"/>
              <w:right w:val="single" w:color="000000" w:sz="4" w:space="0"/>
            </w:tcBorders>
            <w:shd w:val="clear" w:color="auto" w:fill="BEBEBE"/>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lang w:val="en-US" w:eastAsia="zh-CN" w:bidi="ar"/>
              </w:rPr>
            </w:pPr>
            <w:r>
              <w:rPr>
                <w:rFonts w:hint="eastAsia" w:ascii="Times New Roman" w:hAnsi="Times New Roman" w:eastAsia="仿宋_GB2312" w:cs="Times New Roman"/>
                <w:b/>
                <w:bCs/>
                <w:color w:val="000000"/>
                <w:kern w:val="0"/>
                <w:sz w:val="24"/>
                <w:szCs w:val="24"/>
                <w:highlight w:val="none"/>
                <w:lang w:val="en-US" w:eastAsia="zh-CN" w:bidi="ar"/>
              </w:rPr>
              <w:t>1.57</w:t>
            </w:r>
          </w:p>
        </w:tc>
        <w:tc>
          <w:tcPr>
            <w:tcW w:w="1366" w:type="dxa"/>
            <w:tcBorders>
              <w:top w:val="single" w:color="000000" w:sz="4" w:space="0"/>
              <w:left w:val="single" w:color="000000" w:sz="4" w:space="0"/>
              <w:bottom w:val="single" w:color="000000" w:sz="4" w:space="0"/>
              <w:right w:val="single" w:color="000000" w:sz="4" w:space="0"/>
            </w:tcBorders>
            <w:shd w:val="clear" w:color="auto" w:fill="BEBEBE"/>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lang w:val="en-US" w:eastAsia="zh-CN" w:bidi="ar"/>
              </w:rPr>
            </w:pPr>
            <w:r>
              <w:rPr>
                <w:rFonts w:hint="eastAsia" w:ascii="Times New Roman" w:hAnsi="Times New Roman" w:eastAsia="仿宋_GB2312" w:cs="Times New Roman"/>
                <w:b/>
                <w:bCs/>
                <w:color w:val="000000"/>
                <w:kern w:val="0"/>
                <w:sz w:val="24"/>
                <w:szCs w:val="24"/>
                <w:highlight w:val="none"/>
                <w:lang w:val="en-US" w:eastAsia="zh-CN" w:bidi="ar"/>
              </w:rPr>
              <w:t>234.36</w:t>
            </w:r>
          </w:p>
        </w:tc>
        <w:tc>
          <w:tcPr>
            <w:tcW w:w="1300" w:type="dxa"/>
            <w:tcBorders>
              <w:top w:val="single" w:color="000000" w:sz="4" w:space="0"/>
              <w:left w:val="single" w:color="000000" w:sz="4" w:space="0"/>
              <w:bottom w:val="single" w:color="000000" w:sz="4" w:space="0"/>
              <w:right w:val="single" w:color="000000" w:sz="4" w:space="0"/>
            </w:tcBorders>
            <w:shd w:val="clear" w:color="auto" w:fill="BEBEBE"/>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lang w:val="en-US" w:eastAsia="zh-CN" w:bidi="ar"/>
              </w:rPr>
            </w:pPr>
            <w:r>
              <w:rPr>
                <w:rFonts w:hint="eastAsia" w:ascii="Times New Roman" w:hAnsi="Times New Roman" w:eastAsia="仿宋_GB2312" w:cs="Times New Roman"/>
                <w:b/>
                <w:bCs/>
                <w:color w:val="000000"/>
                <w:kern w:val="0"/>
                <w:sz w:val="24"/>
                <w:szCs w:val="24"/>
                <w:highlight w:val="none"/>
                <w:lang w:val="en-US" w:eastAsia="zh-CN" w:bidi="ar"/>
              </w:rPr>
              <w:t>233.63</w:t>
            </w:r>
          </w:p>
        </w:tc>
        <w:tc>
          <w:tcPr>
            <w:tcW w:w="1144" w:type="dxa"/>
            <w:tcBorders>
              <w:top w:val="single" w:color="000000" w:sz="4" w:space="0"/>
              <w:left w:val="single" w:color="000000" w:sz="4" w:space="0"/>
              <w:bottom w:val="single" w:color="000000" w:sz="4" w:space="0"/>
              <w:right w:val="single" w:color="000000" w:sz="4" w:space="0"/>
            </w:tcBorders>
            <w:shd w:val="clear" w:color="auto" w:fill="BEBEBE"/>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lang w:val="en-US" w:eastAsia="zh-CN" w:bidi="ar"/>
              </w:rPr>
            </w:pPr>
            <w:r>
              <w:rPr>
                <w:rFonts w:hint="eastAsia" w:ascii="Times New Roman" w:hAnsi="Times New Roman" w:eastAsia="仿宋_GB2312" w:cs="Times New Roman"/>
                <w:b/>
                <w:bCs/>
                <w:color w:val="000000"/>
                <w:kern w:val="0"/>
                <w:sz w:val="24"/>
                <w:szCs w:val="24"/>
                <w:highlight w:val="none"/>
                <w:lang w:val="en-US" w:eastAsia="zh-CN" w:bidi="ar"/>
              </w:rPr>
              <w:t>99.69%</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综上，被评价单位202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年部门预算项目总执行进度为</w:t>
      </w:r>
      <w:r>
        <w:rPr>
          <w:rFonts w:hint="eastAsia" w:eastAsia="仿宋_GB2312" w:cs="Times New Roman"/>
          <w:color w:val="000000"/>
          <w:kern w:val="0"/>
          <w:sz w:val="32"/>
          <w:szCs w:val="32"/>
          <w:highlight w:val="none"/>
          <w:lang w:val="en-US" w:eastAsia="zh-CN" w:bidi="ar"/>
        </w:rPr>
        <w:t>99.69</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指标</w:t>
      </w:r>
      <w:r>
        <w:rPr>
          <w:rFonts w:hint="eastAsia" w:ascii="Times New Roman" w:hAnsi="Times New Roman" w:eastAsia="仿宋_GB2312" w:cs="Times New Roman"/>
          <w:color w:val="000000"/>
          <w:kern w:val="0"/>
          <w:sz w:val="32"/>
          <w:szCs w:val="32"/>
          <w:highlight w:val="none"/>
          <w:lang w:val="en-US" w:eastAsia="zh-CN" w:bidi="ar"/>
        </w:rPr>
        <w:t>得分</w:t>
      </w:r>
      <w:r>
        <w:rPr>
          <w:rFonts w:hint="eastAsia" w:eastAsia="仿宋_GB2312" w:cs="Times New Roman"/>
          <w:color w:val="000000"/>
          <w:kern w:val="0"/>
          <w:sz w:val="32"/>
          <w:szCs w:val="32"/>
          <w:highlight w:val="none"/>
          <w:lang w:val="en-US" w:eastAsia="zh-CN" w:bidi="ar"/>
        </w:rPr>
        <w:t>=99.69</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*8=7.98</w:t>
      </w:r>
      <w:r>
        <w:rPr>
          <w:rFonts w:hint="eastAsia" w:ascii="Times New Roman" w:hAnsi="Times New Roman" w:eastAsia="仿宋_GB2312" w:cs="Times New Roman"/>
          <w:color w:val="000000"/>
          <w:kern w:val="0"/>
          <w:sz w:val="32"/>
          <w:szCs w:val="32"/>
          <w:highlight w:val="none"/>
          <w:lang w:val="en-US" w:eastAsia="zh-CN" w:bidi="ar"/>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w:t>
      </w:r>
      <w:r>
        <w:rPr>
          <w:rFonts w:hint="eastAsia" w:eastAsia="仿宋_GB2312" w:cs="Times New Roman"/>
          <w:b/>
          <w:bCs/>
          <w:kern w:val="0"/>
          <w:sz w:val="32"/>
          <w:szCs w:val="32"/>
          <w:highlight w:val="none"/>
          <w:shd w:val="clear" w:color="auto" w:fill="FFFFFF"/>
          <w:lang w:val="en-US" w:eastAsia="zh-CN"/>
        </w:rPr>
        <w:t>违规记录</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lang w:val="en-US"/>
        </w:rPr>
      </w:pPr>
      <w:r>
        <w:rPr>
          <w:rFonts w:hint="eastAsia" w:eastAsia="仿宋_GB2312" w:cs="Times New Roman"/>
          <w:color w:val="000000"/>
          <w:kern w:val="0"/>
          <w:sz w:val="32"/>
          <w:szCs w:val="32"/>
          <w:highlight w:val="none"/>
          <w:lang w:val="en-US" w:eastAsia="zh-CN" w:bidi="ar"/>
        </w:rPr>
        <w:t>阿坝县残疾人联合会</w:t>
      </w:r>
      <w:r>
        <w:rPr>
          <w:rFonts w:hint="eastAsia" w:eastAsia="仿宋_GB2312" w:cs="Times New Roman"/>
          <w:b w:val="0"/>
          <w:bCs w:val="0"/>
          <w:kern w:val="0"/>
          <w:sz w:val="32"/>
          <w:szCs w:val="32"/>
          <w:highlight w:val="none"/>
          <w:shd w:val="clear" w:color="auto" w:fill="FFFFFF"/>
          <w:lang w:val="en-US" w:eastAsia="zh-CN"/>
        </w:rPr>
        <w:t>未接受过</w:t>
      </w:r>
      <w:r>
        <w:rPr>
          <w:rFonts w:hint="default" w:ascii="Times New Roman" w:hAnsi="Times New Roman" w:eastAsia="仿宋_GB2312" w:cs="Times New Roman"/>
          <w:b w:val="0"/>
          <w:bCs w:val="0"/>
          <w:kern w:val="0"/>
          <w:sz w:val="32"/>
          <w:szCs w:val="32"/>
          <w:highlight w:val="none"/>
          <w:shd w:val="clear" w:color="auto" w:fill="FFFFFF"/>
          <w:lang w:val="en-US" w:eastAsia="zh-CN"/>
        </w:rPr>
        <w:t>审计、财政</w:t>
      </w:r>
      <w:r>
        <w:rPr>
          <w:rFonts w:hint="eastAsia" w:eastAsia="仿宋_GB2312" w:cs="Times New Roman"/>
          <w:b w:val="0"/>
          <w:bCs w:val="0"/>
          <w:kern w:val="0"/>
          <w:sz w:val="32"/>
          <w:szCs w:val="32"/>
          <w:highlight w:val="none"/>
          <w:shd w:val="clear" w:color="auto" w:fill="FFFFFF"/>
          <w:lang w:val="en-US" w:eastAsia="zh-CN"/>
        </w:rPr>
        <w:t>等</w:t>
      </w:r>
      <w:r>
        <w:rPr>
          <w:rFonts w:hint="default" w:ascii="Times New Roman" w:hAnsi="Times New Roman" w:eastAsia="仿宋_GB2312" w:cs="Times New Roman"/>
          <w:b w:val="0"/>
          <w:bCs w:val="0"/>
          <w:kern w:val="0"/>
          <w:sz w:val="32"/>
          <w:szCs w:val="32"/>
          <w:highlight w:val="none"/>
          <w:shd w:val="clear" w:color="auto" w:fill="FFFFFF"/>
          <w:lang w:val="en-US" w:eastAsia="zh-CN"/>
        </w:rPr>
        <w:t>部门</w:t>
      </w:r>
      <w:r>
        <w:rPr>
          <w:rFonts w:hint="eastAsia" w:eastAsia="仿宋_GB2312" w:cs="Times New Roman"/>
          <w:b w:val="0"/>
          <w:bCs w:val="0"/>
          <w:kern w:val="0"/>
          <w:sz w:val="32"/>
          <w:szCs w:val="32"/>
          <w:highlight w:val="none"/>
          <w:shd w:val="clear" w:color="auto" w:fill="FFFFFF"/>
          <w:lang w:val="en-US" w:eastAsia="zh-CN"/>
        </w:rPr>
        <w:t>对2022年度部门</w:t>
      </w:r>
      <w:r>
        <w:rPr>
          <w:rFonts w:hint="default" w:ascii="Times New Roman" w:hAnsi="Times New Roman" w:eastAsia="仿宋_GB2312" w:cs="Times New Roman"/>
          <w:b w:val="0"/>
          <w:bCs w:val="0"/>
          <w:kern w:val="0"/>
          <w:sz w:val="32"/>
          <w:szCs w:val="32"/>
          <w:highlight w:val="none"/>
          <w:shd w:val="clear" w:color="auto" w:fill="FFFFFF"/>
          <w:lang w:val="en-US" w:eastAsia="zh-CN"/>
        </w:rPr>
        <w:t>预算管理</w:t>
      </w:r>
      <w:r>
        <w:rPr>
          <w:rFonts w:hint="eastAsia" w:eastAsia="仿宋_GB2312" w:cs="Times New Roman"/>
          <w:b w:val="0"/>
          <w:bCs w:val="0"/>
          <w:kern w:val="0"/>
          <w:sz w:val="32"/>
          <w:szCs w:val="32"/>
          <w:highlight w:val="none"/>
          <w:shd w:val="clear" w:color="auto" w:fill="FFFFFF"/>
          <w:lang w:val="en-US" w:eastAsia="zh-CN"/>
        </w:rPr>
        <w:t>方面的</w:t>
      </w:r>
      <w:r>
        <w:rPr>
          <w:rFonts w:hint="default" w:ascii="Times New Roman" w:hAnsi="Times New Roman" w:eastAsia="仿宋_GB2312" w:cs="Times New Roman"/>
          <w:b w:val="0"/>
          <w:bCs w:val="0"/>
          <w:kern w:val="0"/>
          <w:sz w:val="32"/>
          <w:szCs w:val="32"/>
          <w:highlight w:val="none"/>
          <w:shd w:val="clear" w:color="auto" w:fill="FFFFFF"/>
          <w:lang w:val="en-US" w:eastAsia="zh-CN"/>
        </w:rPr>
        <w:t>审计监督</w:t>
      </w:r>
      <w:r>
        <w:rPr>
          <w:rFonts w:hint="eastAsia" w:eastAsia="仿宋_GB2312" w:cs="Times New Roman"/>
          <w:b w:val="0"/>
          <w:bCs w:val="0"/>
          <w:kern w:val="0"/>
          <w:sz w:val="32"/>
          <w:szCs w:val="32"/>
          <w:highlight w:val="none"/>
          <w:shd w:val="clear" w:color="auto" w:fill="FFFFFF"/>
          <w:lang w:val="en-US" w:eastAsia="zh-CN"/>
        </w:rPr>
        <w:t>或财政检查</w:t>
      </w:r>
      <w:r>
        <w:rPr>
          <w:rFonts w:hint="default" w:ascii="Times New Roman" w:hAnsi="Times New Roman" w:eastAsia="仿宋_GB2312" w:cs="Times New Roman"/>
          <w:b w:val="0"/>
          <w:bCs w:val="0"/>
          <w:kern w:val="0"/>
          <w:sz w:val="32"/>
          <w:szCs w:val="32"/>
          <w:highlight w:val="none"/>
          <w:shd w:val="clear" w:color="auto" w:fill="FFFFFF"/>
          <w:lang w:val="en-US" w:eastAsia="zh-CN"/>
        </w:rPr>
        <w:t>。</w:t>
      </w:r>
    </w:p>
    <w:p>
      <w:pPr>
        <w:pStyle w:val="4"/>
        <w:spacing w:line="600" w:lineRule="exact"/>
        <w:ind w:firstLine="640"/>
        <w:rPr>
          <w:rFonts w:hint="default" w:ascii="Times New Roman" w:hAnsi="Times New Roman" w:eastAsia="仿宋_GB2312" w:cs="Times New Roman"/>
          <w:highlight w:val="none"/>
          <w:lang w:val="en-US" w:eastAsia="zh-CN"/>
        </w:rPr>
      </w:pPr>
      <w:bookmarkStart w:id="59" w:name="_Toc30356"/>
      <w:bookmarkStart w:id="60" w:name="_Toc31404"/>
      <w:r>
        <w:rPr>
          <w:rFonts w:hint="eastAsia" w:ascii="Times New Roman" w:hAnsi="Times New Roman" w:eastAsia="仿宋_GB2312" w:cs="Times New Roman"/>
          <w:highlight w:val="none"/>
          <w:lang w:val="en-US" w:eastAsia="zh-CN"/>
        </w:rPr>
        <w:t>2、专项预算管理</w:t>
      </w:r>
      <w:r>
        <w:rPr>
          <w:rFonts w:hint="eastAsia" w:eastAsia="仿宋_GB2312" w:cs="Times New Roman"/>
          <w:highlight w:val="none"/>
          <w:lang w:val="en-US" w:eastAsia="zh-CN"/>
        </w:rPr>
        <w:t>情况分析</w:t>
      </w:r>
      <w:bookmarkEnd w:id="59"/>
      <w:bookmarkEnd w:id="60"/>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highlight w:val="none"/>
          <w:shd w:val="clear" w:color="auto" w:fill="FFFFFF"/>
        </w:rPr>
        <w:t>该指标权</w:t>
      </w:r>
      <w:r>
        <w:rPr>
          <w:rFonts w:hint="default" w:ascii="Times New Roman" w:hAnsi="Times New Roman" w:eastAsia="仿宋_GB2312" w:cs="Times New Roman"/>
          <w:color w:val="000000"/>
          <w:kern w:val="0"/>
          <w:sz w:val="32"/>
          <w:szCs w:val="32"/>
          <w:highlight w:val="none"/>
          <w:lang w:val="en-US" w:eastAsia="zh-CN" w:bidi="ar"/>
        </w:rPr>
        <w:t>重为</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0分，评价权重</w:t>
      </w:r>
      <w:r>
        <w:rPr>
          <w:rFonts w:hint="eastAsia" w:eastAsia="仿宋_GB2312" w:cs="Times New Roman"/>
          <w:color w:val="000000"/>
          <w:kern w:val="0"/>
          <w:sz w:val="32"/>
          <w:szCs w:val="32"/>
          <w:highlight w:val="none"/>
          <w:lang w:val="en-US" w:eastAsia="zh-CN" w:bidi="ar"/>
        </w:rPr>
        <w:t>20</w:t>
      </w:r>
      <w:r>
        <w:rPr>
          <w:rFonts w:hint="default" w:ascii="Times New Roman" w:hAnsi="Times New Roman" w:eastAsia="仿宋_GB2312" w:cs="Times New Roman"/>
          <w:color w:val="000000"/>
          <w:kern w:val="0"/>
          <w:sz w:val="32"/>
          <w:szCs w:val="32"/>
          <w:highlight w:val="none"/>
          <w:lang w:val="en-US" w:eastAsia="zh-CN" w:bidi="ar"/>
        </w:rPr>
        <w:t>分，评价权重得</w:t>
      </w:r>
      <w:r>
        <w:rPr>
          <w:rFonts w:hint="eastAsia" w:eastAsia="仿宋_GB2312" w:cs="Times New Roman"/>
          <w:color w:val="000000"/>
          <w:kern w:val="0"/>
          <w:sz w:val="32"/>
          <w:szCs w:val="32"/>
          <w:highlight w:val="none"/>
          <w:lang w:val="en-US" w:eastAsia="zh-CN" w:bidi="ar"/>
        </w:rPr>
        <w:t>19</w:t>
      </w:r>
      <w:r>
        <w:rPr>
          <w:rFonts w:hint="default" w:ascii="Times New Roman" w:hAnsi="Times New Roman" w:eastAsia="仿宋_GB2312" w:cs="Times New Roman"/>
          <w:color w:val="000000"/>
          <w:kern w:val="0"/>
          <w:sz w:val="32"/>
          <w:szCs w:val="32"/>
          <w:highlight w:val="none"/>
          <w:lang w:val="en-US" w:eastAsia="zh-CN" w:bidi="ar"/>
        </w:rPr>
        <w:t>分。用于考察评价部门专项预算管理</w:t>
      </w:r>
      <w:r>
        <w:rPr>
          <w:rFonts w:hint="eastAsia" w:eastAsia="仿宋_GB2312" w:cs="Times New Roman"/>
          <w:color w:val="000000"/>
          <w:kern w:val="0"/>
          <w:sz w:val="32"/>
          <w:szCs w:val="32"/>
          <w:highlight w:val="none"/>
          <w:lang w:val="en-US" w:eastAsia="zh-CN" w:bidi="ar"/>
        </w:rPr>
        <w:t>情况</w:t>
      </w:r>
      <w:r>
        <w:rPr>
          <w:rFonts w:hint="default" w:ascii="Times New Roman" w:hAnsi="Times New Roman"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各分项指标得分和绩效分析如下：</w:t>
      </w:r>
    </w:p>
    <w:p>
      <w:pPr>
        <w:widowControl/>
        <w:spacing w:line="600" w:lineRule="exact"/>
        <w:ind w:firstLine="48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eastAsia" w:eastAsia="仿宋_GB2312" w:cs="Times New Roman"/>
          <w:b/>
          <w:bCs/>
          <w:color w:val="000000"/>
          <w:kern w:val="0"/>
          <w:highlight w:val="none"/>
          <w:lang w:val="en-US" w:eastAsia="zh-CN" w:bidi="ar"/>
        </w:rPr>
        <w:t>11</w:t>
      </w:r>
      <w:r>
        <w:rPr>
          <w:rFonts w:hint="default" w:ascii="Times New Roman" w:hAnsi="Times New Roman" w:eastAsia="仿宋_GB2312" w:cs="Times New Roman"/>
          <w:b/>
          <w:bCs/>
          <w:color w:val="000000"/>
          <w:kern w:val="0"/>
          <w:highlight w:val="none"/>
          <w:lang w:bidi="ar"/>
        </w:rPr>
        <w:t xml:space="preserve"> 部门整体支出</w:t>
      </w:r>
      <w:r>
        <w:rPr>
          <w:rFonts w:hint="default" w:ascii="Times New Roman" w:hAnsi="Times New Roman" w:eastAsia="仿宋_GB2312" w:cs="Times New Roman"/>
          <w:b/>
          <w:bCs/>
          <w:color w:val="000000"/>
          <w:kern w:val="0"/>
          <w:highlight w:val="none"/>
          <w:lang w:val="en-US" w:eastAsia="zh-CN" w:bidi="ar"/>
        </w:rPr>
        <w:t>专项预算管理</w:t>
      </w:r>
      <w:r>
        <w:rPr>
          <w:rFonts w:hint="eastAsia" w:ascii="Times New Roman" w:hAnsi="Times New Roman" w:eastAsia="仿宋_GB2312" w:cs="Times New Roman"/>
          <w:b/>
          <w:bCs/>
          <w:color w:val="000000"/>
          <w:kern w:val="0"/>
          <w:highlight w:val="none"/>
          <w:lang w:val="en-US" w:eastAsia="zh-CN" w:bidi="ar"/>
        </w:rPr>
        <w:t>情况</w:t>
      </w:r>
      <w:r>
        <w:rPr>
          <w:rFonts w:hint="default" w:ascii="Times New Roman" w:hAnsi="Times New Roman" w:eastAsia="仿宋_GB2312" w:cs="Times New Roman"/>
          <w:b/>
          <w:bCs/>
          <w:color w:val="000000"/>
          <w:kern w:val="0"/>
          <w:highlight w:val="none"/>
          <w:lang w:bidi="ar"/>
        </w:rPr>
        <w:t>得分表</w:t>
      </w:r>
    </w:p>
    <w:tbl>
      <w:tblPr>
        <w:tblStyle w:val="41"/>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0"/>
        <w:gridCol w:w="1506"/>
        <w:gridCol w:w="1294"/>
        <w:gridCol w:w="900"/>
        <w:gridCol w:w="1267"/>
        <w:gridCol w:w="1197"/>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2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一级指标</w:t>
            </w:r>
          </w:p>
        </w:tc>
        <w:tc>
          <w:tcPr>
            <w:tcW w:w="1506"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二级指标</w:t>
            </w:r>
          </w:p>
        </w:tc>
        <w:tc>
          <w:tcPr>
            <w:tcW w:w="129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三级指标</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评价权重</w:t>
            </w:r>
          </w:p>
        </w:tc>
        <w:tc>
          <w:tcPr>
            <w:tcW w:w="119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w:t>
            </w:r>
            <w:r>
              <w:rPr>
                <w:rFonts w:hint="default" w:ascii="Times New Roman" w:hAnsi="Times New Roman" w:eastAsia="仿宋_GB2312" w:cs="Times New Roman"/>
                <w:b/>
                <w:bCs/>
                <w:color w:val="000000"/>
                <w:kern w:val="0"/>
                <w:highlight w:val="none"/>
                <w:lang w:bidi="ar"/>
              </w:rPr>
              <w:t>得分</w:t>
            </w:r>
          </w:p>
        </w:tc>
        <w:tc>
          <w:tcPr>
            <w:tcW w:w="10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专项预算项管理（20分）</w:t>
            </w:r>
          </w:p>
        </w:tc>
        <w:tc>
          <w:tcPr>
            <w:tcW w:w="1506"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专项预算管理（20分）</w:t>
            </w:r>
          </w:p>
        </w:tc>
        <w:tc>
          <w:tcPr>
            <w:tcW w:w="129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专项预算管理</w:t>
            </w:r>
          </w:p>
        </w:tc>
        <w:tc>
          <w:tcPr>
            <w:tcW w:w="90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20</w:t>
            </w:r>
          </w:p>
        </w:tc>
        <w:tc>
          <w:tcPr>
            <w:tcW w:w="12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20</w:t>
            </w:r>
          </w:p>
        </w:tc>
        <w:tc>
          <w:tcPr>
            <w:tcW w:w="119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19</w:t>
            </w:r>
          </w:p>
        </w:tc>
        <w:tc>
          <w:tcPr>
            <w:tcW w:w="1062"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95</w:t>
            </w:r>
            <w:r>
              <w:rPr>
                <w:rFonts w:hint="default" w:eastAsia="仿宋_GB2312" w:cs="Times New Roman"/>
                <w:color w:val="000000"/>
                <w:kern w:val="0"/>
                <w:highlight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520"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2</w:t>
            </w:r>
            <w:r>
              <w:rPr>
                <w:rFonts w:hint="default" w:ascii="Times New Roman" w:hAnsi="Times New Roman" w:eastAsia="仿宋_GB2312" w:cs="Times New Roman"/>
                <w:b/>
                <w:bCs/>
                <w:color w:val="000000"/>
                <w:kern w:val="0"/>
                <w:highlight w:val="none"/>
                <w:lang w:val="en-US" w:eastAsia="zh-CN" w:bidi="ar"/>
              </w:rPr>
              <w:t>0</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20</w:t>
            </w:r>
          </w:p>
        </w:tc>
        <w:tc>
          <w:tcPr>
            <w:tcW w:w="1197"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19</w:t>
            </w:r>
          </w:p>
        </w:tc>
        <w:tc>
          <w:tcPr>
            <w:tcW w:w="1062"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9</w:t>
            </w:r>
            <w:r>
              <w:rPr>
                <w:rFonts w:hint="eastAsia" w:eastAsia="仿宋_GB2312" w:cs="Times New Roman"/>
                <w:b/>
                <w:bCs/>
                <w:color w:val="000000"/>
                <w:kern w:val="0"/>
                <w:highlight w:val="none"/>
                <w:lang w:val="en-US" w:eastAsia="zh-CN" w:bidi="ar"/>
              </w:rPr>
              <w:t>5</w:t>
            </w:r>
            <w:r>
              <w:rPr>
                <w:rFonts w:hint="default" w:eastAsia="仿宋_GB2312" w:cs="Times New Roman"/>
                <w:b/>
                <w:bCs/>
                <w:color w:val="000000"/>
                <w:kern w:val="0"/>
                <w:highlight w:val="none"/>
                <w:lang w:val="en-US" w:eastAsia="zh-CN" w:bidi="ar"/>
              </w:rPr>
              <w:t>%</w:t>
            </w:r>
          </w:p>
        </w:tc>
      </w:tr>
    </w:tbl>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——专项预算管理指标分析（权重</w:t>
      </w:r>
      <w:r>
        <w:rPr>
          <w:rFonts w:hint="eastAsia" w:eastAsia="仿宋_GB2312" w:cs="Times New Roman"/>
          <w:b/>
          <w:bCs/>
          <w:kern w:val="0"/>
          <w:sz w:val="32"/>
          <w:szCs w:val="32"/>
          <w:highlight w:val="none"/>
          <w:shd w:val="clear" w:color="auto" w:fill="FFFFFF"/>
          <w:lang w:val="en-US" w:eastAsia="zh-CN"/>
        </w:rPr>
        <w:t>20</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20</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19</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阿坝县残疾人联合会2022年专项项目11</w:t>
      </w:r>
      <w:r>
        <w:rPr>
          <w:rFonts w:hint="eastAsia" w:ascii="Times New Roman" w:hAnsi="Times New Roman" w:eastAsia="仿宋_GB2312" w:cs="Times New Roman"/>
          <w:color w:val="000000"/>
          <w:kern w:val="0"/>
          <w:sz w:val="32"/>
          <w:szCs w:val="32"/>
          <w:highlight w:val="none"/>
          <w:lang w:val="en-US" w:eastAsia="zh-CN" w:bidi="ar"/>
        </w:rPr>
        <w:t>个</w:t>
      </w:r>
      <w:r>
        <w:rPr>
          <w:rFonts w:hint="eastAsia" w:eastAsia="仿宋_GB2312" w:cs="Times New Roman"/>
          <w:color w:val="000000"/>
          <w:kern w:val="0"/>
          <w:sz w:val="32"/>
          <w:szCs w:val="32"/>
          <w:highlight w:val="none"/>
          <w:lang w:val="en-US" w:eastAsia="zh-CN" w:bidi="ar"/>
        </w:rPr>
        <w:t>，阿坝县残疾人联合会对其中1个项目</w:t>
      </w:r>
      <w:r>
        <w:rPr>
          <w:rFonts w:hint="eastAsia" w:ascii="Times New Roman" w:hAnsi="Times New Roman" w:eastAsia="仿宋_GB2312" w:cs="Times New Roman"/>
          <w:color w:val="000000"/>
          <w:kern w:val="0"/>
          <w:sz w:val="32"/>
          <w:szCs w:val="32"/>
          <w:highlight w:val="none"/>
          <w:lang w:val="en-US" w:eastAsia="zh-CN" w:bidi="ar"/>
        </w:rPr>
        <w:t>进行</w:t>
      </w:r>
      <w:r>
        <w:rPr>
          <w:rFonts w:hint="eastAsia" w:eastAsia="仿宋_GB2312" w:cs="Times New Roman"/>
          <w:color w:val="000000"/>
          <w:kern w:val="0"/>
          <w:sz w:val="32"/>
          <w:szCs w:val="32"/>
          <w:highlight w:val="none"/>
          <w:lang w:val="en-US" w:eastAsia="zh-CN" w:bidi="ar"/>
        </w:rPr>
        <w:t>了</w:t>
      </w:r>
      <w:r>
        <w:rPr>
          <w:rFonts w:hint="eastAsia" w:ascii="Times New Roman" w:hAnsi="Times New Roman" w:eastAsia="仿宋_GB2312" w:cs="Times New Roman"/>
          <w:color w:val="000000"/>
          <w:kern w:val="0"/>
          <w:sz w:val="32"/>
          <w:szCs w:val="32"/>
          <w:highlight w:val="none"/>
          <w:lang w:val="en-US" w:eastAsia="zh-CN" w:bidi="ar"/>
        </w:rPr>
        <w:t>自评打分并形成了自评报告，</w:t>
      </w:r>
      <w:r>
        <w:rPr>
          <w:rFonts w:hint="eastAsia" w:eastAsia="仿宋_GB2312" w:cs="Times New Roman"/>
          <w:color w:val="000000"/>
          <w:kern w:val="0"/>
          <w:sz w:val="32"/>
          <w:szCs w:val="32"/>
          <w:highlight w:val="none"/>
          <w:lang w:val="en-US" w:eastAsia="zh-CN" w:bidi="ar"/>
        </w:rPr>
        <w:t>残疾人事业发展补助资金</w:t>
      </w:r>
      <w:r>
        <w:rPr>
          <w:rFonts w:hint="eastAsia" w:ascii="Times New Roman" w:hAnsi="Times New Roman" w:eastAsia="仿宋_GB2312" w:cs="Times New Roman"/>
          <w:color w:val="000000"/>
          <w:kern w:val="0"/>
          <w:sz w:val="32"/>
          <w:szCs w:val="32"/>
          <w:highlight w:val="none"/>
          <w:lang w:val="en-US" w:eastAsia="zh-CN" w:bidi="ar"/>
        </w:rPr>
        <w:t>项目自评打分为</w:t>
      </w:r>
      <w:r>
        <w:rPr>
          <w:rFonts w:hint="eastAsia" w:eastAsia="仿宋_GB2312" w:cs="Times New Roman"/>
          <w:color w:val="000000"/>
          <w:kern w:val="0"/>
          <w:sz w:val="32"/>
          <w:szCs w:val="32"/>
          <w:highlight w:val="none"/>
          <w:lang w:val="en-US" w:eastAsia="zh-CN" w:bidi="ar"/>
        </w:rPr>
        <w:t>95</w:t>
      </w:r>
      <w:r>
        <w:rPr>
          <w:rFonts w:hint="eastAsia" w:ascii="Times New Roman" w:hAnsi="Times New Roman" w:eastAsia="仿宋_GB2312" w:cs="Times New Roman"/>
          <w:color w:val="000000"/>
          <w:kern w:val="0"/>
          <w:sz w:val="32"/>
          <w:szCs w:val="32"/>
          <w:highlight w:val="none"/>
          <w:lang w:val="en-US" w:eastAsia="zh-CN" w:bidi="ar"/>
        </w:rPr>
        <w:t>分。评价组根据</w:t>
      </w:r>
      <w:r>
        <w:rPr>
          <w:rFonts w:hint="eastAsia" w:eastAsia="仿宋_GB2312" w:cs="Times New Roman"/>
          <w:color w:val="000000"/>
          <w:kern w:val="0"/>
          <w:sz w:val="32"/>
          <w:szCs w:val="32"/>
          <w:highlight w:val="none"/>
          <w:lang w:val="en-US" w:eastAsia="zh-CN" w:bidi="ar"/>
        </w:rPr>
        <w:t>阿坝县残疾人联合会1</w:t>
      </w:r>
      <w:r>
        <w:rPr>
          <w:rFonts w:hint="eastAsia" w:ascii="Times New Roman" w:hAnsi="Times New Roman" w:eastAsia="仿宋_GB2312" w:cs="Times New Roman"/>
          <w:color w:val="000000"/>
          <w:kern w:val="0"/>
          <w:sz w:val="32"/>
          <w:szCs w:val="32"/>
          <w:highlight w:val="none"/>
          <w:lang w:val="en-US" w:eastAsia="zh-CN" w:bidi="ar"/>
        </w:rPr>
        <w:t>个202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w:t>
      </w:r>
      <w:r>
        <w:rPr>
          <w:rFonts w:hint="default" w:ascii="Times New Roman" w:hAnsi="Times New Roman" w:eastAsia="仿宋_GB2312" w:cs="Times New Roman"/>
          <w:color w:val="000000"/>
          <w:kern w:val="0"/>
          <w:sz w:val="32"/>
          <w:szCs w:val="32"/>
          <w:highlight w:val="none"/>
          <w:lang w:val="en-US" w:eastAsia="zh-CN" w:bidi="ar"/>
        </w:rPr>
        <w:t>专项预算项目</w:t>
      </w:r>
      <w:r>
        <w:rPr>
          <w:rFonts w:hint="eastAsia" w:ascii="Times New Roman" w:hAnsi="Times New Roman" w:eastAsia="仿宋_GB2312" w:cs="Times New Roman"/>
          <w:color w:val="000000"/>
          <w:kern w:val="0"/>
          <w:sz w:val="32"/>
          <w:szCs w:val="32"/>
          <w:highlight w:val="none"/>
          <w:lang w:val="en-US" w:eastAsia="zh-CN" w:bidi="ar"/>
        </w:rPr>
        <w:t>进行纠正分值后，</w:t>
      </w:r>
      <w:r>
        <w:rPr>
          <w:rFonts w:hint="eastAsia" w:eastAsia="仿宋_GB2312" w:cs="Times New Roman"/>
          <w:color w:val="000000"/>
          <w:kern w:val="0"/>
          <w:sz w:val="32"/>
          <w:szCs w:val="32"/>
          <w:highlight w:val="none"/>
          <w:lang w:val="en-US" w:eastAsia="zh-CN" w:bidi="ar"/>
        </w:rPr>
        <w:t>残疾人事业发展补助资金</w:t>
      </w:r>
      <w:r>
        <w:rPr>
          <w:rFonts w:hint="eastAsia" w:ascii="Times New Roman" w:hAnsi="Times New Roman" w:eastAsia="仿宋_GB2312" w:cs="Times New Roman"/>
          <w:color w:val="000000"/>
          <w:kern w:val="0"/>
          <w:sz w:val="32"/>
          <w:szCs w:val="32"/>
          <w:highlight w:val="none"/>
          <w:lang w:val="en-US" w:eastAsia="zh-CN" w:bidi="ar"/>
        </w:rPr>
        <w:t>项目</w:t>
      </w:r>
      <w:r>
        <w:rPr>
          <w:rFonts w:hint="eastAsia" w:eastAsia="仿宋_GB2312" w:cs="Times New Roman"/>
          <w:color w:val="000000"/>
          <w:kern w:val="0"/>
          <w:sz w:val="32"/>
          <w:szCs w:val="32"/>
          <w:highlight w:val="none"/>
          <w:lang w:val="en-US" w:eastAsia="zh-CN" w:bidi="ar"/>
        </w:rPr>
        <w:t>评价</w:t>
      </w:r>
      <w:r>
        <w:rPr>
          <w:rFonts w:hint="eastAsia" w:ascii="Times New Roman" w:hAnsi="Times New Roman" w:eastAsia="仿宋_GB2312" w:cs="Times New Roman"/>
          <w:color w:val="000000"/>
          <w:kern w:val="0"/>
          <w:sz w:val="32"/>
          <w:szCs w:val="32"/>
          <w:highlight w:val="none"/>
          <w:lang w:val="en-US" w:eastAsia="zh-CN" w:bidi="ar"/>
        </w:rPr>
        <w:t>打分为</w:t>
      </w:r>
      <w:r>
        <w:rPr>
          <w:rFonts w:hint="eastAsia" w:eastAsia="仿宋_GB2312" w:cs="Times New Roman"/>
          <w:color w:val="000000"/>
          <w:kern w:val="0"/>
          <w:sz w:val="32"/>
          <w:szCs w:val="32"/>
          <w:highlight w:val="none"/>
          <w:lang w:val="en-US" w:eastAsia="zh-CN" w:bidi="ar"/>
        </w:rPr>
        <w:t>95</w:t>
      </w:r>
      <w:r>
        <w:rPr>
          <w:rFonts w:hint="eastAsia" w:ascii="Times New Roman" w:hAnsi="Times New Roman" w:eastAsia="仿宋_GB2312" w:cs="Times New Roman"/>
          <w:color w:val="000000"/>
          <w:kern w:val="0"/>
          <w:sz w:val="32"/>
          <w:szCs w:val="32"/>
          <w:highlight w:val="none"/>
          <w:lang w:val="en-US" w:eastAsia="zh-CN" w:bidi="ar"/>
        </w:rPr>
        <w:t>分。综上，由评价组对其自评得分进行纠正后的得分，按0.2的比例得分为</w:t>
      </w:r>
      <w:r>
        <w:rPr>
          <w:rFonts w:hint="eastAsia" w:eastAsia="仿宋_GB2312" w:cs="Times New Roman"/>
          <w:color w:val="000000"/>
          <w:kern w:val="0"/>
          <w:sz w:val="32"/>
          <w:szCs w:val="32"/>
          <w:highlight w:val="none"/>
          <w:lang w:val="en-US" w:eastAsia="zh-CN" w:bidi="ar"/>
        </w:rPr>
        <w:t>19</w:t>
      </w:r>
      <w:r>
        <w:rPr>
          <w:rFonts w:hint="eastAsia" w:ascii="Times New Roman" w:hAnsi="Times New Roman" w:eastAsia="仿宋_GB2312" w:cs="Times New Roman"/>
          <w:color w:val="000000"/>
          <w:kern w:val="0"/>
          <w:sz w:val="32"/>
          <w:szCs w:val="32"/>
          <w:highlight w:val="none"/>
          <w:lang w:val="en-US" w:eastAsia="zh-CN" w:bidi="ar"/>
        </w:rPr>
        <w:t>分。</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rPr>
        <w:t>残疾人事业发展补助资金项目</w:t>
      </w:r>
      <w:r>
        <w:rPr>
          <w:rFonts w:hint="eastAsia" w:ascii="仿宋" w:hAnsi="仿宋" w:eastAsia="仿宋"/>
          <w:sz w:val="32"/>
          <w:szCs w:val="32"/>
          <w:highlight w:val="none"/>
          <w:lang w:val="en-US" w:eastAsia="zh-CN"/>
        </w:rPr>
        <w:t>指标打分如下：</w:t>
      </w:r>
    </w:p>
    <w:tbl>
      <w:tblPr>
        <w:tblStyle w:val="4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37"/>
        <w:gridCol w:w="1010"/>
        <w:gridCol w:w="1364"/>
        <w:gridCol w:w="1064"/>
        <w:gridCol w:w="1506"/>
        <w:gridCol w:w="999"/>
        <w:gridCol w:w="1170"/>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354" w:type="pct"/>
            <w:vMerge w:val="restar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bookmarkStart w:id="61" w:name="_Toc15102"/>
            <w:r>
              <w:rPr>
                <w:rFonts w:hint="default" w:ascii="Times New Roman" w:hAnsi="Times New Roman" w:eastAsia="仿宋_GB2312" w:cs="Times New Roman"/>
                <w:b/>
                <w:bCs/>
                <w:i w:val="0"/>
                <w:iCs w:val="0"/>
                <w:color w:val="auto"/>
                <w:kern w:val="0"/>
                <w:sz w:val="18"/>
                <w:szCs w:val="18"/>
                <w:u w:val="none"/>
                <w:lang w:val="en-US" w:eastAsia="zh-CN" w:bidi="ar"/>
              </w:rPr>
              <w:t>分值权重</w:t>
            </w:r>
          </w:p>
        </w:tc>
        <w:tc>
          <w:tcPr>
            <w:tcW w:w="2747" w:type="pct"/>
            <w:gridSpan w:val="4"/>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分层分类指标</w:t>
            </w:r>
          </w:p>
        </w:tc>
        <w:tc>
          <w:tcPr>
            <w:tcW w:w="555"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部门自评</w:t>
            </w:r>
          </w:p>
        </w:tc>
        <w:tc>
          <w:tcPr>
            <w:tcW w:w="650"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评价组</w:t>
            </w:r>
            <w:r>
              <w:rPr>
                <w:rFonts w:hint="eastAsia" w:ascii="Times New Roman" w:hAnsi="Times New Roman" w:eastAsia="仿宋_GB2312" w:cs="Times New Roman"/>
                <w:b/>
                <w:bCs/>
                <w:i w:val="0"/>
                <w:iCs w:val="0"/>
                <w:color w:val="auto"/>
                <w:kern w:val="0"/>
                <w:sz w:val="18"/>
                <w:szCs w:val="18"/>
                <w:u w:val="none"/>
                <w:lang w:val="en-US" w:eastAsia="zh-CN" w:bidi="ar"/>
              </w:rPr>
              <w:t>评</w:t>
            </w:r>
            <w:r>
              <w:rPr>
                <w:rFonts w:hint="default" w:ascii="Times New Roman" w:hAnsi="Times New Roman" w:eastAsia="仿宋_GB2312" w:cs="Times New Roman"/>
                <w:b/>
                <w:bCs/>
                <w:i w:val="0"/>
                <w:iCs w:val="0"/>
                <w:color w:val="auto"/>
                <w:kern w:val="0"/>
                <w:sz w:val="18"/>
                <w:szCs w:val="18"/>
                <w:u w:val="none"/>
                <w:lang w:val="en-US" w:eastAsia="zh-CN" w:bidi="ar"/>
              </w:rPr>
              <w:t>分</w:t>
            </w:r>
          </w:p>
        </w:tc>
        <w:tc>
          <w:tcPr>
            <w:tcW w:w="693" w:type="pct"/>
            <w:vMerge w:val="restar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分值差异原因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blHeader/>
          <w:jc w:val="center"/>
        </w:trPr>
        <w:tc>
          <w:tcPr>
            <w:tcW w:w="354" w:type="pct"/>
            <w:vMerge w:val="continue"/>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p>
        </w:tc>
        <w:tc>
          <w:tcPr>
            <w:tcW w:w="561"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分层指标</w:t>
            </w:r>
          </w:p>
        </w:tc>
        <w:tc>
          <w:tcPr>
            <w:tcW w:w="758"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适用范围</w:t>
            </w:r>
          </w:p>
        </w:tc>
        <w:tc>
          <w:tcPr>
            <w:tcW w:w="591"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一级指标</w:t>
            </w:r>
          </w:p>
        </w:tc>
        <w:tc>
          <w:tcPr>
            <w:tcW w:w="836"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二级指标</w:t>
            </w:r>
          </w:p>
        </w:tc>
        <w:tc>
          <w:tcPr>
            <w:tcW w:w="555"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得分</w:t>
            </w:r>
          </w:p>
        </w:tc>
        <w:tc>
          <w:tcPr>
            <w:tcW w:w="650"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得分</w:t>
            </w:r>
          </w:p>
        </w:tc>
        <w:tc>
          <w:tcPr>
            <w:tcW w:w="693" w:type="pct"/>
            <w:vMerge w:val="continue"/>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2%</w:t>
            </w:r>
          </w:p>
        </w:tc>
        <w:tc>
          <w:tcPr>
            <w:tcW w:w="561"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通用指标</w:t>
            </w:r>
          </w:p>
        </w:tc>
        <w:tc>
          <w:tcPr>
            <w:tcW w:w="758"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所有专项预算项目</w:t>
            </w:r>
          </w:p>
        </w:tc>
        <w:tc>
          <w:tcPr>
            <w:tcW w:w="591"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项目决策</w:t>
            </w:r>
          </w:p>
        </w:tc>
        <w:tc>
          <w:tcPr>
            <w:tcW w:w="836"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程序严密</w:t>
            </w:r>
          </w:p>
        </w:tc>
        <w:tc>
          <w:tcPr>
            <w:tcW w:w="999"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2</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2</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w:t>
            </w:r>
          </w:p>
        </w:tc>
        <w:tc>
          <w:tcPr>
            <w:tcW w:w="56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9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36"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规划合理★</w:t>
            </w:r>
          </w:p>
        </w:tc>
        <w:tc>
          <w:tcPr>
            <w:tcW w:w="999"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3</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3</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w:t>
            </w:r>
          </w:p>
        </w:tc>
        <w:tc>
          <w:tcPr>
            <w:tcW w:w="56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9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36"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制度完备</w:t>
            </w:r>
          </w:p>
        </w:tc>
        <w:tc>
          <w:tcPr>
            <w:tcW w:w="999"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2</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2</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4%</w:t>
            </w:r>
          </w:p>
        </w:tc>
        <w:tc>
          <w:tcPr>
            <w:tcW w:w="56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91"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项目实施</w:t>
            </w:r>
          </w:p>
        </w:tc>
        <w:tc>
          <w:tcPr>
            <w:tcW w:w="836"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分配合理★</w:t>
            </w:r>
          </w:p>
        </w:tc>
        <w:tc>
          <w:tcPr>
            <w:tcW w:w="999"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4</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4</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w:t>
            </w:r>
          </w:p>
        </w:tc>
        <w:tc>
          <w:tcPr>
            <w:tcW w:w="56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9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36"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使用合规</w:t>
            </w:r>
          </w:p>
        </w:tc>
        <w:tc>
          <w:tcPr>
            <w:tcW w:w="999"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3</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3</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2%</w:t>
            </w:r>
          </w:p>
        </w:tc>
        <w:tc>
          <w:tcPr>
            <w:tcW w:w="56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9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36"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执行有效</w:t>
            </w:r>
          </w:p>
        </w:tc>
        <w:tc>
          <w:tcPr>
            <w:tcW w:w="999"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2</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2</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w:t>
            </w:r>
          </w:p>
        </w:tc>
        <w:tc>
          <w:tcPr>
            <w:tcW w:w="56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91"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完成结果</w:t>
            </w:r>
          </w:p>
        </w:tc>
        <w:tc>
          <w:tcPr>
            <w:tcW w:w="836"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预算完成★</w:t>
            </w:r>
          </w:p>
        </w:tc>
        <w:tc>
          <w:tcPr>
            <w:tcW w:w="999"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3</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3</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10%</w:t>
            </w:r>
          </w:p>
        </w:tc>
        <w:tc>
          <w:tcPr>
            <w:tcW w:w="56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9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36"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资金结余★</w:t>
            </w:r>
          </w:p>
        </w:tc>
        <w:tc>
          <w:tcPr>
            <w:tcW w:w="999"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8</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8</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4%</w:t>
            </w:r>
          </w:p>
        </w:tc>
        <w:tc>
          <w:tcPr>
            <w:tcW w:w="56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9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36"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目标完成★</w:t>
            </w:r>
          </w:p>
        </w:tc>
        <w:tc>
          <w:tcPr>
            <w:tcW w:w="999"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4</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4</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5"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4%</w:t>
            </w:r>
          </w:p>
        </w:tc>
        <w:tc>
          <w:tcPr>
            <w:tcW w:w="56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9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36"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完成及时</w:t>
            </w:r>
          </w:p>
        </w:tc>
        <w:tc>
          <w:tcPr>
            <w:tcW w:w="999"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4</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4</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2%</w:t>
            </w:r>
          </w:p>
        </w:tc>
        <w:tc>
          <w:tcPr>
            <w:tcW w:w="56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9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836"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违规记录</w:t>
            </w:r>
          </w:p>
        </w:tc>
        <w:tc>
          <w:tcPr>
            <w:tcW w:w="999"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2</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2</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20%</w:t>
            </w:r>
          </w:p>
        </w:tc>
        <w:tc>
          <w:tcPr>
            <w:tcW w:w="561"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共性指标</w:t>
            </w:r>
          </w:p>
        </w:tc>
        <w:tc>
          <w:tcPr>
            <w:tcW w:w="758"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基础设施（设备购置）项目</w:t>
            </w:r>
          </w:p>
        </w:tc>
        <w:tc>
          <w:tcPr>
            <w:tcW w:w="591"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项目效果</w:t>
            </w:r>
          </w:p>
        </w:tc>
        <w:tc>
          <w:tcPr>
            <w:tcW w:w="1506"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区域均衡性</w:t>
            </w:r>
          </w:p>
        </w:tc>
        <w:tc>
          <w:tcPr>
            <w:tcW w:w="999"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6</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6</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6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9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506"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对象公平性★</w:t>
            </w:r>
          </w:p>
        </w:tc>
        <w:tc>
          <w:tcPr>
            <w:tcW w:w="999"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6</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eastAsia"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6</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eastAsia"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6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9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506"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社会满意度</w:t>
            </w:r>
          </w:p>
        </w:tc>
        <w:tc>
          <w:tcPr>
            <w:tcW w:w="999"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6</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6</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30%</w:t>
            </w:r>
          </w:p>
        </w:tc>
        <w:tc>
          <w:tcPr>
            <w:tcW w:w="561"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特性指标</w:t>
            </w:r>
          </w:p>
        </w:tc>
        <w:tc>
          <w:tcPr>
            <w:tcW w:w="758"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基础设施（设备购置）项目</w:t>
            </w:r>
          </w:p>
        </w:tc>
        <w:tc>
          <w:tcPr>
            <w:tcW w:w="591"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项目效益</w:t>
            </w:r>
          </w:p>
        </w:tc>
        <w:tc>
          <w:tcPr>
            <w:tcW w:w="1506"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审核把关</w:t>
            </w:r>
          </w:p>
        </w:tc>
        <w:tc>
          <w:tcPr>
            <w:tcW w:w="999"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15</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15</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6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91"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506"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资金使用率</w:t>
            </w:r>
          </w:p>
        </w:tc>
        <w:tc>
          <w:tcPr>
            <w:tcW w:w="999"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15</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15</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10%</w:t>
            </w:r>
          </w:p>
        </w:tc>
        <w:tc>
          <w:tcPr>
            <w:tcW w:w="1319" w:type="pct"/>
            <w:gridSpan w:val="2"/>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个性指标</w:t>
            </w:r>
          </w:p>
        </w:tc>
        <w:tc>
          <w:tcPr>
            <w:tcW w:w="591"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个性指标</w:t>
            </w:r>
          </w:p>
        </w:tc>
        <w:tc>
          <w:tcPr>
            <w:tcW w:w="836"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可持续性</w:t>
            </w:r>
          </w:p>
        </w:tc>
        <w:tc>
          <w:tcPr>
            <w:tcW w:w="999"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10</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10</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1" w:hRule="atLeast"/>
          <w:jc w:val="center"/>
        </w:trPr>
        <w:tc>
          <w:tcPr>
            <w:tcW w:w="3101" w:type="pct"/>
            <w:gridSpan w:val="5"/>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eastAsia" w:ascii="Times New Roman" w:hAnsi="Times New Roman" w:eastAsia="仿宋_GB2312" w:cs="Times New Roman"/>
                <w:b/>
                <w:bCs/>
                <w:i w:val="0"/>
                <w:iCs w:val="0"/>
                <w:color w:val="auto"/>
                <w:kern w:val="0"/>
                <w:sz w:val="18"/>
                <w:szCs w:val="18"/>
                <w:u w:val="none"/>
                <w:lang w:val="en-US" w:eastAsia="zh-CN" w:bidi="ar"/>
              </w:rPr>
              <w:t>总分</w:t>
            </w:r>
          </w:p>
        </w:tc>
        <w:tc>
          <w:tcPr>
            <w:tcW w:w="999" w:type="dxa"/>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eastAsia" w:eastAsia="仿宋_GB2312" w:cs="Times New Roman"/>
                <w:b/>
                <w:bCs/>
                <w:i w:val="0"/>
                <w:iCs w:val="0"/>
                <w:color w:val="auto"/>
                <w:kern w:val="0"/>
                <w:sz w:val="18"/>
                <w:szCs w:val="18"/>
                <w:u w:val="none"/>
                <w:lang w:val="en-US" w:eastAsia="zh-CN" w:bidi="ar"/>
              </w:rPr>
              <w:t>95</w:t>
            </w:r>
          </w:p>
        </w:tc>
        <w:tc>
          <w:tcPr>
            <w:tcW w:w="650"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eastAsia" w:eastAsia="仿宋_GB2312" w:cs="Times New Roman"/>
                <w:b/>
                <w:bCs/>
                <w:i w:val="0"/>
                <w:iCs w:val="0"/>
                <w:color w:val="auto"/>
                <w:kern w:val="0"/>
                <w:sz w:val="18"/>
                <w:szCs w:val="18"/>
                <w:u w:val="none"/>
                <w:lang w:val="en-US" w:eastAsia="zh-CN" w:bidi="ar"/>
              </w:rPr>
              <w:t>95</w:t>
            </w:r>
          </w:p>
        </w:tc>
        <w:tc>
          <w:tcPr>
            <w:tcW w:w="693"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残疾人事业发展补助资金项目基本情况：2022年残疾人事业发展补助资金全年预算104.88万元，预算执行数104.16万元，执行率99.31%。其中：一般公共预算全年预算数100.58万元，预算执行数99.845万元，执行率99.27%；彩票公益金全年预算数4.3万元，预算执行数4.3万元，执行率100%。2022年全县提供残疾人基本康复服务2108人次、参加农村实用技术培训50人、提供托养服务150人、发放残疾人机动轮椅车燃油补贴360人、救助残疾儿童7人、完成困难重度残疾人家庭无障碍改造47户、完成残疾人文化进家庭“五个一”31户、发放灵活就业补贴150人、扶持残疾人发展生产72人，精神病人服药补贴1人，精神病人住院补助1人，家庭医生签约增值服务600人，助学工程残疾学生85人，村残协建设81个，均完成了年度绩效目标。</w:t>
      </w:r>
    </w:p>
    <w:p>
      <w:pPr>
        <w:pStyle w:val="4"/>
        <w:spacing w:line="600" w:lineRule="exact"/>
        <w:ind w:firstLine="640"/>
        <w:rPr>
          <w:rFonts w:hint="default" w:ascii="Times New Roman" w:hAnsi="Times New Roman" w:eastAsia="仿宋_GB2312" w:cs="Times New Roman"/>
          <w:highlight w:val="none"/>
        </w:rPr>
      </w:pPr>
      <w:bookmarkStart w:id="62" w:name="_Toc234"/>
      <w:bookmarkStart w:id="63" w:name="_Toc6689"/>
      <w:r>
        <w:rPr>
          <w:rFonts w:hint="eastAsia" w:eastAsia="仿宋_GB2312" w:cs="Times New Roman"/>
          <w:highlight w:val="none"/>
          <w:lang w:val="en-US" w:eastAsia="zh-CN"/>
        </w:rPr>
        <w:t>3</w:t>
      </w:r>
      <w:r>
        <w:rPr>
          <w:rFonts w:hint="default" w:ascii="Times New Roman" w:hAnsi="Times New Roman" w:eastAsia="仿宋_GB2312" w:cs="Times New Roman"/>
          <w:highlight w:val="none"/>
        </w:rPr>
        <w:t>、</w:t>
      </w:r>
      <w:r>
        <w:rPr>
          <w:rFonts w:hint="default" w:ascii="Times New Roman" w:hAnsi="Times New Roman" w:eastAsia="仿宋_GB2312" w:cs="Times New Roman"/>
          <w:highlight w:val="none"/>
          <w:lang w:val="en-US" w:eastAsia="zh-CN"/>
        </w:rPr>
        <w:t>绩效结果应用</w:t>
      </w:r>
      <w:r>
        <w:rPr>
          <w:rFonts w:hint="default" w:ascii="Times New Roman" w:hAnsi="Times New Roman" w:eastAsia="仿宋_GB2312" w:cs="Times New Roman"/>
          <w:highlight w:val="none"/>
        </w:rPr>
        <w:t>情况分析</w:t>
      </w:r>
      <w:bookmarkEnd w:id="61"/>
      <w:bookmarkEnd w:id="62"/>
      <w:bookmarkEnd w:id="63"/>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highlight w:val="none"/>
          <w:shd w:val="clear" w:color="auto" w:fill="FFFFFF"/>
        </w:rPr>
        <w:t>该指标权</w:t>
      </w:r>
      <w:r>
        <w:rPr>
          <w:rFonts w:hint="default" w:ascii="Times New Roman" w:hAnsi="Times New Roman" w:eastAsia="仿宋_GB2312" w:cs="Times New Roman"/>
          <w:color w:val="000000"/>
          <w:kern w:val="0"/>
          <w:sz w:val="32"/>
          <w:szCs w:val="32"/>
          <w:highlight w:val="none"/>
          <w:lang w:val="en-US" w:eastAsia="zh-CN" w:bidi="ar"/>
        </w:rPr>
        <w:t>重为</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0分，评价权重</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分，评价权重得分</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分。用于考察评价部门是否按要求将相关绩效信息向社会公开</w:t>
      </w:r>
      <w:r>
        <w:rPr>
          <w:rFonts w:hint="eastAsia" w:eastAsia="仿宋_GB2312" w:cs="Times New Roman"/>
          <w:color w:val="000000"/>
          <w:kern w:val="0"/>
          <w:sz w:val="32"/>
          <w:szCs w:val="32"/>
          <w:highlight w:val="none"/>
          <w:lang w:val="en-US" w:eastAsia="zh-CN" w:bidi="ar"/>
        </w:rPr>
        <w:t>；评价部门根据绩效管理结果整改问题、完善政策、改进管理的情况；评价部门按要求及时向财政部门反馈结果应用情况等</w:t>
      </w:r>
      <w:r>
        <w:rPr>
          <w:rFonts w:hint="default" w:ascii="Times New Roman" w:hAnsi="Times New Roman"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各分项指标得分和绩效分析如下：</w:t>
      </w:r>
    </w:p>
    <w:p>
      <w:pPr>
        <w:widowControl/>
        <w:spacing w:line="600" w:lineRule="exact"/>
        <w:ind w:firstLine="48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eastAsia" w:eastAsia="仿宋_GB2312" w:cs="Times New Roman"/>
          <w:b/>
          <w:bCs/>
          <w:color w:val="000000"/>
          <w:kern w:val="0"/>
          <w:highlight w:val="none"/>
          <w:lang w:val="en-US" w:eastAsia="zh-CN" w:bidi="ar"/>
        </w:rPr>
        <w:t>12</w:t>
      </w:r>
      <w:r>
        <w:rPr>
          <w:rFonts w:hint="default" w:ascii="Times New Roman" w:hAnsi="Times New Roman" w:eastAsia="仿宋_GB2312" w:cs="Times New Roman"/>
          <w:b/>
          <w:bCs/>
          <w:color w:val="000000"/>
          <w:kern w:val="0"/>
          <w:highlight w:val="none"/>
          <w:lang w:bidi="ar"/>
        </w:rPr>
        <w:t xml:space="preserve"> 部门整体支出</w:t>
      </w:r>
      <w:r>
        <w:rPr>
          <w:rFonts w:hint="default" w:ascii="Times New Roman" w:hAnsi="Times New Roman" w:eastAsia="仿宋_GB2312" w:cs="Times New Roman"/>
          <w:b/>
          <w:bCs/>
          <w:color w:val="000000"/>
          <w:kern w:val="0"/>
          <w:highlight w:val="none"/>
          <w:lang w:val="en-US" w:eastAsia="zh-CN" w:bidi="ar"/>
        </w:rPr>
        <w:t>绩效结果</w:t>
      </w:r>
      <w:r>
        <w:rPr>
          <w:rFonts w:hint="eastAsia" w:eastAsia="仿宋_GB2312" w:cs="Times New Roman"/>
          <w:b/>
          <w:bCs/>
          <w:color w:val="000000"/>
          <w:kern w:val="0"/>
          <w:highlight w:val="none"/>
          <w:lang w:val="en-US" w:eastAsia="zh-CN" w:bidi="ar"/>
        </w:rPr>
        <w:t>应用</w:t>
      </w:r>
      <w:r>
        <w:rPr>
          <w:rFonts w:hint="default" w:ascii="Times New Roman" w:hAnsi="Times New Roman" w:eastAsia="仿宋_GB2312" w:cs="Times New Roman"/>
          <w:b/>
          <w:bCs/>
          <w:color w:val="000000"/>
          <w:kern w:val="0"/>
          <w:highlight w:val="none"/>
          <w:lang w:bidi="ar"/>
        </w:rPr>
        <w:t>情况得分表</w:t>
      </w:r>
    </w:p>
    <w:tbl>
      <w:tblPr>
        <w:tblStyle w:val="41"/>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0"/>
        <w:gridCol w:w="1333"/>
        <w:gridCol w:w="1467"/>
        <w:gridCol w:w="900"/>
        <w:gridCol w:w="1267"/>
        <w:gridCol w:w="1197"/>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2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一级指标</w:t>
            </w:r>
          </w:p>
        </w:tc>
        <w:tc>
          <w:tcPr>
            <w:tcW w:w="1333"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二级指标</w:t>
            </w:r>
          </w:p>
        </w:tc>
        <w:tc>
          <w:tcPr>
            <w:tcW w:w="14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三级指标</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评价权重</w:t>
            </w:r>
          </w:p>
        </w:tc>
        <w:tc>
          <w:tcPr>
            <w:tcW w:w="119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w:t>
            </w:r>
            <w:r>
              <w:rPr>
                <w:rFonts w:hint="default" w:ascii="Times New Roman" w:hAnsi="Times New Roman" w:eastAsia="仿宋_GB2312" w:cs="Times New Roman"/>
                <w:b/>
                <w:bCs/>
                <w:color w:val="000000"/>
                <w:kern w:val="0"/>
                <w:highlight w:val="none"/>
                <w:lang w:bidi="ar"/>
              </w:rPr>
              <w:t>得分</w:t>
            </w:r>
          </w:p>
        </w:tc>
        <w:tc>
          <w:tcPr>
            <w:tcW w:w="10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绩效结果应用（10分）</w:t>
            </w:r>
          </w:p>
        </w:tc>
        <w:tc>
          <w:tcPr>
            <w:tcW w:w="133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信息公开（2分）</w:t>
            </w:r>
          </w:p>
        </w:tc>
        <w:tc>
          <w:tcPr>
            <w:tcW w:w="14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自评公开</w:t>
            </w:r>
          </w:p>
        </w:tc>
        <w:tc>
          <w:tcPr>
            <w:tcW w:w="90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2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19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062"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72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333"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整改反馈（8分）</w:t>
            </w:r>
          </w:p>
        </w:tc>
        <w:tc>
          <w:tcPr>
            <w:tcW w:w="14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结果整改</w:t>
            </w:r>
          </w:p>
        </w:tc>
        <w:tc>
          <w:tcPr>
            <w:tcW w:w="90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4</w:t>
            </w:r>
          </w:p>
        </w:tc>
        <w:tc>
          <w:tcPr>
            <w:tcW w:w="3526" w:type="dxa"/>
            <w:gridSpan w:val="3"/>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72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333"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4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应用反馈</w:t>
            </w:r>
          </w:p>
        </w:tc>
        <w:tc>
          <w:tcPr>
            <w:tcW w:w="90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4</w:t>
            </w:r>
          </w:p>
        </w:tc>
        <w:tc>
          <w:tcPr>
            <w:tcW w:w="3526" w:type="dxa"/>
            <w:gridSpan w:val="3"/>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0"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1</w:t>
            </w:r>
            <w:r>
              <w:rPr>
                <w:rFonts w:hint="default" w:ascii="Times New Roman" w:hAnsi="Times New Roman" w:eastAsia="仿宋_GB2312" w:cs="Times New Roman"/>
                <w:b/>
                <w:bCs/>
                <w:color w:val="000000"/>
                <w:kern w:val="0"/>
                <w:highlight w:val="none"/>
                <w:lang w:val="en-US" w:eastAsia="zh-CN" w:bidi="ar"/>
              </w:rPr>
              <w:t>0</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2</w:t>
            </w:r>
          </w:p>
        </w:tc>
        <w:tc>
          <w:tcPr>
            <w:tcW w:w="119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2</w:t>
            </w:r>
          </w:p>
        </w:tc>
        <w:tc>
          <w:tcPr>
            <w:tcW w:w="10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100%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w:t>
      </w:r>
      <w:r>
        <w:rPr>
          <w:rFonts w:hint="eastAsia" w:eastAsia="仿宋_GB2312" w:cs="Times New Roman"/>
          <w:b/>
          <w:bCs/>
          <w:kern w:val="0"/>
          <w:sz w:val="32"/>
          <w:szCs w:val="32"/>
          <w:highlight w:val="none"/>
          <w:shd w:val="clear" w:color="auto" w:fill="FFFFFF"/>
          <w:lang w:val="en-US" w:eastAsia="zh-CN"/>
        </w:rPr>
        <w:t>自评公开</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2</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2</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2</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color w:val="000000"/>
          <w:kern w:val="0"/>
          <w:highlight w:val="none"/>
          <w:shd w:val="clear" w:color="auto" w:fill="FFFFFF"/>
          <w:lang w:val="en-US" w:eastAsia="zh-CN"/>
        </w:rPr>
      </w:pPr>
      <w:r>
        <w:rPr>
          <w:rFonts w:hint="eastAsia" w:eastAsia="仿宋_GB2312" w:cs="Times New Roman"/>
          <w:kern w:val="0"/>
          <w:sz w:val="32"/>
          <w:szCs w:val="32"/>
          <w:highlight w:val="none"/>
          <w:shd w:val="clear" w:color="auto" w:fill="FFFFFF"/>
          <w:lang w:val="en-US" w:eastAsia="zh-CN" w:bidi="ar-SA"/>
        </w:rPr>
        <w:t>阿坝县残疾人联合会</w:t>
      </w:r>
      <w:r>
        <w:rPr>
          <w:rFonts w:hint="eastAsia" w:ascii="Times New Roman" w:hAnsi="Times New Roman" w:eastAsia="仿宋_GB2312" w:cs="Times New Roman"/>
          <w:kern w:val="0"/>
          <w:sz w:val="32"/>
          <w:szCs w:val="32"/>
          <w:highlight w:val="none"/>
          <w:shd w:val="clear" w:color="auto" w:fill="FFFFFF"/>
          <w:lang w:val="en-US" w:eastAsia="zh-CN" w:bidi="ar-SA"/>
        </w:rPr>
        <w:t>已按要求将202</w:t>
      </w:r>
      <w:r>
        <w:rPr>
          <w:rFonts w:hint="eastAsia" w:eastAsia="仿宋_GB2312" w:cs="Times New Roman"/>
          <w:kern w:val="0"/>
          <w:sz w:val="32"/>
          <w:szCs w:val="32"/>
          <w:highlight w:val="none"/>
          <w:shd w:val="clear" w:color="auto" w:fill="FFFFFF"/>
          <w:lang w:val="en-US" w:eastAsia="zh-CN" w:bidi="ar-SA"/>
        </w:rPr>
        <w:t>2</w:t>
      </w:r>
      <w:r>
        <w:rPr>
          <w:rFonts w:hint="eastAsia" w:ascii="Times New Roman" w:hAnsi="Times New Roman" w:eastAsia="仿宋_GB2312" w:cs="Times New Roman"/>
          <w:kern w:val="0"/>
          <w:sz w:val="32"/>
          <w:szCs w:val="32"/>
          <w:highlight w:val="none"/>
          <w:shd w:val="clear" w:color="auto" w:fill="FFFFFF"/>
          <w:lang w:val="en-US" w:eastAsia="zh-CN" w:bidi="ar-SA"/>
        </w:rPr>
        <w:t>年预算、202</w:t>
      </w:r>
      <w:r>
        <w:rPr>
          <w:rFonts w:hint="eastAsia" w:eastAsia="仿宋_GB2312" w:cs="Times New Roman"/>
          <w:kern w:val="0"/>
          <w:sz w:val="32"/>
          <w:szCs w:val="32"/>
          <w:highlight w:val="none"/>
          <w:shd w:val="clear" w:color="auto" w:fill="FFFFFF"/>
          <w:lang w:val="en-US" w:eastAsia="zh-CN" w:bidi="ar-SA"/>
        </w:rPr>
        <w:t>2</w:t>
      </w:r>
      <w:r>
        <w:rPr>
          <w:rFonts w:hint="eastAsia" w:ascii="Times New Roman" w:hAnsi="Times New Roman" w:eastAsia="仿宋_GB2312" w:cs="Times New Roman"/>
          <w:kern w:val="0"/>
          <w:sz w:val="32"/>
          <w:szCs w:val="32"/>
          <w:highlight w:val="none"/>
          <w:shd w:val="clear" w:color="auto" w:fill="FFFFFF"/>
          <w:lang w:val="en-US" w:eastAsia="zh-CN" w:bidi="ar-SA"/>
        </w:rPr>
        <w:t>年决算在阿坝县人民政府网站上公开；其中</w:t>
      </w:r>
      <w:r>
        <w:rPr>
          <w:rFonts w:hint="eastAsia" w:eastAsia="仿宋_GB2312" w:cs="Times New Roman"/>
          <w:kern w:val="0"/>
          <w:sz w:val="32"/>
          <w:szCs w:val="32"/>
          <w:highlight w:val="none"/>
          <w:shd w:val="clear" w:color="auto" w:fill="FFFFFF"/>
          <w:lang w:val="en-US" w:eastAsia="zh-CN" w:bidi="ar-SA"/>
        </w:rPr>
        <w:t>阿坝县残疾人联合会</w:t>
      </w:r>
      <w:r>
        <w:rPr>
          <w:rFonts w:hint="eastAsia" w:ascii="Times New Roman" w:hAnsi="Times New Roman" w:eastAsia="仿宋_GB2312" w:cs="Times New Roman"/>
          <w:kern w:val="0"/>
          <w:sz w:val="32"/>
          <w:szCs w:val="32"/>
          <w:highlight w:val="none"/>
          <w:shd w:val="clear" w:color="auto" w:fill="FFFFFF"/>
          <w:lang w:val="en-US" w:eastAsia="zh-CN" w:bidi="ar-SA"/>
        </w:rPr>
        <w:t>于202</w:t>
      </w:r>
      <w:r>
        <w:rPr>
          <w:rFonts w:hint="eastAsia" w:eastAsia="仿宋_GB2312" w:cs="Times New Roman"/>
          <w:kern w:val="0"/>
          <w:sz w:val="32"/>
          <w:szCs w:val="32"/>
          <w:highlight w:val="none"/>
          <w:shd w:val="clear" w:color="auto" w:fill="FFFFFF"/>
          <w:lang w:val="en-US" w:eastAsia="zh-CN" w:bidi="ar-SA"/>
        </w:rPr>
        <w:t>2</w:t>
      </w:r>
      <w:r>
        <w:rPr>
          <w:rFonts w:hint="eastAsia" w:ascii="Times New Roman" w:hAnsi="Times New Roman" w:eastAsia="仿宋_GB2312" w:cs="Times New Roman"/>
          <w:kern w:val="0"/>
          <w:sz w:val="32"/>
          <w:szCs w:val="32"/>
          <w:highlight w:val="none"/>
          <w:shd w:val="clear" w:color="auto" w:fill="FFFFFF"/>
          <w:lang w:val="en-US" w:eastAsia="zh-CN" w:bidi="ar-SA"/>
        </w:rPr>
        <w:t>年</w:t>
      </w:r>
      <w:r>
        <w:rPr>
          <w:rFonts w:hint="eastAsia" w:eastAsia="仿宋_GB2312" w:cs="Times New Roman"/>
          <w:kern w:val="0"/>
          <w:sz w:val="32"/>
          <w:szCs w:val="32"/>
          <w:highlight w:val="none"/>
          <w:shd w:val="clear" w:color="auto" w:fill="FFFFFF"/>
          <w:lang w:val="en-US" w:eastAsia="zh-CN" w:bidi="ar-SA"/>
        </w:rPr>
        <w:t>1</w:t>
      </w:r>
      <w:r>
        <w:rPr>
          <w:rFonts w:hint="eastAsia" w:ascii="Times New Roman" w:hAnsi="Times New Roman" w:eastAsia="仿宋_GB2312" w:cs="Times New Roman"/>
          <w:kern w:val="0"/>
          <w:sz w:val="32"/>
          <w:szCs w:val="32"/>
          <w:highlight w:val="none"/>
          <w:shd w:val="clear" w:color="auto" w:fill="FFFFFF"/>
          <w:lang w:val="en-US" w:eastAsia="zh-CN" w:bidi="ar-SA"/>
        </w:rPr>
        <w:t>月</w:t>
      </w:r>
      <w:r>
        <w:rPr>
          <w:rFonts w:hint="eastAsia" w:eastAsia="仿宋_GB2312" w:cs="Times New Roman"/>
          <w:kern w:val="0"/>
          <w:sz w:val="32"/>
          <w:szCs w:val="32"/>
          <w:highlight w:val="none"/>
          <w:shd w:val="clear" w:color="auto" w:fill="FFFFFF"/>
          <w:lang w:val="en-US" w:eastAsia="zh-CN" w:bidi="ar-SA"/>
        </w:rPr>
        <w:t>27</w:t>
      </w:r>
      <w:r>
        <w:rPr>
          <w:rFonts w:hint="eastAsia" w:ascii="Times New Roman" w:hAnsi="Times New Roman" w:eastAsia="仿宋_GB2312" w:cs="Times New Roman"/>
          <w:kern w:val="0"/>
          <w:sz w:val="32"/>
          <w:szCs w:val="32"/>
          <w:highlight w:val="none"/>
          <w:shd w:val="clear" w:color="auto" w:fill="FFFFFF"/>
          <w:lang w:val="en-US" w:eastAsia="zh-CN" w:bidi="ar-SA"/>
        </w:rPr>
        <w:t>日公开202</w:t>
      </w:r>
      <w:r>
        <w:rPr>
          <w:rFonts w:hint="eastAsia" w:eastAsia="仿宋_GB2312" w:cs="Times New Roman"/>
          <w:kern w:val="0"/>
          <w:sz w:val="32"/>
          <w:szCs w:val="32"/>
          <w:highlight w:val="none"/>
          <w:shd w:val="clear" w:color="auto" w:fill="FFFFFF"/>
          <w:lang w:val="en-US" w:eastAsia="zh-CN" w:bidi="ar-SA"/>
        </w:rPr>
        <w:t>2</w:t>
      </w:r>
      <w:r>
        <w:rPr>
          <w:rFonts w:hint="eastAsia" w:ascii="Times New Roman" w:hAnsi="Times New Roman" w:eastAsia="仿宋_GB2312" w:cs="Times New Roman"/>
          <w:kern w:val="0"/>
          <w:sz w:val="32"/>
          <w:szCs w:val="32"/>
          <w:highlight w:val="none"/>
          <w:shd w:val="clear" w:color="auto" w:fill="FFFFFF"/>
          <w:lang w:val="en-US" w:eastAsia="zh-CN" w:bidi="ar-SA"/>
        </w:rPr>
        <w:t>年预算报表，202</w:t>
      </w:r>
      <w:r>
        <w:rPr>
          <w:rFonts w:hint="eastAsia" w:eastAsia="仿宋_GB2312" w:cs="Times New Roman"/>
          <w:kern w:val="0"/>
          <w:sz w:val="32"/>
          <w:szCs w:val="32"/>
          <w:highlight w:val="none"/>
          <w:shd w:val="clear" w:color="auto" w:fill="FFFFFF"/>
          <w:lang w:val="en-US" w:eastAsia="zh-CN" w:bidi="ar-SA"/>
        </w:rPr>
        <w:t>3</w:t>
      </w:r>
      <w:r>
        <w:rPr>
          <w:rFonts w:hint="eastAsia" w:ascii="Times New Roman" w:hAnsi="Times New Roman" w:eastAsia="仿宋_GB2312" w:cs="Times New Roman"/>
          <w:kern w:val="0"/>
          <w:sz w:val="32"/>
          <w:szCs w:val="32"/>
          <w:highlight w:val="none"/>
          <w:shd w:val="clear" w:color="auto" w:fill="FFFFFF"/>
          <w:lang w:val="en-US" w:eastAsia="zh-CN" w:bidi="ar-SA"/>
        </w:rPr>
        <w:t>年9月</w:t>
      </w:r>
      <w:r>
        <w:rPr>
          <w:rFonts w:hint="eastAsia" w:eastAsia="仿宋_GB2312" w:cs="Times New Roman"/>
          <w:kern w:val="0"/>
          <w:sz w:val="32"/>
          <w:szCs w:val="32"/>
          <w:highlight w:val="none"/>
          <w:shd w:val="clear" w:color="auto" w:fill="FFFFFF"/>
          <w:lang w:val="en-US" w:eastAsia="zh-CN" w:bidi="ar-SA"/>
        </w:rPr>
        <w:t>21</w:t>
      </w:r>
      <w:r>
        <w:rPr>
          <w:rFonts w:hint="eastAsia" w:ascii="Times New Roman" w:hAnsi="Times New Roman" w:eastAsia="仿宋_GB2312" w:cs="Times New Roman"/>
          <w:kern w:val="0"/>
          <w:sz w:val="32"/>
          <w:szCs w:val="32"/>
          <w:highlight w:val="none"/>
          <w:shd w:val="clear" w:color="auto" w:fill="FFFFFF"/>
          <w:lang w:val="en-US" w:eastAsia="zh-CN" w:bidi="ar-SA"/>
        </w:rPr>
        <w:t>日公开202</w:t>
      </w:r>
      <w:r>
        <w:rPr>
          <w:rFonts w:hint="eastAsia" w:eastAsia="仿宋_GB2312" w:cs="Times New Roman"/>
          <w:kern w:val="0"/>
          <w:sz w:val="32"/>
          <w:szCs w:val="32"/>
          <w:highlight w:val="none"/>
          <w:shd w:val="clear" w:color="auto" w:fill="FFFFFF"/>
          <w:lang w:val="en-US" w:eastAsia="zh-CN" w:bidi="ar-SA"/>
        </w:rPr>
        <w:t>2</w:t>
      </w:r>
      <w:r>
        <w:rPr>
          <w:rFonts w:hint="eastAsia" w:ascii="Times New Roman" w:hAnsi="Times New Roman" w:eastAsia="仿宋_GB2312" w:cs="Times New Roman"/>
          <w:kern w:val="0"/>
          <w:sz w:val="32"/>
          <w:szCs w:val="32"/>
          <w:highlight w:val="none"/>
          <w:shd w:val="clear" w:color="auto" w:fill="FFFFFF"/>
          <w:lang w:val="en-US" w:eastAsia="zh-CN" w:bidi="ar-SA"/>
        </w:rPr>
        <w:t>年决算报表</w:t>
      </w:r>
      <w:r>
        <w:rPr>
          <w:rFonts w:hint="eastAsia" w:eastAsia="仿宋_GB2312" w:cs="Times New Roman"/>
          <w:b w:val="0"/>
          <w:bCs w:val="0"/>
          <w:kern w:val="0"/>
          <w:sz w:val="32"/>
          <w:szCs w:val="32"/>
          <w:highlight w:val="none"/>
          <w:shd w:val="clear" w:color="auto" w:fill="FFFFFF"/>
          <w:lang w:val="en-US" w:eastAsia="zh-CN"/>
        </w:rPr>
        <w:t>。</w:t>
      </w:r>
    </w:p>
    <w:p>
      <w:pPr>
        <w:spacing w:line="360" w:lineRule="auto"/>
        <w:ind w:left="0" w:leftChars="0" w:firstLine="0" w:firstLineChars="0"/>
        <w:jc w:val="center"/>
        <w:rPr>
          <w:rFonts w:hint="default" w:ascii="Times New Roman" w:hAnsi="Times New Roman" w:eastAsia="仿宋_GB2312" w:cs="Times New Roman"/>
          <w:b w:val="0"/>
          <w:bCs w:val="0"/>
          <w:kern w:val="0"/>
          <w:sz w:val="32"/>
          <w:szCs w:val="32"/>
          <w:highlight w:val="none"/>
          <w:shd w:val="clear" w:color="auto" w:fill="FFFFFF"/>
          <w:lang w:val="en-US" w:eastAsia="zh-CN"/>
        </w:rPr>
      </w:pPr>
      <w:r>
        <w:rPr>
          <w:rFonts w:hint="default" w:ascii="Times New Roman" w:hAnsi="Times New Roman" w:eastAsia="仿宋_GB2312" w:cs="Times New Roman"/>
          <w:b/>
          <w:bCs/>
          <w:color w:val="000000"/>
          <w:kern w:val="0"/>
          <w:highlight w:val="none"/>
          <w:shd w:val="clear" w:color="auto" w:fill="FFFFFF"/>
          <w:lang w:val="en-US" w:eastAsia="zh-CN"/>
        </w:rPr>
        <w:t>图</w:t>
      </w:r>
      <w:r>
        <w:rPr>
          <w:rFonts w:hint="eastAsia" w:ascii="Times New Roman" w:hAnsi="Times New Roman" w:eastAsia="仿宋_GB2312" w:cs="Times New Roman"/>
          <w:b/>
          <w:bCs/>
          <w:color w:val="000000"/>
          <w:kern w:val="0"/>
          <w:highlight w:val="none"/>
          <w:shd w:val="clear" w:color="auto" w:fill="FFFFFF"/>
          <w:lang w:val="en-US" w:eastAsia="zh-CN"/>
        </w:rPr>
        <w:t>3</w:t>
      </w:r>
      <w:r>
        <w:rPr>
          <w:rFonts w:hint="default" w:ascii="Times New Roman" w:hAnsi="Times New Roman" w:eastAsia="仿宋_GB2312" w:cs="Times New Roman"/>
          <w:b/>
          <w:bCs/>
          <w:color w:val="000000"/>
          <w:kern w:val="0"/>
          <w:highlight w:val="none"/>
          <w:shd w:val="clear" w:color="auto" w:fill="FFFFFF"/>
          <w:lang w:val="en-US" w:eastAsia="zh-CN"/>
        </w:rPr>
        <w:t xml:space="preserve"> </w:t>
      </w:r>
      <w:r>
        <w:rPr>
          <w:rFonts w:hint="eastAsia" w:eastAsia="仿宋_GB2312" w:cs="Times New Roman"/>
          <w:b/>
          <w:bCs/>
          <w:color w:val="000000"/>
          <w:kern w:val="0"/>
          <w:highlight w:val="none"/>
          <w:shd w:val="clear" w:color="auto" w:fill="FFFFFF"/>
          <w:lang w:eastAsia="zh-CN"/>
        </w:rPr>
        <w:t>202</w:t>
      </w:r>
      <w:r>
        <w:rPr>
          <w:rFonts w:hint="eastAsia" w:eastAsia="仿宋_GB2312" w:cs="Times New Roman"/>
          <w:b/>
          <w:bCs/>
          <w:color w:val="000000"/>
          <w:kern w:val="0"/>
          <w:highlight w:val="none"/>
          <w:shd w:val="clear" w:color="auto" w:fill="FFFFFF"/>
          <w:lang w:val="en-US" w:eastAsia="zh-CN"/>
        </w:rPr>
        <w:t>2</w:t>
      </w:r>
      <w:r>
        <w:rPr>
          <w:rFonts w:hint="eastAsia" w:eastAsia="仿宋_GB2312" w:cs="Times New Roman"/>
          <w:b/>
          <w:bCs/>
          <w:color w:val="000000"/>
          <w:kern w:val="0"/>
          <w:highlight w:val="none"/>
          <w:shd w:val="clear" w:color="auto" w:fill="FFFFFF"/>
          <w:lang w:eastAsia="zh-CN"/>
        </w:rPr>
        <w:t>年</w:t>
      </w:r>
      <w:r>
        <w:rPr>
          <w:rFonts w:hint="default" w:ascii="Times New Roman" w:hAnsi="Times New Roman" w:eastAsia="仿宋_GB2312" w:cs="Times New Roman"/>
          <w:b/>
          <w:bCs/>
          <w:color w:val="000000"/>
          <w:kern w:val="0"/>
          <w:highlight w:val="none"/>
          <w:shd w:val="clear" w:color="auto" w:fill="FFFFFF"/>
        </w:rPr>
        <w:t>预算</w:t>
      </w:r>
      <w:r>
        <w:rPr>
          <w:rFonts w:hint="eastAsia" w:ascii="Times New Roman" w:hAnsi="Times New Roman" w:eastAsia="仿宋_GB2312" w:cs="Times New Roman"/>
          <w:b/>
          <w:bCs/>
          <w:color w:val="000000"/>
          <w:kern w:val="0"/>
          <w:highlight w:val="none"/>
          <w:shd w:val="clear" w:color="auto" w:fill="FFFFFF"/>
          <w:lang w:eastAsia="zh-CN"/>
        </w:rPr>
        <w:t>、</w:t>
      </w:r>
      <w:r>
        <w:rPr>
          <w:rFonts w:hint="eastAsia" w:ascii="Times New Roman" w:hAnsi="Times New Roman" w:eastAsia="仿宋_GB2312" w:cs="Times New Roman"/>
          <w:b/>
          <w:bCs/>
          <w:color w:val="000000"/>
          <w:kern w:val="0"/>
          <w:highlight w:val="none"/>
          <w:shd w:val="clear" w:color="auto" w:fill="FFFFFF"/>
          <w:lang w:val="en-US" w:eastAsia="zh-CN"/>
        </w:rPr>
        <w:t>决算公开</w:t>
      </w:r>
      <w:r>
        <w:rPr>
          <w:rFonts w:hint="default" w:ascii="Times New Roman" w:hAnsi="Times New Roman" w:eastAsia="仿宋_GB2312" w:cs="Times New Roman"/>
          <w:b/>
          <w:bCs/>
          <w:color w:val="000000"/>
          <w:kern w:val="0"/>
          <w:highlight w:val="none"/>
          <w:shd w:val="clear" w:color="auto" w:fill="FFFFFF"/>
        </w:rPr>
        <w:t>情况图</w:t>
      </w:r>
    </w:p>
    <w:p>
      <w:pPr>
        <w:pStyle w:val="24"/>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center"/>
        <w:textAlignment w:val="auto"/>
        <w:rPr>
          <w:rFonts w:hint="eastAsia" w:eastAsia="仿宋_GB2312" w:cs="Times New Roman"/>
          <w:highlight w:val="none"/>
          <w:lang w:val="en-US" w:eastAsia="zh-CN"/>
        </w:rPr>
      </w:pPr>
      <w:r>
        <w:drawing>
          <wp:inline distT="0" distB="0" distL="114300" distR="114300">
            <wp:extent cx="5572125" cy="3636645"/>
            <wp:effectExtent l="0" t="0" r="571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572125" cy="3636645"/>
                    </a:xfrm>
                    <a:prstGeom prst="rect">
                      <a:avLst/>
                    </a:prstGeom>
                    <a:noFill/>
                    <a:ln>
                      <a:noFill/>
                    </a:ln>
                  </pic:spPr>
                </pic:pic>
              </a:graphicData>
            </a:graphic>
          </wp:inline>
        </w:drawing>
      </w:r>
    </w:p>
    <w:p>
      <w:pPr>
        <w:pStyle w:val="4"/>
        <w:pageBreakBefore w:val="0"/>
        <w:widowControl w:val="0"/>
        <w:numPr>
          <w:ilvl w:val="0"/>
          <w:numId w:val="0"/>
        </w:numPr>
        <w:kinsoku/>
        <w:wordWrap/>
        <w:overflowPunct/>
        <w:topLinePunct w:val="0"/>
        <w:autoSpaceDE/>
        <w:autoSpaceDN/>
        <w:bidi w:val="0"/>
        <w:adjustRightInd/>
        <w:spacing w:line="600" w:lineRule="exact"/>
        <w:ind w:firstLine="321" w:firstLineChars="100"/>
        <w:textAlignment w:val="auto"/>
        <w:rPr>
          <w:rFonts w:hint="default" w:ascii="Times New Roman" w:hAnsi="Times New Roman" w:eastAsia="仿宋_GB2312" w:cs="Times New Roman"/>
          <w:highlight w:val="none"/>
        </w:rPr>
      </w:pPr>
      <w:bookmarkStart w:id="64" w:name="_Toc30183"/>
      <w:bookmarkStart w:id="65" w:name="_Toc6962"/>
      <w:r>
        <w:rPr>
          <w:rFonts w:hint="eastAsia" w:eastAsia="仿宋_GB2312" w:cs="Times New Roman"/>
          <w:highlight w:val="none"/>
          <w:lang w:val="en-US" w:eastAsia="zh-CN"/>
        </w:rPr>
        <w:t>4</w:t>
      </w:r>
      <w:r>
        <w:rPr>
          <w:rFonts w:hint="default" w:ascii="Times New Roman" w:hAnsi="Times New Roman" w:eastAsia="仿宋_GB2312" w:cs="Times New Roman"/>
          <w:highlight w:val="none"/>
          <w:lang w:val="en-US" w:eastAsia="zh-CN"/>
        </w:rPr>
        <w:t>、</w:t>
      </w:r>
      <w:r>
        <w:rPr>
          <w:rFonts w:hint="eastAsia" w:eastAsia="仿宋_GB2312" w:cs="Times New Roman"/>
          <w:highlight w:val="none"/>
          <w:lang w:val="en-US" w:eastAsia="zh-CN"/>
        </w:rPr>
        <w:t>自评质量情况</w:t>
      </w:r>
      <w:r>
        <w:rPr>
          <w:rFonts w:hint="default" w:ascii="Times New Roman" w:hAnsi="Times New Roman" w:eastAsia="仿宋_GB2312" w:cs="Times New Roman"/>
          <w:highlight w:val="none"/>
        </w:rPr>
        <w:t>分析</w:t>
      </w:r>
      <w:bookmarkEnd w:id="64"/>
      <w:bookmarkEnd w:id="65"/>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highlight w:val="none"/>
          <w:shd w:val="clear" w:color="auto" w:fill="FFFFFF"/>
        </w:rPr>
        <w:t>该指标权重为</w:t>
      </w:r>
      <w:r>
        <w:rPr>
          <w:rFonts w:hint="default" w:ascii="Times New Roman" w:hAnsi="Times New Roman" w:eastAsia="仿宋_GB2312" w:cs="Times New Roman"/>
          <w:color w:val="000000"/>
          <w:kern w:val="0"/>
          <w:sz w:val="32"/>
          <w:szCs w:val="32"/>
          <w:highlight w:val="none"/>
          <w:lang w:val="en-US" w:eastAsia="zh-CN" w:bidi="ar"/>
        </w:rPr>
        <w:t>10分，评价权重10分，评价权重得分</w:t>
      </w:r>
      <w:r>
        <w:rPr>
          <w:rFonts w:hint="eastAsia" w:eastAsia="仿宋_GB2312" w:cs="Times New Roman"/>
          <w:color w:val="000000"/>
          <w:kern w:val="0"/>
          <w:sz w:val="32"/>
          <w:szCs w:val="32"/>
          <w:highlight w:val="none"/>
          <w:lang w:val="en-US" w:eastAsia="zh-CN" w:bidi="ar"/>
        </w:rPr>
        <w:t>6</w:t>
      </w:r>
      <w:r>
        <w:rPr>
          <w:rFonts w:hint="default" w:ascii="Times New Roman" w:hAnsi="Times New Roman" w:eastAsia="仿宋_GB2312" w:cs="Times New Roman"/>
          <w:color w:val="000000"/>
          <w:kern w:val="0"/>
          <w:sz w:val="32"/>
          <w:szCs w:val="32"/>
          <w:highlight w:val="none"/>
          <w:lang w:val="en-US" w:eastAsia="zh-CN" w:bidi="ar"/>
        </w:rPr>
        <w:t>分。用于考察评价部门整体支出自评质量</w:t>
      </w:r>
      <w:r>
        <w:rPr>
          <w:rFonts w:hint="eastAsia" w:eastAsia="仿宋_GB2312" w:cs="Times New Roman"/>
          <w:color w:val="000000"/>
          <w:kern w:val="0"/>
          <w:sz w:val="32"/>
          <w:szCs w:val="32"/>
          <w:highlight w:val="none"/>
          <w:lang w:val="en-US" w:eastAsia="zh-CN" w:bidi="ar"/>
        </w:rPr>
        <w:t>情况</w:t>
      </w:r>
      <w:r>
        <w:rPr>
          <w:rFonts w:hint="default" w:ascii="Times New Roman" w:hAnsi="Times New Roman" w:eastAsia="仿宋_GB2312" w:cs="Times New Roman"/>
          <w:color w:val="000000"/>
          <w:kern w:val="0"/>
          <w:sz w:val="32"/>
          <w:szCs w:val="32"/>
          <w:highlight w:val="none"/>
          <w:lang w:val="en-US" w:eastAsia="zh-CN" w:bidi="ar"/>
        </w:rPr>
        <w:t>。</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b/>
          <w:bCs/>
          <w:color w:val="000000"/>
          <w:kern w:val="0"/>
          <w:sz w:val="21"/>
          <w:szCs w:val="21"/>
          <w:highlight w:val="none"/>
          <w:lang w:bidi="ar"/>
        </w:rPr>
      </w:pPr>
      <w:r>
        <w:rPr>
          <w:rFonts w:hint="default" w:ascii="Times New Roman" w:hAnsi="Times New Roman" w:eastAsia="仿宋_GB2312" w:cs="Times New Roman"/>
          <w:color w:val="000000"/>
          <w:kern w:val="0"/>
          <w:sz w:val="32"/>
          <w:szCs w:val="32"/>
          <w:highlight w:val="none"/>
          <w:lang w:val="en-US" w:eastAsia="zh-CN" w:bidi="ar"/>
        </w:rPr>
        <w:t>各分项指标得分和绩效分析</w:t>
      </w:r>
      <w:r>
        <w:rPr>
          <w:rFonts w:hint="default" w:ascii="Times New Roman" w:hAnsi="Times New Roman" w:eastAsia="仿宋_GB2312" w:cs="Times New Roman"/>
          <w:kern w:val="0"/>
          <w:sz w:val="32"/>
          <w:szCs w:val="32"/>
          <w:highlight w:val="none"/>
          <w:shd w:val="clear" w:color="auto" w:fill="FFFFFF"/>
        </w:rPr>
        <w:t>如下：</w:t>
      </w:r>
    </w:p>
    <w:p>
      <w:pPr>
        <w:widowControl/>
        <w:spacing w:line="600" w:lineRule="exact"/>
        <w:ind w:firstLine="480"/>
        <w:jc w:val="center"/>
        <w:rPr>
          <w:rFonts w:hint="default" w:ascii="Times New Roman" w:hAnsi="Times New Roman" w:eastAsia="仿宋_GB2312" w:cs="Times New Roman"/>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eastAsia" w:eastAsia="仿宋_GB2312" w:cs="Times New Roman"/>
          <w:b/>
          <w:bCs/>
          <w:color w:val="000000"/>
          <w:kern w:val="0"/>
          <w:highlight w:val="none"/>
          <w:lang w:val="en-US" w:eastAsia="zh-CN" w:bidi="ar"/>
        </w:rPr>
        <w:t>13</w:t>
      </w:r>
      <w:r>
        <w:rPr>
          <w:rFonts w:hint="default" w:ascii="Times New Roman" w:hAnsi="Times New Roman" w:eastAsia="仿宋_GB2312" w:cs="Times New Roman"/>
          <w:b/>
          <w:bCs/>
          <w:color w:val="000000"/>
          <w:kern w:val="0"/>
          <w:highlight w:val="none"/>
          <w:lang w:bidi="ar"/>
        </w:rPr>
        <w:t xml:space="preserve"> 部门整体支出</w:t>
      </w:r>
      <w:r>
        <w:rPr>
          <w:rFonts w:hint="default" w:ascii="Times New Roman" w:hAnsi="Times New Roman" w:eastAsia="仿宋_GB2312" w:cs="Times New Roman"/>
          <w:b/>
          <w:bCs/>
          <w:color w:val="000000"/>
          <w:kern w:val="0"/>
          <w:highlight w:val="none"/>
          <w:lang w:val="en-US" w:eastAsia="zh-CN" w:bidi="ar"/>
        </w:rPr>
        <w:t>自评</w:t>
      </w:r>
      <w:r>
        <w:rPr>
          <w:rFonts w:hint="eastAsia" w:eastAsia="仿宋_GB2312" w:cs="Times New Roman"/>
          <w:b/>
          <w:bCs/>
          <w:color w:val="000000"/>
          <w:kern w:val="0"/>
          <w:highlight w:val="none"/>
          <w:lang w:val="en-US" w:eastAsia="zh-CN" w:bidi="ar"/>
        </w:rPr>
        <w:t>质量</w:t>
      </w:r>
      <w:r>
        <w:rPr>
          <w:rFonts w:hint="default" w:ascii="Times New Roman" w:hAnsi="Times New Roman" w:eastAsia="仿宋_GB2312" w:cs="Times New Roman"/>
          <w:b/>
          <w:bCs/>
          <w:color w:val="000000"/>
          <w:kern w:val="0"/>
          <w:highlight w:val="none"/>
          <w:lang w:bidi="ar"/>
        </w:rPr>
        <w:t>情况得分表</w:t>
      </w:r>
    </w:p>
    <w:tbl>
      <w:tblPr>
        <w:tblStyle w:val="41"/>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5"/>
        <w:gridCol w:w="1800"/>
        <w:gridCol w:w="1543"/>
        <w:gridCol w:w="962"/>
        <w:gridCol w:w="866"/>
        <w:gridCol w:w="789"/>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1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一级指标</w:t>
            </w:r>
          </w:p>
        </w:tc>
        <w:tc>
          <w:tcPr>
            <w:tcW w:w="18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二级指标</w:t>
            </w:r>
          </w:p>
        </w:tc>
        <w:tc>
          <w:tcPr>
            <w:tcW w:w="1543"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三级指标</w:t>
            </w:r>
          </w:p>
        </w:tc>
        <w:tc>
          <w:tcPr>
            <w:tcW w:w="9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866"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评价权重</w:t>
            </w:r>
          </w:p>
        </w:tc>
        <w:tc>
          <w:tcPr>
            <w:tcW w:w="789"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w:t>
            </w:r>
            <w:r>
              <w:rPr>
                <w:rFonts w:hint="default" w:ascii="Times New Roman" w:hAnsi="Times New Roman" w:eastAsia="仿宋_GB2312" w:cs="Times New Roman"/>
                <w:b/>
                <w:bCs/>
                <w:color w:val="000000"/>
                <w:kern w:val="0"/>
                <w:highlight w:val="none"/>
                <w:lang w:bidi="ar"/>
              </w:rPr>
              <w:t>得分</w:t>
            </w:r>
          </w:p>
        </w:tc>
        <w:tc>
          <w:tcPr>
            <w:tcW w:w="109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5"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ascii="Times New Roman" w:hAnsi="Times New Roman" w:eastAsia="仿宋_GB2312" w:cs="Times New Roman"/>
                <w:color w:val="000000"/>
                <w:kern w:val="0"/>
                <w:highlight w:val="none"/>
                <w:lang w:val="en-US" w:eastAsia="zh-CN" w:bidi="ar"/>
              </w:rPr>
              <w:t>自评质量（10分）</w:t>
            </w:r>
          </w:p>
        </w:tc>
        <w:tc>
          <w:tcPr>
            <w:tcW w:w="1800"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ascii="Times New Roman" w:hAnsi="Times New Roman" w:eastAsia="仿宋_GB2312" w:cs="Times New Roman"/>
                <w:color w:val="000000"/>
                <w:kern w:val="0"/>
                <w:highlight w:val="none"/>
                <w:lang w:val="en-US" w:eastAsia="zh-CN" w:bidi="ar"/>
              </w:rPr>
              <w:t>自评质量</w:t>
            </w:r>
            <w:r>
              <w:rPr>
                <w:rFonts w:hint="eastAsia" w:eastAsia="仿宋_GB2312" w:cs="Times New Roman"/>
                <w:color w:val="000000"/>
                <w:kern w:val="0"/>
                <w:highlight w:val="none"/>
                <w:lang w:val="en-US" w:eastAsia="zh-CN" w:bidi="ar"/>
              </w:rPr>
              <w:t>（10）</w:t>
            </w:r>
          </w:p>
        </w:tc>
        <w:tc>
          <w:tcPr>
            <w:tcW w:w="1543"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ascii="Times New Roman" w:hAnsi="Times New Roman" w:eastAsia="仿宋_GB2312" w:cs="Times New Roman"/>
                <w:color w:val="000000"/>
                <w:kern w:val="0"/>
                <w:highlight w:val="none"/>
                <w:lang w:val="en-US" w:eastAsia="zh-CN" w:bidi="ar"/>
              </w:rPr>
              <w:t>自评</w:t>
            </w:r>
            <w:r>
              <w:rPr>
                <w:rFonts w:hint="eastAsia" w:eastAsia="仿宋_GB2312" w:cs="Times New Roman"/>
                <w:color w:val="000000"/>
                <w:kern w:val="0"/>
                <w:highlight w:val="none"/>
                <w:lang w:val="en-US" w:eastAsia="zh-CN" w:bidi="ar"/>
              </w:rPr>
              <w:t>准确</w:t>
            </w:r>
          </w:p>
        </w:tc>
        <w:tc>
          <w:tcPr>
            <w:tcW w:w="962"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ascii="Times New Roman" w:hAnsi="Times New Roman" w:eastAsia="仿宋_GB2312" w:cs="Times New Roman"/>
                <w:color w:val="000000"/>
                <w:kern w:val="0"/>
                <w:highlight w:val="none"/>
                <w:lang w:val="en-US" w:eastAsia="zh-CN" w:bidi="ar"/>
              </w:rPr>
              <w:t>10</w:t>
            </w:r>
          </w:p>
        </w:tc>
        <w:tc>
          <w:tcPr>
            <w:tcW w:w="866"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ascii="Times New Roman" w:hAnsi="Times New Roman" w:eastAsia="仿宋_GB2312" w:cs="Times New Roman"/>
                <w:color w:val="000000"/>
                <w:kern w:val="0"/>
                <w:highlight w:val="none"/>
                <w:lang w:val="en-US" w:eastAsia="zh-CN" w:bidi="ar"/>
              </w:rPr>
              <w:t>10</w:t>
            </w:r>
          </w:p>
        </w:tc>
        <w:tc>
          <w:tcPr>
            <w:tcW w:w="789"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6</w:t>
            </w:r>
          </w:p>
        </w:tc>
        <w:tc>
          <w:tcPr>
            <w:tcW w:w="1092"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8"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9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10</w:t>
            </w:r>
          </w:p>
        </w:tc>
        <w:tc>
          <w:tcPr>
            <w:tcW w:w="866"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10</w:t>
            </w:r>
          </w:p>
        </w:tc>
        <w:tc>
          <w:tcPr>
            <w:tcW w:w="789"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6</w:t>
            </w:r>
          </w:p>
        </w:tc>
        <w:tc>
          <w:tcPr>
            <w:tcW w:w="109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60%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——自评</w:t>
      </w:r>
      <w:r>
        <w:rPr>
          <w:rFonts w:hint="eastAsia" w:eastAsia="仿宋_GB2312" w:cs="Times New Roman"/>
          <w:b/>
          <w:bCs/>
          <w:kern w:val="0"/>
          <w:sz w:val="32"/>
          <w:szCs w:val="32"/>
          <w:highlight w:val="none"/>
          <w:shd w:val="clear" w:color="auto" w:fill="FFFFFF"/>
          <w:lang w:val="en-US" w:eastAsia="zh-CN"/>
        </w:rPr>
        <w:t>准确</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10</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10</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b w:val="0"/>
          <w:bCs w:val="0"/>
          <w:color w:val="000000"/>
          <w:kern w:val="0"/>
          <w:sz w:val="32"/>
          <w:szCs w:val="32"/>
          <w:highlight w:val="none"/>
          <w:lang w:val="en-US" w:eastAsia="zh-CN" w:bidi="ar"/>
        </w:rPr>
      </w:pPr>
      <w:bookmarkStart w:id="66" w:name="_Toc24346"/>
      <w:r>
        <w:rPr>
          <w:rFonts w:hint="default" w:ascii="Times New Roman" w:hAnsi="Times New Roman" w:eastAsia="仿宋_GB2312" w:cs="Times New Roman"/>
          <w:b w:val="0"/>
          <w:kern w:val="0"/>
          <w:sz w:val="32"/>
          <w:szCs w:val="32"/>
          <w:highlight w:val="none"/>
          <w:shd w:val="clear" w:color="auto" w:fill="FFFFFF"/>
          <w:lang w:val="en-US" w:eastAsia="zh-CN" w:bidi="ar-SA"/>
        </w:rPr>
        <w:t>根据指标适用情况与被评价单位自评表对比，指标体系表除编制准确</w:t>
      </w:r>
      <w:r>
        <w:rPr>
          <w:rFonts w:hint="eastAsia" w:eastAsia="仿宋_GB2312" w:cs="Times New Roman"/>
          <w:b w:val="0"/>
          <w:kern w:val="0"/>
          <w:sz w:val="32"/>
          <w:szCs w:val="32"/>
          <w:highlight w:val="none"/>
          <w:shd w:val="clear" w:color="auto" w:fill="FFFFFF"/>
          <w:lang w:val="en-US" w:eastAsia="zh-CN" w:bidi="ar-SA"/>
        </w:rPr>
        <w:t>、</w:t>
      </w:r>
      <w:r>
        <w:rPr>
          <w:rFonts w:hint="default" w:ascii="Times New Roman" w:hAnsi="Times New Roman" w:eastAsia="仿宋_GB2312" w:cs="Times New Roman"/>
          <w:b w:val="0"/>
          <w:kern w:val="0"/>
          <w:sz w:val="32"/>
          <w:szCs w:val="32"/>
          <w:highlight w:val="none"/>
          <w:shd w:val="clear" w:color="auto" w:fill="FFFFFF"/>
          <w:lang w:val="en-US" w:eastAsia="zh-CN" w:bidi="ar-SA"/>
        </w:rPr>
        <w:t>动态调整</w:t>
      </w:r>
      <w:r>
        <w:rPr>
          <w:rFonts w:hint="eastAsia" w:eastAsia="仿宋_GB2312" w:cs="Times New Roman"/>
          <w:b w:val="0"/>
          <w:kern w:val="0"/>
          <w:sz w:val="32"/>
          <w:szCs w:val="32"/>
          <w:highlight w:val="none"/>
          <w:shd w:val="clear" w:color="auto" w:fill="FFFFFF"/>
          <w:lang w:val="en-US" w:eastAsia="zh-CN" w:bidi="ar-SA"/>
        </w:rPr>
        <w:t>、</w:t>
      </w:r>
      <w:r>
        <w:rPr>
          <w:rFonts w:hint="default" w:ascii="Times New Roman" w:hAnsi="Times New Roman" w:eastAsia="仿宋_GB2312" w:cs="Times New Roman"/>
          <w:b w:val="0"/>
          <w:kern w:val="0"/>
          <w:sz w:val="32"/>
          <w:szCs w:val="32"/>
          <w:highlight w:val="none"/>
          <w:shd w:val="clear" w:color="auto" w:fill="FFFFFF"/>
          <w:lang w:val="en-US" w:eastAsia="zh-CN" w:bidi="ar-SA"/>
        </w:rPr>
        <w:t>结果整改</w:t>
      </w:r>
      <w:r>
        <w:rPr>
          <w:rFonts w:hint="eastAsia" w:eastAsia="仿宋_GB2312" w:cs="Times New Roman"/>
          <w:b w:val="0"/>
          <w:kern w:val="0"/>
          <w:sz w:val="32"/>
          <w:szCs w:val="32"/>
          <w:highlight w:val="none"/>
          <w:shd w:val="clear" w:color="auto" w:fill="FFFFFF"/>
          <w:lang w:val="en-US" w:eastAsia="zh-CN" w:bidi="ar-SA"/>
        </w:rPr>
        <w:t>、</w:t>
      </w:r>
      <w:r>
        <w:rPr>
          <w:rFonts w:hint="default" w:ascii="Times New Roman" w:hAnsi="Times New Roman" w:eastAsia="仿宋_GB2312" w:cs="Times New Roman"/>
          <w:b w:val="0"/>
          <w:kern w:val="0"/>
          <w:sz w:val="32"/>
          <w:szCs w:val="32"/>
          <w:highlight w:val="none"/>
          <w:shd w:val="clear" w:color="auto" w:fill="FFFFFF"/>
          <w:lang w:val="en-US" w:eastAsia="zh-CN" w:bidi="ar-SA"/>
        </w:rPr>
        <w:t>应用反馈</w:t>
      </w:r>
      <w:r>
        <w:rPr>
          <w:rFonts w:hint="eastAsia" w:eastAsia="仿宋_GB2312" w:cs="Times New Roman"/>
          <w:b w:val="0"/>
          <w:kern w:val="0"/>
          <w:sz w:val="32"/>
          <w:szCs w:val="32"/>
          <w:highlight w:val="none"/>
          <w:shd w:val="clear" w:color="auto" w:fill="FFFFFF"/>
          <w:lang w:val="en-US" w:eastAsia="zh-CN" w:bidi="ar-SA"/>
        </w:rPr>
        <w:t>、</w:t>
      </w:r>
      <w:r>
        <w:rPr>
          <w:rFonts w:hint="default" w:ascii="Times New Roman" w:hAnsi="Times New Roman" w:eastAsia="仿宋_GB2312" w:cs="Times New Roman"/>
          <w:b w:val="0"/>
          <w:kern w:val="0"/>
          <w:sz w:val="32"/>
          <w:szCs w:val="32"/>
          <w:highlight w:val="none"/>
          <w:shd w:val="clear" w:color="auto" w:fill="FFFFFF"/>
          <w:lang w:val="en-US" w:eastAsia="zh-CN" w:bidi="ar-SA"/>
        </w:rPr>
        <w:t>自评准确</w:t>
      </w:r>
      <w:r>
        <w:rPr>
          <w:rFonts w:hint="eastAsia" w:eastAsia="仿宋_GB2312" w:cs="Times New Roman"/>
          <w:b w:val="0"/>
          <w:kern w:val="0"/>
          <w:sz w:val="32"/>
          <w:szCs w:val="32"/>
          <w:highlight w:val="none"/>
          <w:shd w:val="clear" w:color="auto" w:fill="FFFFFF"/>
          <w:lang w:val="en-US" w:eastAsia="zh-CN" w:bidi="ar-SA"/>
        </w:rPr>
        <w:t>等</w:t>
      </w:r>
      <w:r>
        <w:rPr>
          <w:rFonts w:hint="default" w:ascii="Times New Roman" w:hAnsi="Times New Roman" w:eastAsia="仿宋_GB2312" w:cs="Times New Roman"/>
          <w:b w:val="0"/>
          <w:kern w:val="0"/>
          <w:sz w:val="32"/>
          <w:szCs w:val="32"/>
          <w:highlight w:val="none"/>
          <w:shd w:val="clear" w:color="auto" w:fill="FFFFFF"/>
          <w:lang w:val="en-US" w:eastAsia="zh-CN" w:bidi="ar-SA"/>
        </w:rPr>
        <w:t>指标外</w:t>
      </w:r>
      <w:r>
        <w:rPr>
          <w:rFonts w:hint="eastAsia" w:eastAsia="仿宋_GB2312" w:cs="Times New Roman"/>
          <w:b w:val="0"/>
          <w:kern w:val="0"/>
          <w:sz w:val="32"/>
          <w:szCs w:val="32"/>
          <w:highlight w:val="none"/>
          <w:shd w:val="clear" w:color="auto" w:fill="FFFFFF"/>
          <w:lang w:val="en-US" w:eastAsia="zh-CN" w:bidi="ar-SA"/>
        </w:rPr>
        <w:t>（满分66分）</w:t>
      </w:r>
      <w:r>
        <w:rPr>
          <w:rFonts w:hint="default" w:ascii="Times New Roman" w:hAnsi="Times New Roman" w:eastAsia="仿宋_GB2312" w:cs="Times New Roman"/>
          <w:b w:val="0"/>
          <w:kern w:val="0"/>
          <w:sz w:val="32"/>
          <w:szCs w:val="32"/>
          <w:highlight w:val="none"/>
          <w:shd w:val="clear" w:color="auto" w:fill="FFFFFF"/>
          <w:lang w:val="en-US" w:eastAsia="zh-CN" w:bidi="ar-SA"/>
        </w:rPr>
        <w:t>，</w:t>
      </w:r>
      <w:r>
        <w:rPr>
          <w:rFonts w:hint="eastAsia" w:ascii="Times New Roman" w:hAnsi="Times New Roman" w:eastAsia="仿宋_GB2312" w:cs="Times New Roman"/>
          <w:b w:val="0"/>
          <w:kern w:val="0"/>
          <w:sz w:val="32"/>
          <w:szCs w:val="32"/>
          <w:highlight w:val="none"/>
          <w:shd w:val="clear" w:color="auto" w:fill="FFFFFF"/>
          <w:lang w:val="en-US" w:eastAsia="zh-CN" w:bidi="ar-SA"/>
        </w:rPr>
        <w:t>评价组评价得分</w:t>
      </w:r>
      <w:r>
        <w:rPr>
          <w:rFonts w:hint="eastAsia" w:eastAsia="仿宋_GB2312" w:cs="Times New Roman"/>
          <w:b w:val="0"/>
          <w:kern w:val="0"/>
          <w:sz w:val="32"/>
          <w:szCs w:val="32"/>
          <w:highlight w:val="none"/>
          <w:shd w:val="clear" w:color="auto" w:fill="FFFFFF"/>
          <w:lang w:val="en-US" w:eastAsia="zh-CN" w:bidi="ar-SA"/>
        </w:rPr>
        <w:t>58</w:t>
      </w:r>
      <w:r>
        <w:rPr>
          <w:rFonts w:hint="eastAsia" w:ascii="Times New Roman" w:hAnsi="Times New Roman" w:eastAsia="仿宋_GB2312" w:cs="Times New Roman"/>
          <w:b w:val="0"/>
          <w:kern w:val="0"/>
          <w:sz w:val="32"/>
          <w:szCs w:val="32"/>
          <w:highlight w:val="none"/>
          <w:shd w:val="clear" w:color="auto" w:fill="FFFFFF"/>
          <w:lang w:val="en-US" w:eastAsia="zh-CN" w:bidi="ar-SA"/>
        </w:rPr>
        <w:t>分，被评价单位自评</w:t>
      </w:r>
      <w:r>
        <w:rPr>
          <w:rFonts w:hint="eastAsia" w:eastAsia="仿宋_GB2312" w:cs="Times New Roman"/>
          <w:b w:val="0"/>
          <w:kern w:val="0"/>
          <w:sz w:val="32"/>
          <w:szCs w:val="32"/>
          <w:highlight w:val="none"/>
          <w:shd w:val="clear" w:color="auto" w:fill="FFFFFF"/>
          <w:lang w:val="en-US" w:eastAsia="zh-CN" w:bidi="ar-SA"/>
        </w:rPr>
        <w:t>得63分</w:t>
      </w:r>
      <w:r>
        <w:rPr>
          <w:rFonts w:hint="eastAsia" w:ascii="Times New Roman" w:hAnsi="Times New Roman" w:eastAsia="仿宋_GB2312" w:cs="Times New Roman"/>
          <w:b w:val="0"/>
          <w:kern w:val="0"/>
          <w:sz w:val="32"/>
          <w:szCs w:val="32"/>
          <w:highlight w:val="none"/>
          <w:shd w:val="clear" w:color="auto" w:fill="FFFFFF"/>
          <w:lang w:val="en-US" w:eastAsia="zh-CN" w:bidi="ar-SA"/>
        </w:rPr>
        <w:t>，差异率=（自评评分-评价组评分）/评价组评分=（</w:t>
      </w:r>
      <w:r>
        <w:rPr>
          <w:rFonts w:hint="eastAsia" w:eastAsia="仿宋_GB2312" w:cs="Times New Roman"/>
          <w:b w:val="0"/>
          <w:kern w:val="0"/>
          <w:sz w:val="32"/>
          <w:szCs w:val="32"/>
          <w:highlight w:val="none"/>
          <w:shd w:val="clear" w:color="auto" w:fill="FFFFFF"/>
          <w:lang w:val="en-US" w:eastAsia="zh-CN" w:bidi="ar-SA"/>
        </w:rPr>
        <w:t>63</w:t>
      </w:r>
      <w:r>
        <w:rPr>
          <w:rFonts w:hint="eastAsia" w:ascii="Times New Roman" w:hAnsi="Times New Roman" w:eastAsia="仿宋_GB2312" w:cs="Times New Roman"/>
          <w:b w:val="0"/>
          <w:kern w:val="0"/>
          <w:sz w:val="32"/>
          <w:szCs w:val="32"/>
          <w:highlight w:val="none"/>
          <w:shd w:val="clear" w:color="auto" w:fill="FFFFFF"/>
          <w:lang w:val="en-US" w:eastAsia="zh-CN" w:bidi="ar-SA"/>
        </w:rPr>
        <w:t>-</w:t>
      </w:r>
      <w:r>
        <w:rPr>
          <w:rFonts w:hint="eastAsia" w:eastAsia="仿宋_GB2312" w:cs="Times New Roman"/>
          <w:b w:val="0"/>
          <w:kern w:val="0"/>
          <w:sz w:val="32"/>
          <w:szCs w:val="32"/>
          <w:highlight w:val="none"/>
          <w:shd w:val="clear" w:color="auto" w:fill="FFFFFF"/>
          <w:lang w:val="en-US" w:eastAsia="zh-CN" w:bidi="ar-SA"/>
        </w:rPr>
        <w:t>58</w:t>
      </w:r>
      <w:r>
        <w:rPr>
          <w:rFonts w:hint="eastAsia" w:ascii="Times New Roman" w:hAnsi="Times New Roman" w:eastAsia="仿宋_GB2312" w:cs="Times New Roman"/>
          <w:b w:val="0"/>
          <w:kern w:val="0"/>
          <w:sz w:val="32"/>
          <w:szCs w:val="32"/>
          <w:highlight w:val="none"/>
          <w:shd w:val="clear" w:color="auto" w:fill="FFFFFF"/>
          <w:lang w:val="en-US" w:eastAsia="zh-CN" w:bidi="ar-SA"/>
        </w:rPr>
        <w:t>）/</w:t>
      </w:r>
      <w:r>
        <w:rPr>
          <w:rFonts w:hint="eastAsia" w:eastAsia="仿宋_GB2312" w:cs="Times New Roman"/>
          <w:b w:val="0"/>
          <w:kern w:val="0"/>
          <w:sz w:val="32"/>
          <w:szCs w:val="32"/>
          <w:highlight w:val="none"/>
          <w:shd w:val="clear" w:color="auto" w:fill="FFFFFF"/>
          <w:lang w:val="en-US" w:eastAsia="zh-CN" w:bidi="ar-SA"/>
        </w:rPr>
        <w:t>58</w:t>
      </w:r>
      <w:r>
        <w:rPr>
          <w:rFonts w:hint="eastAsia" w:ascii="Times New Roman" w:hAnsi="Times New Roman" w:eastAsia="仿宋_GB2312" w:cs="Times New Roman"/>
          <w:b w:val="0"/>
          <w:kern w:val="0"/>
          <w:sz w:val="32"/>
          <w:szCs w:val="32"/>
          <w:highlight w:val="none"/>
          <w:shd w:val="clear" w:color="auto" w:fill="FFFFFF"/>
          <w:lang w:val="en-US" w:eastAsia="zh-CN" w:bidi="ar-SA"/>
        </w:rPr>
        <w:t>×100%=</w:t>
      </w:r>
      <w:r>
        <w:rPr>
          <w:rFonts w:hint="eastAsia" w:eastAsia="仿宋_GB2312" w:cs="Times New Roman"/>
          <w:b w:val="0"/>
          <w:kern w:val="0"/>
          <w:sz w:val="32"/>
          <w:szCs w:val="32"/>
          <w:highlight w:val="none"/>
          <w:shd w:val="clear" w:color="auto" w:fill="FFFFFF"/>
          <w:lang w:val="en-US" w:eastAsia="zh-CN" w:bidi="ar-SA"/>
        </w:rPr>
        <w:t>8</w:t>
      </w:r>
      <w:r>
        <w:rPr>
          <w:rFonts w:hint="eastAsia" w:ascii="Times New Roman" w:hAnsi="Times New Roman" w:eastAsia="仿宋_GB2312" w:cs="Times New Roman"/>
          <w:b w:val="0"/>
          <w:kern w:val="0"/>
          <w:sz w:val="32"/>
          <w:szCs w:val="32"/>
          <w:highlight w:val="none"/>
          <w:shd w:val="clear" w:color="auto" w:fill="FFFFFF"/>
          <w:lang w:val="en-US" w:eastAsia="zh-CN" w:bidi="ar-SA"/>
        </w:rPr>
        <w:t>.</w:t>
      </w:r>
      <w:r>
        <w:rPr>
          <w:rFonts w:hint="eastAsia" w:eastAsia="仿宋_GB2312" w:cs="Times New Roman"/>
          <w:b w:val="0"/>
          <w:kern w:val="0"/>
          <w:sz w:val="32"/>
          <w:szCs w:val="32"/>
          <w:highlight w:val="none"/>
          <w:shd w:val="clear" w:color="auto" w:fill="FFFFFF"/>
          <w:lang w:val="en-US" w:eastAsia="zh-CN" w:bidi="ar-SA"/>
        </w:rPr>
        <w:t>62</w:t>
      </w:r>
      <w:r>
        <w:rPr>
          <w:rFonts w:hint="eastAsia" w:ascii="Times New Roman" w:hAnsi="Times New Roman" w:eastAsia="仿宋_GB2312" w:cs="Times New Roman"/>
          <w:b w:val="0"/>
          <w:kern w:val="0"/>
          <w:sz w:val="32"/>
          <w:szCs w:val="32"/>
          <w:highlight w:val="none"/>
          <w:shd w:val="clear" w:color="auto" w:fill="FFFFFF"/>
          <w:lang w:val="en-US" w:eastAsia="zh-CN" w:bidi="ar-SA"/>
        </w:rPr>
        <w:t>%，部门整体支出自评得分与评价组抽查得分差异</w:t>
      </w:r>
      <w:bookmarkEnd w:id="66"/>
      <w:bookmarkStart w:id="67" w:name="_Toc26293"/>
      <w:r>
        <w:rPr>
          <w:rFonts w:hint="eastAsia" w:ascii="Times New Roman" w:hAnsi="Times New Roman" w:eastAsia="仿宋_GB2312" w:cs="Times New Roman"/>
          <w:b w:val="0"/>
          <w:kern w:val="0"/>
          <w:sz w:val="32"/>
          <w:szCs w:val="32"/>
          <w:highlight w:val="none"/>
          <w:shd w:val="clear" w:color="auto" w:fill="FFFFFF"/>
          <w:lang w:val="en-US" w:eastAsia="zh-CN" w:bidi="ar-SA"/>
        </w:rPr>
        <w:t>在</w:t>
      </w:r>
      <w:r>
        <w:rPr>
          <w:rFonts w:hint="eastAsia" w:eastAsia="仿宋_GB2312" w:cs="Times New Roman"/>
          <w:b w:val="0"/>
          <w:kern w:val="0"/>
          <w:sz w:val="32"/>
          <w:szCs w:val="32"/>
          <w:highlight w:val="none"/>
          <w:shd w:val="clear" w:color="auto" w:fill="FFFFFF"/>
          <w:lang w:val="en-US" w:eastAsia="zh-CN" w:bidi="ar-SA"/>
        </w:rPr>
        <w:t>5%-10%以内</w:t>
      </w:r>
      <w:r>
        <w:rPr>
          <w:rFonts w:hint="eastAsia" w:ascii="Times New Roman" w:hAnsi="Times New Roman" w:eastAsia="仿宋_GB2312" w:cs="Times New Roman"/>
          <w:b w:val="0"/>
          <w:kern w:val="0"/>
          <w:sz w:val="32"/>
          <w:szCs w:val="32"/>
          <w:highlight w:val="none"/>
          <w:shd w:val="clear" w:color="auto" w:fill="FFFFFF"/>
          <w:lang w:val="en-US" w:eastAsia="zh-CN" w:bidi="ar-SA"/>
        </w:rPr>
        <w:t>，</w:t>
      </w:r>
      <w:r>
        <w:rPr>
          <w:rFonts w:hint="eastAsia" w:eastAsia="仿宋_GB2312" w:cs="Times New Roman"/>
          <w:b w:val="0"/>
          <w:kern w:val="0"/>
          <w:sz w:val="32"/>
          <w:szCs w:val="32"/>
          <w:highlight w:val="none"/>
          <w:shd w:val="clear" w:color="auto" w:fill="FFFFFF"/>
          <w:lang w:val="en-US" w:eastAsia="zh-CN" w:bidi="ar-SA"/>
        </w:rPr>
        <w:t>扣4</w:t>
      </w:r>
      <w:r>
        <w:rPr>
          <w:rFonts w:hint="eastAsia" w:ascii="Times New Roman" w:hAnsi="Times New Roman" w:eastAsia="仿宋_GB2312" w:cs="Times New Roman"/>
          <w:b w:val="0"/>
          <w:kern w:val="0"/>
          <w:sz w:val="32"/>
          <w:szCs w:val="32"/>
          <w:highlight w:val="none"/>
          <w:shd w:val="clear" w:color="auto" w:fill="FFFFFF"/>
          <w:lang w:val="en-US" w:eastAsia="zh-CN" w:bidi="ar-SA"/>
        </w:rPr>
        <w:t>分</w:t>
      </w:r>
      <w:r>
        <w:rPr>
          <w:rFonts w:hint="eastAsia" w:ascii="Times New Roman" w:hAnsi="Times New Roman" w:eastAsia="仿宋_GB2312" w:cs="Times New Roman"/>
          <w:b w:val="0"/>
          <w:bCs w:val="0"/>
          <w:color w:val="000000"/>
          <w:kern w:val="0"/>
          <w:sz w:val="32"/>
          <w:szCs w:val="32"/>
          <w:highlight w:val="none"/>
          <w:lang w:val="en-US" w:eastAsia="zh-CN" w:bidi="ar"/>
        </w:rPr>
        <w:t>。</w:t>
      </w:r>
    </w:p>
    <w:p>
      <w:pPr>
        <w:pStyle w:val="2"/>
        <w:keepNext w:val="0"/>
        <w:keepLines w:val="0"/>
        <w:pageBreakBefore w:val="0"/>
        <w:widowControl w:val="0"/>
        <w:kinsoku/>
        <w:wordWrap/>
        <w:overflowPunct/>
        <w:topLinePunct w:val="0"/>
        <w:autoSpaceDE/>
        <w:autoSpaceDN/>
        <w:bidi w:val="0"/>
        <w:adjustRightInd/>
        <w:spacing w:before="156" w:after="156" w:line="600" w:lineRule="exact"/>
        <w:ind w:firstLine="602"/>
        <w:textAlignment w:val="auto"/>
        <w:rPr>
          <w:rFonts w:hint="default" w:ascii="Times New Roman" w:hAnsi="Times New Roman" w:cs="Times New Roman"/>
          <w:sz w:val="30"/>
          <w:szCs w:val="30"/>
          <w:highlight w:val="none"/>
        </w:rPr>
      </w:pPr>
      <w:bookmarkStart w:id="68" w:name="_Toc10434"/>
      <w:r>
        <w:rPr>
          <w:rFonts w:hint="eastAsia" w:ascii="Times New Roman" w:hAnsi="Times New Roman" w:cs="Times New Roman"/>
          <w:sz w:val="30"/>
          <w:szCs w:val="30"/>
          <w:highlight w:val="none"/>
          <w:lang w:val="en-US" w:eastAsia="zh-CN"/>
        </w:rPr>
        <w:t>四</w:t>
      </w:r>
      <w:r>
        <w:rPr>
          <w:rFonts w:hint="default" w:ascii="Times New Roman" w:hAnsi="Times New Roman" w:cs="Times New Roman"/>
          <w:sz w:val="30"/>
          <w:szCs w:val="30"/>
          <w:highlight w:val="none"/>
        </w:rPr>
        <w:t>、评价发现的主要问题</w:t>
      </w:r>
      <w:bookmarkEnd w:id="68"/>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highlight w:val="none"/>
          <w:lang w:val="en-US" w:eastAsia="zh-CN"/>
        </w:rPr>
      </w:pPr>
      <w:bookmarkStart w:id="69" w:name="_Toc135"/>
      <w:r>
        <w:rPr>
          <w:rFonts w:hint="eastAsia" w:ascii="Times New Roman" w:hAnsi="Times New Roman" w:eastAsia="楷体_GB2312" w:cs="Times New Roman"/>
          <w:color w:val="auto"/>
          <w:sz w:val="32"/>
          <w:highlight w:val="none"/>
          <w:lang w:eastAsia="zh-CN"/>
        </w:rPr>
        <w:t>（</w:t>
      </w:r>
      <w:r>
        <w:rPr>
          <w:rFonts w:hint="eastAsia" w:ascii="Times New Roman" w:hAnsi="Times New Roman" w:eastAsia="楷体_GB2312" w:cs="Times New Roman"/>
          <w:color w:val="auto"/>
          <w:sz w:val="32"/>
          <w:highlight w:val="none"/>
          <w:lang w:val="en-US" w:eastAsia="zh-CN"/>
        </w:rPr>
        <w:t>一）绩效管理方面</w:t>
      </w:r>
      <w:bookmarkEnd w:id="69"/>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eastAsia="仿宋_GB2312" w:cs="Times New Roman"/>
          <w:kern w:val="0"/>
          <w:sz w:val="32"/>
          <w:szCs w:val="32"/>
          <w:highlight w:val="none"/>
          <w:shd w:val="clear" w:color="auto" w:fill="FFFFFF"/>
          <w:lang w:val="en-US" w:eastAsia="zh-CN"/>
        </w:rPr>
      </w:pPr>
      <w:r>
        <w:rPr>
          <w:rFonts w:hint="eastAsia" w:eastAsia="仿宋_GB2312" w:cs="Times New Roman"/>
          <w:kern w:val="0"/>
          <w:sz w:val="32"/>
          <w:szCs w:val="32"/>
          <w:highlight w:val="none"/>
          <w:shd w:val="clear" w:color="auto" w:fill="FFFFFF"/>
          <w:lang w:val="en-US" w:eastAsia="zh-CN"/>
        </w:rPr>
        <w:t>1.</w:t>
      </w:r>
      <w:r>
        <w:rPr>
          <w:rFonts w:hint="eastAsia" w:eastAsia="仿宋_GB2312" w:cs="Times New Roman"/>
          <w:kern w:val="0"/>
          <w:sz w:val="32"/>
          <w:szCs w:val="32"/>
          <w:highlight w:val="none"/>
          <w:shd w:val="clear" w:color="auto" w:fill="FFFFFF"/>
          <w:lang w:val="zh-CN" w:eastAsia="zh-CN"/>
        </w:rPr>
        <w:t>绩效目标设置不规范</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绩效目标编制要素方面，</w:t>
      </w:r>
      <w:r>
        <w:rPr>
          <w:rFonts w:hint="eastAsia" w:eastAsia="仿宋_GB2312" w:cs="Times New Roman"/>
          <w:color w:val="000000"/>
          <w:kern w:val="0"/>
          <w:sz w:val="32"/>
          <w:szCs w:val="32"/>
          <w:highlight w:val="none"/>
          <w:lang w:val="en-US" w:eastAsia="zh-CN" w:bidi="ar"/>
        </w:rPr>
        <w:t>阿坝县残疾人联合会</w:t>
      </w:r>
      <w:r>
        <w:rPr>
          <w:rFonts w:hint="eastAsia"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部门整体支出</w:t>
      </w:r>
      <w:r>
        <w:rPr>
          <w:rFonts w:hint="eastAsia" w:ascii="Times New Roman" w:hAnsi="Times New Roman" w:eastAsia="仿宋_GB2312" w:cs="Times New Roman"/>
          <w:color w:val="000000"/>
          <w:kern w:val="0"/>
          <w:sz w:val="32"/>
          <w:szCs w:val="32"/>
          <w:highlight w:val="none"/>
          <w:lang w:val="en-US" w:eastAsia="zh-CN" w:bidi="ar"/>
        </w:rPr>
        <w:t>绩效目标编制要素</w:t>
      </w:r>
      <w:r>
        <w:rPr>
          <w:rFonts w:hint="eastAsia" w:eastAsia="仿宋_GB2312" w:cs="Times New Roman"/>
          <w:color w:val="000000"/>
          <w:kern w:val="0"/>
          <w:sz w:val="32"/>
          <w:szCs w:val="32"/>
          <w:highlight w:val="none"/>
          <w:lang w:val="en-US" w:eastAsia="zh-CN" w:bidi="ar"/>
        </w:rPr>
        <w:t>齐全</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未</w:t>
      </w:r>
      <w:r>
        <w:rPr>
          <w:rFonts w:hint="eastAsia" w:ascii="Times New Roman" w:hAnsi="Times New Roman" w:eastAsia="仿宋_GB2312" w:cs="Times New Roman"/>
          <w:color w:val="000000"/>
          <w:kern w:val="0"/>
          <w:sz w:val="32"/>
          <w:szCs w:val="32"/>
          <w:highlight w:val="none"/>
          <w:lang w:val="en-US" w:eastAsia="zh-CN" w:bidi="ar"/>
        </w:rPr>
        <w:t>填写</w:t>
      </w:r>
      <w:r>
        <w:rPr>
          <w:rFonts w:hint="eastAsia" w:eastAsia="仿宋_GB2312" w:cs="Times New Roman"/>
          <w:color w:val="000000"/>
          <w:kern w:val="0"/>
          <w:sz w:val="32"/>
          <w:szCs w:val="32"/>
          <w:highlight w:val="none"/>
          <w:lang w:val="en-US" w:eastAsia="zh-CN" w:bidi="ar"/>
        </w:rPr>
        <w:t>数量指标、时效指标、成本指标等产出指标，效益指标未设置经济效益指标、社会效益指标，不符合《四川省财政支出绩效评价管理办法》第十五条“绩效目标包括以下主要内容：（一）预期产出，包括提供的公共产品和服务的数量；（二）预期效果，包括经济效益、社会效益、环境效益和可持续影响等；（三）绩效指标，是对预期产出和预期效果的细化和量化，主要包括完成指标、效果指标和满意度指标等；（四）绩效指标值，是绩效指标的具体表现，通常用可衡量的标准、数值、比率等来表示，确定指标值时主要依据或参考历史标准、行业标准、计划标准等绩效标准；（五）其他需要编制的内容。”</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ascii="Times New Roman" w:hAnsi="Times New Roman" w:eastAsia="仿宋_GB2312" w:cs="Times New Roman"/>
          <w:kern w:val="0"/>
          <w:sz w:val="32"/>
          <w:szCs w:val="32"/>
          <w:highlight w:val="none"/>
          <w:shd w:val="clear" w:color="auto" w:fill="FFFFFF"/>
        </w:rPr>
      </w:pPr>
      <w:r>
        <w:rPr>
          <w:rFonts w:hint="eastAsia" w:ascii="Times New Roman" w:hAnsi="Times New Roman" w:eastAsia="仿宋_GB2312" w:cs="Times New Roman"/>
          <w:color w:val="000000"/>
          <w:kern w:val="0"/>
          <w:sz w:val="32"/>
          <w:szCs w:val="32"/>
          <w:highlight w:val="none"/>
          <w:lang w:val="en-US" w:eastAsia="zh-CN" w:bidi="ar"/>
        </w:rPr>
        <w:t>绩效指标细化量化方面，</w:t>
      </w:r>
      <w:r>
        <w:rPr>
          <w:rFonts w:hint="eastAsia" w:eastAsia="仿宋_GB2312" w:cs="Times New Roman"/>
          <w:color w:val="000000"/>
          <w:kern w:val="0"/>
          <w:sz w:val="32"/>
          <w:szCs w:val="32"/>
          <w:highlight w:val="none"/>
          <w:lang w:val="en-US" w:eastAsia="zh-CN" w:bidi="ar"/>
        </w:rPr>
        <w:t>阿坝县残疾人联合会</w:t>
      </w:r>
      <w:r>
        <w:rPr>
          <w:rFonts w:hint="eastAsia"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部门整体支出</w:t>
      </w:r>
      <w:r>
        <w:rPr>
          <w:rFonts w:hint="eastAsia" w:ascii="Times New Roman" w:hAnsi="Times New Roman" w:eastAsia="仿宋_GB2312" w:cs="Times New Roman"/>
          <w:color w:val="000000"/>
          <w:kern w:val="0"/>
          <w:sz w:val="32"/>
          <w:szCs w:val="32"/>
          <w:highlight w:val="none"/>
          <w:lang w:val="en-US" w:eastAsia="zh-CN" w:bidi="ar"/>
        </w:rPr>
        <w:t>绩效目标</w:t>
      </w:r>
      <w:r>
        <w:rPr>
          <w:rFonts w:hint="eastAsia" w:eastAsia="仿宋_GB2312" w:cs="Times New Roman"/>
          <w:color w:val="000000"/>
          <w:kern w:val="0"/>
          <w:sz w:val="32"/>
          <w:szCs w:val="32"/>
          <w:highlight w:val="none"/>
          <w:lang w:val="en-US" w:eastAsia="zh-CN" w:bidi="ar"/>
        </w:rPr>
        <w:t>产出指标、效益指标、满意度指标的绩效指标值中社会效益指标指标值设置为“≥30人/户”，数量指标的指标值设置为“≥60万元”，服务对象满意度指标值设置为“≥100分”。不符合《四川省财政支出绩效评价管理办法》“第十六条 绩效目标要符合以下要求：细化量化。绩效目标应当从数量、质量、成本、时效以及经济效益、社会效益、生态效益、可持续影响、满意度等方面进行细化，尽量进行定量表述。不能量化表述的，可采用定性表述，但应具有可衡量性。”的规定</w:t>
      </w:r>
      <w:r>
        <w:rPr>
          <w:rFonts w:hint="eastAsia" w:ascii="Times New Roman" w:hAnsi="Times New Roman" w:eastAsia="仿宋_GB2312" w:cs="Times New Roman"/>
          <w:kern w:val="0"/>
          <w:sz w:val="32"/>
          <w:szCs w:val="32"/>
          <w:highlight w:val="none"/>
          <w:shd w:val="clear" w:color="auto" w:fill="FFFFFF"/>
        </w:rPr>
        <w:t>。</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Times New Roman" w:hAnsi="Times New Roman" w:eastAsia="仿宋_GB2312" w:cs="Times New Roman"/>
          <w:kern w:val="0"/>
          <w:sz w:val="32"/>
          <w:szCs w:val="32"/>
          <w:highlight w:val="none"/>
          <w:shd w:val="clear" w:color="auto" w:fill="FFFFFF"/>
        </w:rPr>
      </w:pPr>
      <w:r>
        <w:rPr>
          <w:rFonts w:hint="default" w:ascii="Times New Roman" w:hAnsi="Times New Roman" w:eastAsia="仿宋_GB2312" w:cs="Times New Roman"/>
          <w:b/>
          <w:bCs/>
          <w:color w:val="000000"/>
          <w:kern w:val="2"/>
          <w:sz w:val="32"/>
          <w:szCs w:val="32"/>
          <w:highlight w:val="none"/>
          <w:lang w:val="en-US" w:eastAsia="zh-CN" w:bidi="ar-SA"/>
        </w:rPr>
        <w:t>我们的意见或建议</w:t>
      </w:r>
      <w:r>
        <w:rPr>
          <w:rFonts w:hint="eastAsia" w:ascii="Times New Roman" w:hAnsi="Times New Roman" w:eastAsia="仿宋_GB2312" w:cs="Times New Roman"/>
          <w:b/>
          <w:bCs/>
          <w:color w:val="000000"/>
          <w:kern w:val="2"/>
          <w:sz w:val="32"/>
          <w:szCs w:val="32"/>
          <w:highlight w:val="none"/>
          <w:lang w:val="en-US" w:eastAsia="zh-CN" w:bidi="ar-SA"/>
        </w:rPr>
        <w:t>：</w:t>
      </w:r>
      <w:bookmarkStart w:id="70" w:name="_Toc23612"/>
      <w:r>
        <w:rPr>
          <w:rFonts w:hint="eastAsia" w:eastAsia="仿宋_GB2312" w:cs="Times New Roman"/>
          <w:kern w:val="0"/>
          <w:sz w:val="32"/>
          <w:szCs w:val="32"/>
          <w:highlight w:val="none"/>
          <w:shd w:val="clear" w:color="auto" w:fill="FFFFFF"/>
          <w:lang w:val="en-US" w:eastAsia="zh-CN"/>
        </w:rPr>
        <w:t>加强预算绩效评价基础工作，完善绩效目标</w:t>
      </w:r>
      <w:bookmarkEnd w:id="70"/>
      <w:r>
        <w:rPr>
          <w:rFonts w:hint="eastAsia" w:eastAsia="仿宋_GB2312" w:cs="Times New Roman"/>
          <w:kern w:val="0"/>
          <w:sz w:val="32"/>
          <w:szCs w:val="32"/>
          <w:highlight w:val="none"/>
          <w:shd w:val="clear" w:color="auto" w:fill="FFFFFF"/>
          <w:lang w:val="en-US" w:eastAsia="zh-CN"/>
        </w:rPr>
        <w:t>。</w:t>
      </w:r>
      <w:r>
        <w:rPr>
          <w:rFonts w:hint="eastAsia" w:ascii="Times New Roman" w:hAnsi="Times New Roman" w:eastAsia="仿宋_GB2312" w:cs="Times New Roman"/>
          <w:kern w:val="0"/>
          <w:sz w:val="32"/>
          <w:szCs w:val="32"/>
          <w:highlight w:val="none"/>
          <w:shd w:val="clear" w:color="auto" w:fill="FFFFFF"/>
          <w:lang w:val="zh-CN"/>
        </w:rPr>
        <w:t>建议</w:t>
      </w:r>
      <w:r>
        <w:rPr>
          <w:rFonts w:hint="eastAsia" w:eastAsia="仿宋_GB2312" w:cs="Times New Roman"/>
          <w:kern w:val="0"/>
          <w:sz w:val="32"/>
          <w:szCs w:val="32"/>
          <w:highlight w:val="none"/>
          <w:shd w:val="clear" w:color="auto" w:fill="FFFFFF"/>
          <w:lang w:val="en-US" w:eastAsia="zh-CN"/>
        </w:rPr>
        <w:t>阿坝县残疾人联合会</w:t>
      </w:r>
      <w:r>
        <w:rPr>
          <w:rFonts w:hint="eastAsia" w:ascii="Times New Roman" w:hAnsi="Times New Roman" w:eastAsia="仿宋_GB2312" w:cs="Times New Roman"/>
          <w:kern w:val="0"/>
          <w:sz w:val="32"/>
          <w:szCs w:val="32"/>
          <w:highlight w:val="none"/>
          <w:shd w:val="clear" w:color="auto" w:fill="FFFFFF"/>
        </w:rPr>
        <w:t>严格按照</w:t>
      </w:r>
      <w:r>
        <w:rPr>
          <w:rFonts w:hint="eastAsia" w:eastAsia="仿宋_GB2312" w:cs="Times New Roman"/>
          <w:color w:val="000000"/>
          <w:kern w:val="0"/>
          <w:sz w:val="32"/>
          <w:szCs w:val="32"/>
          <w:highlight w:val="none"/>
          <w:lang w:val="en-US" w:eastAsia="zh-CN" w:bidi="ar"/>
        </w:rPr>
        <w:t>《四川省财政支出绩效评价管理办法》</w:t>
      </w:r>
      <w:r>
        <w:rPr>
          <w:rFonts w:hint="eastAsia" w:ascii="Times New Roman" w:hAnsi="Times New Roman" w:eastAsia="仿宋_GB2312" w:cs="Times New Roman"/>
          <w:kern w:val="0"/>
          <w:sz w:val="32"/>
          <w:szCs w:val="32"/>
          <w:highlight w:val="none"/>
          <w:shd w:val="clear" w:color="auto" w:fill="FFFFFF"/>
        </w:rPr>
        <w:t>、《中共中央国务院关于全面实施预算绩效管理的意见》（中发〔2018〕34号）和《四川省省级预算绩效目标管理办法》等规定，强化项目绩效自评组织工作，年初申报预算时将绩效目标纳入年度预算以及纳入部门办公会集体决策范围，强化项目绩效目标编制管理，根据项目特性细化、量化项目指标，设置目标应尽量明确且符合实际情况，使目标考核具有可执行、可考核性。</w:t>
      </w:r>
    </w:p>
    <w:p>
      <w:pPr>
        <w:pStyle w:val="4"/>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仿宋_GB2312" w:hAnsi="仿宋_GB2312" w:eastAsia="仿宋_GB2312" w:cs="仿宋_GB2312"/>
          <w:highlight w:val="none"/>
        </w:rPr>
      </w:pPr>
      <w:bookmarkStart w:id="71" w:name="_Toc30414"/>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二）财务管理方面</w:t>
      </w:r>
      <w:bookmarkEnd w:id="7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kern w:val="0"/>
          <w:sz w:val="32"/>
          <w:szCs w:val="32"/>
          <w:highlight w:val="none"/>
          <w:shd w:val="clear" w:color="auto" w:fill="FFFFFF"/>
          <w:lang w:val="en-US" w:eastAsia="zh-CN"/>
        </w:rPr>
      </w:pPr>
      <w:r>
        <w:rPr>
          <w:rFonts w:hint="eastAsia" w:eastAsia="仿宋_GB2312" w:cs="Times New Roman"/>
          <w:kern w:val="0"/>
          <w:sz w:val="32"/>
          <w:szCs w:val="32"/>
          <w:highlight w:val="none"/>
          <w:shd w:val="clear" w:color="auto" w:fill="FFFFFF"/>
          <w:lang w:val="en-US" w:eastAsia="zh-CN"/>
        </w:rPr>
        <w:t>1.费用报销不规范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cs="Times New Roman"/>
          <w:kern w:val="0"/>
          <w:sz w:val="32"/>
          <w:szCs w:val="32"/>
          <w:highlight w:val="none"/>
          <w:shd w:val="clear" w:color="auto" w:fill="FFFFFF"/>
          <w:lang w:val="en-US" w:eastAsia="zh-CN"/>
        </w:rPr>
      </w:pPr>
      <w:r>
        <w:rPr>
          <w:rFonts w:hint="eastAsia" w:eastAsia="仿宋_GB2312" w:cs="Times New Roman"/>
          <w:kern w:val="0"/>
          <w:sz w:val="32"/>
          <w:szCs w:val="32"/>
          <w:highlight w:val="none"/>
          <w:shd w:val="clear" w:color="auto" w:fill="FFFFFF"/>
          <w:lang w:val="en-US" w:eastAsia="zh-CN"/>
        </w:rPr>
        <w:t>（1）经查看2022年10月第20号凭证，后附的四川省行政事业单位资金往来结算票据（电子），开票日期为2022年10月18日，但是费用报销单报销上报销时间为2022年10月17日，金额为15,000.00元，报销时间早于发票开具时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cs="Times New Roman"/>
          <w:kern w:val="0"/>
          <w:sz w:val="32"/>
          <w:szCs w:val="32"/>
          <w:highlight w:val="none"/>
          <w:shd w:val="clear" w:color="auto" w:fill="FFFFFF"/>
          <w:lang w:val="en-US" w:eastAsia="zh-CN"/>
        </w:rPr>
      </w:pPr>
      <w:r>
        <w:rPr>
          <w:rFonts w:hint="eastAsia" w:eastAsia="仿宋_GB2312" w:cs="Times New Roman"/>
          <w:kern w:val="0"/>
          <w:sz w:val="32"/>
          <w:szCs w:val="32"/>
          <w:highlight w:val="none"/>
          <w:shd w:val="clear" w:color="auto" w:fill="FFFFFF"/>
          <w:lang w:val="en-US" w:eastAsia="zh-CN"/>
        </w:rPr>
        <w:t>（2）经查看2022年12月第4号凭证，后附的13张差旅费报销单，共计金额4,050.00元，出差事由是到麦昆乡开展两联一进工作，下乡补助为30.00元/人·天，差旅费报销单没有将下乡的时间具体化，仅有一个总的下乡时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cs="Times New Roman"/>
          <w:kern w:val="0"/>
          <w:sz w:val="32"/>
          <w:szCs w:val="32"/>
          <w:highlight w:val="none"/>
          <w:shd w:val="clear" w:color="auto" w:fill="FFFFFF"/>
          <w:lang w:val="en-US" w:eastAsia="zh-CN"/>
        </w:rPr>
      </w:pPr>
      <w:r>
        <w:rPr>
          <w:rFonts w:hint="eastAsia" w:eastAsia="仿宋_GB2312" w:cs="Times New Roman"/>
          <w:kern w:val="0"/>
          <w:sz w:val="32"/>
          <w:szCs w:val="32"/>
          <w:highlight w:val="none"/>
          <w:shd w:val="clear" w:color="auto" w:fill="FFFFFF"/>
          <w:lang w:val="en-US" w:eastAsia="zh-CN"/>
        </w:rPr>
        <w:t>（3）经查看2022年12月第14号凭证，报销差旅费970.00元，出差时间为2022年11月12日至2022年11月19日。后附的县残联一般干部职工请假单，请假时间为2022年11月13日至2022年11月23日。附件的请假时间前后不一致。</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Times New Roman" w:hAnsi="Times New Roman" w:eastAsia="仿宋_GB2312" w:cs="Times New Roman"/>
          <w:kern w:val="0"/>
          <w:sz w:val="32"/>
          <w:szCs w:val="32"/>
          <w:highlight w:val="none"/>
          <w:shd w:val="clear" w:color="auto" w:fill="FFFFFF"/>
          <w:lang w:eastAsia="zh-CN"/>
        </w:rPr>
      </w:pPr>
      <w:r>
        <w:rPr>
          <w:rFonts w:hint="eastAsia" w:eastAsia="仿宋_GB2312"/>
          <w:b/>
          <w:bCs/>
          <w:color w:val="000000"/>
          <w:sz w:val="32"/>
          <w:szCs w:val="32"/>
          <w:highlight w:val="none"/>
        </w:rPr>
        <w:t>违反的相关条例：</w:t>
      </w:r>
      <w:r>
        <w:rPr>
          <w:rFonts w:hint="eastAsia" w:ascii="Times New Roman" w:hAnsi="Times New Roman" w:eastAsia="仿宋_GB2312" w:cs="Times New Roman"/>
          <w:kern w:val="0"/>
          <w:sz w:val="32"/>
          <w:szCs w:val="32"/>
          <w:highlight w:val="none"/>
          <w:shd w:val="clear" w:color="auto" w:fill="FFFFFF"/>
        </w:rPr>
        <w:t>阿坝县残疾人联合会《资金支付审批管理办法》第十条</w:t>
      </w:r>
      <w:r>
        <w:rPr>
          <w:rFonts w:hint="eastAsia" w:eastAsia="仿宋_GB2312" w:cs="Times New Roman"/>
          <w:kern w:val="0"/>
          <w:sz w:val="32"/>
          <w:szCs w:val="32"/>
          <w:highlight w:val="none"/>
          <w:shd w:val="clear" w:color="auto" w:fill="FFFFFF"/>
          <w:lang w:eastAsia="zh-CN"/>
        </w:rPr>
        <w:t>“</w:t>
      </w:r>
      <w:r>
        <w:rPr>
          <w:rFonts w:hint="eastAsia" w:ascii="Times New Roman" w:hAnsi="Times New Roman" w:eastAsia="仿宋_GB2312" w:cs="Times New Roman"/>
          <w:kern w:val="0"/>
          <w:sz w:val="32"/>
          <w:szCs w:val="32"/>
          <w:highlight w:val="none"/>
          <w:shd w:val="clear" w:color="auto" w:fill="FFFFFF"/>
        </w:rPr>
        <w:t>单位应当按照规定的程序办理货币资金支付业务</w:t>
      </w:r>
      <w:r>
        <w:rPr>
          <w:rFonts w:hint="eastAsia" w:eastAsia="仿宋_GB2312" w:cs="Times New Roman"/>
          <w:kern w:val="0"/>
          <w:sz w:val="32"/>
          <w:szCs w:val="32"/>
          <w:highlight w:val="none"/>
          <w:shd w:val="clear" w:color="auto" w:fill="FFFFFF"/>
          <w:lang w:eastAsia="zh-CN"/>
        </w:rPr>
        <w:t>，</w:t>
      </w:r>
      <w:r>
        <w:rPr>
          <w:rFonts w:hint="eastAsia" w:ascii="Times New Roman" w:hAnsi="Times New Roman" w:eastAsia="仿宋_GB2312" w:cs="Times New Roman"/>
          <w:kern w:val="0"/>
          <w:sz w:val="32"/>
          <w:szCs w:val="32"/>
          <w:highlight w:val="none"/>
          <w:shd w:val="clear" w:color="auto" w:fill="FFFFFF"/>
        </w:rPr>
        <w:t>审批人根据其职责、权限和相应程序对支付申请进行审批。对不符合规定的货币资金支付申请，审批人应当拒绝批准</w:t>
      </w:r>
      <w:r>
        <w:rPr>
          <w:rFonts w:hint="eastAsia" w:eastAsia="仿宋_GB2312" w:cs="Times New Roman"/>
          <w:kern w:val="0"/>
          <w:sz w:val="32"/>
          <w:szCs w:val="32"/>
          <w:highlight w:val="none"/>
          <w:shd w:val="clear" w:color="auto" w:fill="FFFFFF"/>
          <w:lang w:eastAsia="zh-CN"/>
        </w:rPr>
        <w:t>。”《阿坝县残联收支业务管理制度》“差旅费支出要严格执行县上规定的开支范围和开支标准。出差人员首先填写工作人员出差审批单，报分管领导审批。工作返回后，出差人员应及时凭出差审批单到财务室报销差旅费，严格按规定填写差旅费报销单，凭据报销”。</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eastAsia="仿宋_GB2312" w:cs="Times New Roman"/>
          <w:b w:val="0"/>
          <w:bCs w:val="0"/>
          <w:color w:val="000000"/>
          <w:kern w:val="2"/>
          <w:sz w:val="32"/>
          <w:szCs w:val="32"/>
          <w:highlight w:val="none"/>
          <w:lang w:val="en-US" w:eastAsia="zh-CN" w:bidi="ar-SA"/>
        </w:rPr>
      </w:pPr>
      <w:r>
        <w:rPr>
          <w:rFonts w:hint="default" w:ascii="Times New Roman" w:hAnsi="Times New Roman" w:eastAsia="仿宋_GB2312" w:cs="Times New Roman"/>
          <w:b/>
          <w:bCs/>
          <w:color w:val="000000"/>
          <w:kern w:val="2"/>
          <w:sz w:val="32"/>
          <w:szCs w:val="32"/>
          <w:highlight w:val="none"/>
          <w:lang w:val="en-US" w:eastAsia="zh-CN" w:bidi="ar-SA"/>
        </w:rPr>
        <w:t>我们的意见或建议</w:t>
      </w:r>
      <w:r>
        <w:rPr>
          <w:rFonts w:hint="eastAsia" w:ascii="Times New Roman" w:hAnsi="Times New Roman" w:eastAsia="仿宋_GB2312" w:cs="Times New Roman"/>
          <w:b/>
          <w:bCs/>
          <w:color w:val="000000"/>
          <w:kern w:val="2"/>
          <w:sz w:val="32"/>
          <w:szCs w:val="32"/>
          <w:highlight w:val="none"/>
          <w:lang w:val="en-US" w:eastAsia="zh-CN" w:bidi="ar-SA"/>
        </w:rPr>
        <w:t>：</w:t>
      </w:r>
      <w:r>
        <w:rPr>
          <w:rFonts w:hint="eastAsia" w:ascii="Times New Roman" w:hAnsi="Times New Roman" w:eastAsia="仿宋_GB2312" w:cs="Times New Roman"/>
          <w:b w:val="0"/>
          <w:bCs w:val="0"/>
          <w:color w:val="000000"/>
          <w:kern w:val="2"/>
          <w:sz w:val="32"/>
          <w:szCs w:val="32"/>
          <w:highlight w:val="none"/>
          <w:lang w:val="en-US" w:eastAsia="zh-CN" w:bidi="ar-SA"/>
        </w:rPr>
        <w:t>建议</w:t>
      </w:r>
      <w:r>
        <w:rPr>
          <w:rFonts w:hint="eastAsia" w:eastAsia="仿宋_GB2312" w:cs="Times New Roman"/>
          <w:b w:val="0"/>
          <w:bCs w:val="0"/>
          <w:color w:val="000000"/>
          <w:kern w:val="2"/>
          <w:sz w:val="32"/>
          <w:szCs w:val="32"/>
          <w:highlight w:val="none"/>
          <w:lang w:val="en-US" w:eastAsia="zh-CN" w:bidi="ar-SA"/>
        </w:rPr>
        <w:t>单位强化</w:t>
      </w:r>
      <w:r>
        <w:rPr>
          <w:rFonts w:hint="eastAsia" w:ascii="Times New Roman" w:hAnsi="Times New Roman" w:eastAsia="仿宋_GB2312" w:cs="Times New Roman"/>
          <w:b w:val="0"/>
          <w:bCs w:val="0"/>
          <w:color w:val="000000"/>
          <w:kern w:val="2"/>
          <w:sz w:val="32"/>
          <w:szCs w:val="32"/>
          <w:highlight w:val="none"/>
          <w:lang w:val="en-US" w:eastAsia="zh-CN" w:bidi="ar-SA"/>
        </w:rPr>
        <w:t>财务内部控制管理制度</w:t>
      </w:r>
      <w:r>
        <w:rPr>
          <w:rFonts w:hint="eastAsia" w:eastAsia="仿宋_GB2312" w:cs="Times New Roman"/>
          <w:b w:val="0"/>
          <w:bCs w:val="0"/>
          <w:color w:val="000000"/>
          <w:kern w:val="2"/>
          <w:sz w:val="32"/>
          <w:szCs w:val="32"/>
          <w:highlight w:val="none"/>
          <w:lang w:val="en-US" w:eastAsia="zh-CN" w:bidi="ar-SA"/>
        </w:rPr>
        <w:t>的执行，</w:t>
      </w:r>
      <w:r>
        <w:rPr>
          <w:rFonts w:hint="eastAsia" w:ascii="Times New Roman" w:hAnsi="Times New Roman" w:eastAsia="仿宋_GB2312" w:cs="Times New Roman"/>
          <w:b w:val="0"/>
          <w:bCs w:val="0"/>
          <w:color w:val="000000"/>
          <w:kern w:val="2"/>
          <w:sz w:val="32"/>
          <w:szCs w:val="32"/>
          <w:highlight w:val="none"/>
          <w:lang w:val="en-US" w:eastAsia="zh-CN" w:bidi="ar-SA"/>
        </w:rPr>
        <w:t>加强费用报销审核，会计机构、会计人员应当对原始凭证进行审核和监督，对记载不准确、不完整的原始凭证，予以退回，对未经领导审批的原始凭证不予报销，要求经办人员更正、补充</w:t>
      </w:r>
      <w:r>
        <w:rPr>
          <w:rFonts w:hint="eastAsia" w:eastAsia="仿宋_GB2312" w:cs="Times New Roman"/>
          <w:b w:val="0"/>
          <w:bCs w:val="0"/>
          <w:color w:val="000000"/>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kern w:val="0"/>
          <w:sz w:val="32"/>
          <w:szCs w:val="32"/>
          <w:highlight w:val="none"/>
          <w:shd w:val="clear" w:color="auto" w:fill="FFFFFF"/>
          <w:lang w:val="en-US" w:eastAsia="zh-CN"/>
        </w:rPr>
      </w:pPr>
      <w:r>
        <w:rPr>
          <w:rFonts w:hint="eastAsia" w:ascii="Times New Roman" w:hAnsi="Times New Roman" w:eastAsia="仿宋_GB2312" w:cs="Times New Roman"/>
          <w:kern w:val="0"/>
          <w:sz w:val="32"/>
          <w:szCs w:val="32"/>
          <w:highlight w:val="none"/>
          <w:shd w:val="clear" w:color="auto" w:fill="FFFFFF"/>
          <w:lang w:val="en-US" w:eastAsia="zh-CN"/>
        </w:rPr>
        <w:t>2.附件不齐</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eastAsia="仿宋_GB2312"/>
          <w:b w:val="0"/>
          <w:bCs w:val="0"/>
          <w:color w:val="000000"/>
          <w:sz w:val="32"/>
          <w:szCs w:val="32"/>
          <w:highlight w:val="none"/>
          <w:lang w:val="en-US" w:eastAsia="zh-CN"/>
        </w:rPr>
      </w:pPr>
      <w:r>
        <w:rPr>
          <w:rFonts w:hint="eastAsia" w:eastAsia="仿宋_GB2312"/>
          <w:b w:val="0"/>
          <w:bCs w:val="0"/>
          <w:color w:val="000000"/>
          <w:sz w:val="32"/>
          <w:szCs w:val="32"/>
          <w:highlight w:val="none"/>
          <w:lang w:val="en-US" w:eastAsia="zh-CN"/>
        </w:rPr>
        <w:t>（1）经查看2022年6月33号凭证至43号凭证，记账凭证后无附件。其中33号凭证报销2022年农村实用技术人员培训用品费，金额1,577.50元；34号凭证报销2022年农村实用技术人员餐费，金额21,660.00元；35号凭证报销2022年农村实用技术人员布料费，金额7,750.00元；36号凭证报销2022年农村实用技术人员讲师费，金额5,040.00元；37号凭证报销2022年农村实用技术培训误工及交通费，金额15,441.40元；38号凭证报销2022年农村实用技术培训误工及交通费，金额480.00元；39号凭证报销2022年农村实用技术培训人员住宿费15,000.00元；40号凭证报销2022年农村实用技术培训误工及交通费，金额922.90元；41号凭证报销2022年农村实用技术培训人员矿泉水费，金额468.00元；42号凭证报销2022年农村实用技术培训人员培训用品费，金额835.00元；43号凭证报销2022年农村实用技术培训误工及交通费6,305.20元。</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eastAsia="仿宋_GB2312"/>
          <w:b w:val="0"/>
          <w:bCs w:val="0"/>
          <w:color w:val="000000"/>
          <w:sz w:val="32"/>
          <w:szCs w:val="32"/>
          <w:highlight w:val="none"/>
          <w:lang w:val="en-US" w:eastAsia="zh-CN"/>
        </w:rPr>
      </w:pPr>
      <w:r>
        <w:rPr>
          <w:rFonts w:hint="eastAsia" w:eastAsia="仿宋_GB2312"/>
          <w:b w:val="0"/>
          <w:bCs w:val="0"/>
          <w:color w:val="000000"/>
          <w:sz w:val="32"/>
          <w:szCs w:val="32"/>
          <w:highlight w:val="none"/>
          <w:lang w:val="en-US" w:eastAsia="zh-CN"/>
        </w:rPr>
        <w:t>（2）经查看2022年5月第26号凭证，报销残疾人机动车燃油补贴8,395.00元，凭证后无任何附件。</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eastAsia="仿宋_GB2312"/>
          <w:b w:val="0"/>
          <w:bCs w:val="0"/>
          <w:color w:val="000000"/>
          <w:sz w:val="32"/>
          <w:szCs w:val="32"/>
          <w:highlight w:val="none"/>
          <w:lang w:val="en-US" w:eastAsia="zh-CN"/>
        </w:rPr>
      </w:pPr>
      <w:r>
        <w:rPr>
          <w:rFonts w:hint="eastAsia" w:eastAsia="仿宋_GB2312"/>
          <w:b w:val="0"/>
          <w:bCs w:val="0"/>
          <w:color w:val="000000"/>
          <w:sz w:val="32"/>
          <w:szCs w:val="32"/>
          <w:highlight w:val="none"/>
          <w:lang w:val="en-US" w:eastAsia="zh-CN"/>
        </w:rPr>
        <w:t>（3）经查看2022年10月第26号凭证，支付残疾人标志宣传费用730.00元，无费用报销单，发票等附件。</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eastAsia="仿宋_GB2312"/>
          <w:b w:val="0"/>
          <w:bCs w:val="0"/>
          <w:color w:val="000000"/>
          <w:sz w:val="32"/>
          <w:szCs w:val="32"/>
          <w:highlight w:val="none"/>
          <w:lang w:val="en-US" w:eastAsia="zh-CN"/>
        </w:rPr>
      </w:pPr>
      <w:r>
        <w:rPr>
          <w:rFonts w:hint="eastAsia" w:eastAsia="仿宋_GB2312"/>
          <w:b w:val="0"/>
          <w:bCs w:val="0"/>
          <w:color w:val="000000"/>
          <w:sz w:val="32"/>
          <w:szCs w:val="32"/>
          <w:highlight w:val="none"/>
          <w:lang w:val="en-US" w:eastAsia="zh-CN"/>
        </w:rPr>
        <w:t>（4）经查看2022年12月第20号凭证，支付给阿坝县小彭水电的残疾人综合服务中心维修维护费36,025.00元，附件中缺少相关合同和购货清单。</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Times New Roman" w:hAnsi="Times New Roman" w:eastAsia="仿宋_GB2312" w:cs="Times New Roman"/>
          <w:kern w:val="0"/>
          <w:sz w:val="32"/>
          <w:szCs w:val="32"/>
          <w:highlight w:val="none"/>
          <w:shd w:val="clear" w:color="auto" w:fill="FFFFFF"/>
          <w:lang w:val="en-US" w:eastAsia="zh-CN"/>
        </w:rPr>
      </w:pPr>
      <w:r>
        <w:rPr>
          <w:rFonts w:hint="eastAsia" w:eastAsia="仿宋_GB2312"/>
          <w:b/>
          <w:bCs/>
          <w:color w:val="000000"/>
          <w:sz w:val="32"/>
          <w:szCs w:val="32"/>
          <w:highlight w:val="none"/>
        </w:rPr>
        <w:t>违反的相关条例：</w:t>
      </w:r>
      <w:r>
        <w:rPr>
          <w:rFonts w:hint="eastAsia" w:eastAsia="仿宋_GB2312"/>
          <w:b w:val="0"/>
          <w:bCs w:val="0"/>
          <w:color w:val="000000"/>
          <w:sz w:val="32"/>
          <w:szCs w:val="32"/>
          <w:highlight w:val="none"/>
        </w:rPr>
        <w:t>《阿坝县残联收支业务管理制度》“差旅费支出要严格执行县上规定的开支范围和开支标准。出差人员首先填写工作人员出差审批单，报分管领导审批。工作返回后，出差人员应及时凭出差审批单到财务室报销差旅费，严格按规定填写差旅费报销单，凭据报销”。</w:t>
      </w:r>
      <w:r>
        <w:rPr>
          <w:rFonts w:hint="eastAsia" w:eastAsia="仿宋_GB2312" w:cs="Times New Roman"/>
          <w:kern w:val="0"/>
          <w:sz w:val="32"/>
          <w:szCs w:val="32"/>
          <w:highlight w:val="none"/>
          <w:shd w:val="clear" w:color="auto" w:fill="FFFFFF"/>
          <w:lang w:eastAsia="zh-CN"/>
        </w:rPr>
        <w:t>阿坝县残疾人联合会《资金支付审批管理办法》第十条“单位应当按照规定的程序办理货币资金支付业务：单位有关部门或个人用款时，应当提前向审批人提交货币资金支付申请，注明款项的用途、金额、预算、支付方式等内容，并附有效经济合同或相关证明。”</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b w:val="0"/>
          <w:bCs w:val="0"/>
        </w:rPr>
      </w:pPr>
      <w:r>
        <w:rPr>
          <w:rFonts w:hint="default" w:ascii="Times New Roman" w:hAnsi="Times New Roman" w:eastAsia="仿宋_GB2312" w:cs="Times New Roman"/>
          <w:b/>
          <w:bCs/>
          <w:color w:val="000000"/>
          <w:kern w:val="2"/>
          <w:sz w:val="32"/>
          <w:szCs w:val="32"/>
          <w:highlight w:val="none"/>
          <w:lang w:val="en-US" w:eastAsia="zh-CN" w:bidi="ar-SA"/>
        </w:rPr>
        <w:t>我们的意见或建议</w:t>
      </w:r>
      <w:r>
        <w:rPr>
          <w:rFonts w:hint="eastAsia" w:ascii="Times New Roman" w:hAnsi="Times New Roman" w:eastAsia="仿宋_GB2312" w:cs="Times New Roman"/>
          <w:b/>
          <w:bCs/>
          <w:color w:val="000000"/>
          <w:kern w:val="2"/>
          <w:sz w:val="32"/>
          <w:szCs w:val="32"/>
          <w:highlight w:val="none"/>
          <w:lang w:val="en-US" w:eastAsia="zh-CN" w:bidi="ar-SA"/>
        </w:rPr>
        <w:t>：</w:t>
      </w:r>
      <w:r>
        <w:rPr>
          <w:rFonts w:hint="eastAsia" w:ascii="Times New Roman" w:hAnsi="Times New Roman" w:eastAsia="仿宋_GB2312" w:cs="Times New Roman"/>
          <w:b w:val="0"/>
          <w:bCs w:val="0"/>
          <w:color w:val="000000"/>
          <w:kern w:val="2"/>
          <w:sz w:val="32"/>
          <w:szCs w:val="32"/>
          <w:highlight w:val="none"/>
          <w:lang w:val="en-US" w:eastAsia="zh-CN" w:bidi="ar-SA"/>
        </w:rPr>
        <w:t>建议</w:t>
      </w:r>
      <w:r>
        <w:rPr>
          <w:rFonts w:hint="eastAsia" w:eastAsia="仿宋_GB2312" w:cs="Times New Roman"/>
          <w:b w:val="0"/>
          <w:bCs w:val="0"/>
          <w:color w:val="000000"/>
          <w:kern w:val="2"/>
          <w:sz w:val="32"/>
          <w:szCs w:val="32"/>
          <w:highlight w:val="none"/>
          <w:lang w:val="en-US" w:eastAsia="zh-CN" w:bidi="ar-SA"/>
        </w:rPr>
        <w:t>单位强化</w:t>
      </w:r>
      <w:r>
        <w:rPr>
          <w:rFonts w:hint="eastAsia" w:ascii="Times New Roman" w:hAnsi="Times New Roman" w:eastAsia="仿宋_GB2312" w:cs="Times New Roman"/>
          <w:b w:val="0"/>
          <w:bCs w:val="0"/>
          <w:color w:val="000000"/>
          <w:kern w:val="2"/>
          <w:sz w:val="32"/>
          <w:szCs w:val="32"/>
          <w:highlight w:val="none"/>
          <w:lang w:val="en-US" w:eastAsia="zh-CN" w:bidi="ar-SA"/>
        </w:rPr>
        <w:t>财务内部控制管理制度</w:t>
      </w:r>
      <w:r>
        <w:rPr>
          <w:rFonts w:hint="eastAsia" w:eastAsia="仿宋_GB2312" w:cs="Times New Roman"/>
          <w:b w:val="0"/>
          <w:bCs w:val="0"/>
          <w:color w:val="000000"/>
          <w:kern w:val="2"/>
          <w:sz w:val="32"/>
          <w:szCs w:val="32"/>
          <w:highlight w:val="none"/>
          <w:lang w:val="en-US" w:eastAsia="zh-CN" w:bidi="ar-SA"/>
        </w:rPr>
        <w:t>的执行，</w:t>
      </w:r>
      <w:r>
        <w:rPr>
          <w:rFonts w:hint="eastAsia" w:ascii="Times New Roman" w:hAnsi="Times New Roman" w:eastAsia="仿宋_GB2312" w:cs="Times New Roman"/>
          <w:b w:val="0"/>
          <w:bCs w:val="0"/>
          <w:color w:val="000000"/>
          <w:kern w:val="2"/>
          <w:sz w:val="32"/>
          <w:szCs w:val="32"/>
          <w:highlight w:val="none"/>
          <w:lang w:val="en-US" w:eastAsia="zh-CN" w:bidi="ar-SA"/>
        </w:rPr>
        <w:t>加强费用报销审核，会计机构、会计人员应当对原始凭证进行审核和监督，对记载不准确、不完整的原始凭证，予以退回，对未经领导审批的原始凭证不予报销，要求经办人员更正、补充。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cs="Times New Roman"/>
          <w:kern w:val="0"/>
          <w:sz w:val="32"/>
          <w:szCs w:val="32"/>
          <w:highlight w:val="none"/>
          <w:shd w:val="clear" w:color="auto" w:fill="FFFFFF"/>
          <w:lang w:val="en-US" w:eastAsia="zh-CN"/>
        </w:rPr>
      </w:pPr>
      <w:r>
        <w:rPr>
          <w:rFonts w:hint="eastAsia" w:eastAsia="仿宋_GB2312" w:cs="Times New Roman"/>
          <w:kern w:val="0"/>
          <w:sz w:val="32"/>
          <w:szCs w:val="32"/>
          <w:highlight w:val="none"/>
          <w:shd w:val="clear" w:color="auto" w:fill="FFFFFF"/>
          <w:lang w:val="en-US" w:eastAsia="zh-CN"/>
        </w:rPr>
        <w:t>3.审批不规范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cs="Times New Roman"/>
          <w:kern w:val="0"/>
          <w:sz w:val="32"/>
          <w:szCs w:val="32"/>
          <w:highlight w:val="none"/>
          <w:shd w:val="clear" w:color="auto" w:fill="FFFFFF"/>
          <w:lang w:val="en-US" w:eastAsia="zh-CN"/>
        </w:rPr>
      </w:pPr>
      <w:r>
        <w:rPr>
          <w:rFonts w:hint="eastAsia" w:eastAsia="仿宋_GB2312" w:cs="Times New Roman"/>
          <w:kern w:val="0"/>
          <w:sz w:val="32"/>
          <w:szCs w:val="32"/>
          <w:highlight w:val="none"/>
          <w:shd w:val="clear" w:color="auto" w:fill="FFFFFF"/>
          <w:lang w:val="en-US" w:eastAsia="zh-CN"/>
        </w:rPr>
        <w:t>（1）经查看2022年12月第42号凭证，报销下乡派牧草车辆邮费295.98元，报销单无分管领导审签。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cs="Times New Roman"/>
          <w:kern w:val="0"/>
          <w:sz w:val="32"/>
          <w:szCs w:val="32"/>
          <w:highlight w:val="none"/>
          <w:shd w:val="clear" w:color="auto" w:fill="FFFFFF"/>
          <w:lang w:val="en-US" w:eastAsia="zh-CN"/>
        </w:rPr>
      </w:pPr>
      <w:r>
        <w:rPr>
          <w:rFonts w:hint="eastAsia" w:eastAsia="仿宋_GB2312" w:cs="Times New Roman"/>
          <w:kern w:val="0"/>
          <w:sz w:val="32"/>
          <w:szCs w:val="32"/>
          <w:highlight w:val="none"/>
          <w:shd w:val="clear" w:color="auto" w:fill="FFFFFF"/>
          <w:lang w:val="en-US" w:eastAsia="zh-CN"/>
        </w:rPr>
        <w:t>（2）经查看2022年12月第48号凭证，报销下乡车辆经费476.00元，报销单无分管领导审签和经办人签字。</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eastAsia="仿宋_GB2312" w:cs="Times New Roman"/>
          <w:kern w:val="0"/>
          <w:sz w:val="32"/>
          <w:szCs w:val="32"/>
          <w:highlight w:val="none"/>
          <w:shd w:val="clear" w:color="auto" w:fill="FFFFFF"/>
          <w:lang w:val="en-US" w:eastAsia="zh-CN"/>
        </w:rPr>
      </w:pPr>
      <w:r>
        <w:rPr>
          <w:rFonts w:hint="eastAsia" w:eastAsia="仿宋_GB2312"/>
          <w:b/>
          <w:bCs/>
          <w:color w:val="000000"/>
          <w:sz w:val="32"/>
          <w:szCs w:val="32"/>
          <w:highlight w:val="none"/>
        </w:rPr>
        <w:t>违反的相关条例：</w:t>
      </w:r>
      <w:r>
        <w:rPr>
          <w:rFonts w:hint="eastAsia" w:eastAsia="仿宋_GB2312" w:cs="Times New Roman"/>
          <w:kern w:val="0"/>
          <w:sz w:val="32"/>
          <w:szCs w:val="32"/>
          <w:highlight w:val="none"/>
          <w:shd w:val="clear" w:color="auto" w:fill="FFFFFF"/>
          <w:lang w:eastAsia="zh-CN"/>
        </w:rPr>
        <w:t>《阿坝县残联收支业务管理制度》四、支出管理“一次发生费用不足500元的，由经手人和股所室负责人签字后，由财务分管领导签批，也可以由办公室主任签批。”</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eastAsia="仿宋_GB2312" w:cs="Times New Roman"/>
          <w:kern w:val="0"/>
          <w:sz w:val="32"/>
          <w:szCs w:val="32"/>
          <w:highlight w:val="none"/>
          <w:shd w:val="clear" w:color="auto" w:fill="FFFFFF"/>
          <w:lang w:val="en-US" w:eastAsia="zh-CN"/>
        </w:rPr>
      </w:pPr>
      <w:r>
        <w:rPr>
          <w:rFonts w:hint="default" w:ascii="Times New Roman" w:hAnsi="Times New Roman" w:eastAsia="仿宋_GB2312" w:cs="Times New Roman"/>
          <w:b/>
          <w:bCs/>
          <w:color w:val="000000"/>
          <w:kern w:val="2"/>
          <w:sz w:val="32"/>
          <w:szCs w:val="32"/>
          <w:highlight w:val="none"/>
          <w:lang w:val="en-US" w:eastAsia="zh-CN" w:bidi="ar-SA"/>
        </w:rPr>
        <w:t>我们的意见或建议</w:t>
      </w:r>
      <w:r>
        <w:rPr>
          <w:rFonts w:hint="eastAsia" w:ascii="Times New Roman" w:hAnsi="Times New Roman" w:eastAsia="仿宋_GB2312" w:cs="Times New Roman"/>
          <w:b/>
          <w:bCs/>
          <w:color w:val="000000"/>
          <w:kern w:val="2"/>
          <w:sz w:val="32"/>
          <w:szCs w:val="32"/>
          <w:highlight w:val="none"/>
          <w:lang w:val="en-US" w:eastAsia="zh-CN" w:bidi="ar-SA"/>
        </w:rPr>
        <w:t>：</w:t>
      </w:r>
      <w:r>
        <w:rPr>
          <w:rFonts w:hint="eastAsia" w:ascii="Times New Roman" w:hAnsi="Times New Roman" w:eastAsia="仿宋_GB2312" w:cs="Times New Roman"/>
          <w:b w:val="0"/>
          <w:bCs w:val="0"/>
          <w:color w:val="000000"/>
          <w:kern w:val="2"/>
          <w:sz w:val="32"/>
          <w:szCs w:val="32"/>
          <w:highlight w:val="none"/>
          <w:lang w:val="en-US" w:eastAsia="zh-CN" w:bidi="ar-SA"/>
        </w:rPr>
        <w:t>建议</w:t>
      </w:r>
      <w:r>
        <w:rPr>
          <w:rFonts w:hint="eastAsia" w:eastAsia="仿宋_GB2312" w:cs="Times New Roman"/>
          <w:b w:val="0"/>
          <w:bCs w:val="0"/>
          <w:color w:val="000000"/>
          <w:kern w:val="2"/>
          <w:sz w:val="32"/>
          <w:szCs w:val="32"/>
          <w:highlight w:val="none"/>
          <w:lang w:val="en-US" w:eastAsia="zh-CN" w:bidi="ar-SA"/>
        </w:rPr>
        <w:t>单位强化</w:t>
      </w:r>
      <w:r>
        <w:rPr>
          <w:rFonts w:hint="eastAsia" w:ascii="Times New Roman" w:hAnsi="Times New Roman" w:eastAsia="仿宋_GB2312" w:cs="Times New Roman"/>
          <w:b w:val="0"/>
          <w:bCs w:val="0"/>
          <w:color w:val="000000"/>
          <w:kern w:val="2"/>
          <w:sz w:val="32"/>
          <w:szCs w:val="32"/>
          <w:highlight w:val="none"/>
          <w:lang w:val="en-US" w:eastAsia="zh-CN" w:bidi="ar-SA"/>
        </w:rPr>
        <w:t>财务内部控制管理制度</w:t>
      </w:r>
      <w:r>
        <w:rPr>
          <w:rFonts w:hint="eastAsia" w:eastAsia="仿宋_GB2312" w:cs="Times New Roman"/>
          <w:b w:val="0"/>
          <w:bCs w:val="0"/>
          <w:color w:val="000000"/>
          <w:kern w:val="2"/>
          <w:sz w:val="32"/>
          <w:szCs w:val="32"/>
          <w:highlight w:val="none"/>
          <w:lang w:val="en-US" w:eastAsia="zh-CN" w:bidi="ar-SA"/>
        </w:rPr>
        <w:t>的执行，</w:t>
      </w:r>
      <w:r>
        <w:rPr>
          <w:rFonts w:hint="eastAsia" w:ascii="Times New Roman" w:hAnsi="Times New Roman" w:eastAsia="仿宋_GB2312" w:cs="Times New Roman"/>
          <w:b w:val="0"/>
          <w:bCs w:val="0"/>
          <w:color w:val="000000"/>
          <w:kern w:val="2"/>
          <w:sz w:val="32"/>
          <w:szCs w:val="32"/>
          <w:highlight w:val="none"/>
          <w:lang w:val="en-US" w:eastAsia="zh-CN" w:bidi="ar-SA"/>
        </w:rPr>
        <w:t>加强费用报销审核，</w:t>
      </w:r>
      <w:r>
        <w:rPr>
          <w:rFonts w:hint="eastAsia" w:eastAsia="仿宋_GB2312" w:cs="Times New Roman"/>
          <w:b w:val="0"/>
          <w:bCs w:val="0"/>
          <w:color w:val="000000"/>
          <w:kern w:val="2"/>
          <w:sz w:val="32"/>
          <w:szCs w:val="32"/>
          <w:highlight w:val="none"/>
          <w:lang w:val="en-US" w:eastAsia="zh-CN" w:bidi="ar-SA"/>
        </w:rPr>
        <w:t>重视资金拨付审批流程</w:t>
      </w:r>
      <w:r>
        <w:rPr>
          <w:rFonts w:hint="eastAsia" w:ascii="Times New Roman" w:hAnsi="Times New Roman" w:eastAsia="仿宋_GB2312" w:cs="Times New Roman"/>
          <w:b w:val="0"/>
          <w:bCs w:val="0"/>
          <w:color w:val="000000"/>
          <w:kern w:val="2"/>
          <w:sz w:val="32"/>
          <w:szCs w:val="32"/>
          <w:highlight w:val="none"/>
          <w:lang w:val="en-US" w:eastAsia="zh-CN" w:bidi="ar-SA"/>
        </w:rPr>
        <w:t>，对未</w:t>
      </w:r>
      <w:r>
        <w:rPr>
          <w:rFonts w:hint="eastAsia" w:eastAsia="仿宋_GB2312" w:cs="Times New Roman"/>
          <w:b w:val="0"/>
          <w:bCs w:val="0"/>
          <w:color w:val="000000"/>
          <w:kern w:val="2"/>
          <w:sz w:val="32"/>
          <w:szCs w:val="32"/>
          <w:highlight w:val="none"/>
          <w:lang w:val="en-US" w:eastAsia="zh-CN" w:bidi="ar-SA"/>
        </w:rPr>
        <w:t>完成</w:t>
      </w:r>
      <w:r>
        <w:rPr>
          <w:rFonts w:hint="eastAsia" w:ascii="Times New Roman" w:hAnsi="Times New Roman" w:eastAsia="仿宋_GB2312" w:cs="Times New Roman"/>
          <w:b w:val="0"/>
          <w:bCs w:val="0"/>
          <w:color w:val="000000"/>
          <w:kern w:val="2"/>
          <w:sz w:val="32"/>
          <w:szCs w:val="32"/>
          <w:highlight w:val="none"/>
          <w:lang w:val="en-US" w:eastAsia="zh-CN" w:bidi="ar-SA"/>
        </w:rPr>
        <w:t>审批</w:t>
      </w:r>
      <w:r>
        <w:rPr>
          <w:rFonts w:hint="eastAsia" w:eastAsia="仿宋_GB2312" w:cs="Times New Roman"/>
          <w:b w:val="0"/>
          <w:bCs w:val="0"/>
          <w:color w:val="000000"/>
          <w:kern w:val="2"/>
          <w:sz w:val="32"/>
          <w:szCs w:val="32"/>
          <w:highlight w:val="none"/>
          <w:lang w:val="en-US" w:eastAsia="zh-CN" w:bidi="ar-SA"/>
        </w:rPr>
        <w:t>程序</w:t>
      </w:r>
      <w:r>
        <w:rPr>
          <w:rFonts w:hint="eastAsia" w:ascii="Times New Roman" w:hAnsi="Times New Roman" w:eastAsia="仿宋_GB2312" w:cs="Times New Roman"/>
          <w:b w:val="0"/>
          <w:bCs w:val="0"/>
          <w:color w:val="000000"/>
          <w:kern w:val="2"/>
          <w:sz w:val="32"/>
          <w:szCs w:val="32"/>
          <w:highlight w:val="none"/>
          <w:lang w:val="en-US" w:eastAsia="zh-CN" w:bidi="ar-SA"/>
        </w:rPr>
        <w:t>的</w:t>
      </w:r>
      <w:r>
        <w:rPr>
          <w:rFonts w:hint="eastAsia" w:eastAsia="仿宋_GB2312" w:cs="Times New Roman"/>
          <w:b w:val="0"/>
          <w:bCs w:val="0"/>
          <w:color w:val="000000"/>
          <w:kern w:val="2"/>
          <w:sz w:val="32"/>
          <w:szCs w:val="32"/>
          <w:highlight w:val="none"/>
          <w:lang w:val="en-US" w:eastAsia="zh-CN" w:bidi="ar-SA"/>
        </w:rPr>
        <w:t>费用不予</w:t>
      </w:r>
      <w:r>
        <w:rPr>
          <w:rFonts w:hint="eastAsia" w:ascii="Times New Roman" w:hAnsi="Times New Roman" w:eastAsia="仿宋_GB2312" w:cs="Times New Roman"/>
          <w:b w:val="0"/>
          <w:bCs w:val="0"/>
          <w:color w:val="000000"/>
          <w:kern w:val="2"/>
          <w:sz w:val="32"/>
          <w:szCs w:val="32"/>
          <w:highlight w:val="none"/>
          <w:lang w:val="en-US" w:eastAsia="zh-CN" w:bidi="ar-SA"/>
        </w:rPr>
        <w:t>报销，要求经办人员</w:t>
      </w:r>
      <w:r>
        <w:rPr>
          <w:rFonts w:hint="eastAsia" w:eastAsia="仿宋_GB2312" w:cs="Times New Roman"/>
          <w:b w:val="0"/>
          <w:bCs w:val="0"/>
          <w:color w:val="000000"/>
          <w:kern w:val="2"/>
          <w:sz w:val="32"/>
          <w:szCs w:val="32"/>
          <w:highlight w:val="none"/>
          <w:lang w:val="en-US" w:eastAsia="zh-CN" w:bidi="ar-SA"/>
        </w:rPr>
        <w:t>完善</w:t>
      </w:r>
      <w:r>
        <w:rPr>
          <w:rFonts w:hint="eastAsia" w:ascii="Times New Roman" w:hAnsi="Times New Roman" w:eastAsia="仿宋_GB2312" w:cs="Times New Roman"/>
          <w:b w:val="0"/>
          <w:bCs w:val="0"/>
          <w:color w:val="000000"/>
          <w:kern w:val="2"/>
          <w:sz w:val="32"/>
          <w:szCs w:val="32"/>
          <w:highlight w:val="none"/>
          <w:lang w:val="en-US" w:eastAsia="zh-CN" w:bidi="ar-SA"/>
        </w:rPr>
        <w:t>、补充</w:t>
      </w:r>
      <w:r>
        <w:rPr>
          <w:rFonts w:hint="eastAsia" w:eastAsia="仿宋_GB2312" w:cs="Times New Roman"/>
          <w:b w:val="0"/>
          <w:bCs w:val="0"/>
          <w:color w:val="000000"/>
          <w:kern w:val="2"/>
          <w:sz w:val="32"/>
          <w:szCs w:val="32"/>
          <w:highlight w:val="none"/>
          <w:lang w:val="en-US" w:eastAsia="zh-CN" w:bidi="ar-SA"/>
        </w:rPr>
        <w:t>。</w:t>
      </w:r>
    </w:p>
    <w:p>
      <w:pPr>
        <w:pStyle w:val="4"/>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仿宋_GB2312" w:hAnsi="仿宋_GB2312" w:eastAsia="仿宋_GB2312" w:cs="仿宋_GB2312"/>
          <w:highlight w:val="none"/>
        </w:rPr>
      </w:pPr>
      <w:bookmarkStart w:id="72" w:name="_Toc24165"/>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三）人员管理方面</w:t>
      </w:r>
      <w:bookmarkEnd w:id="72"/>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cs="Times New Roman"/>
          <w:kern w:val="0"/>
          <w:sz w:val="32"/>
          <w:szCs w:val="32"/>
          <w:highlight w:val="none"/>
          <w:shd w:val="clear" w:color="auto" w:fill="FFFFFF"/>
          <w:lang w:val="en-US" w:eastAsia="zh-CN"/>
        </w:rPr>
      </w:pPr>
      <w:r>
        <w:rPr>
          <w:rFonts w:hint="eastAsia" w:eastAsia="仿宋_GB2312" w:cs="Times New Roman"/>
          <w:kern w:val="0"/>
          <w:sz w:val="32"/>
          <w:szCs w:val="32"/>
          <w:highlight w:val="none"/>
          <w:shd w:val="clear" w:color="auto" w:fill="FFFFFF"/>
          <w:lang w:val="en-US" w:eastAsia="zh-CN"/>
        </w:rPr>
        <w:t>人员考勤不规范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cs="Times New Roman"/>
          <w:kern w:val="0"/>
          <w:sz w:val="32"/>
          <w:szCs w:val="32"/>
          <w:highlight w:val="none"/>
          <w:shd w:val="clear" w:color="auto" w:fill="FFFFFF"/>
          <w:lang w:val="en-US" w:eastAsia="zh-CN"/>
        </w:rPr>
      </w:pPr>
      <w:r>
        <w:rPr>
          <w:rFonts w:hint="eastAsia" w:eastAsia="仿宋_GB2312" w:cs="Times New Roman"/>
          <w:kern w:val="0"/>
          <w:sz w:val="32"/>
          <w:szCs w:val="32"/>
          <w:highlight w:val="none"/>
          <w:shd w:val="clear" w:color="auto" w:fill="FFFFFF"/>
          <w:lang w:val="en-US" w:eastAsia="zh-CN"/>
        </w:rPr>
        <w:t>经查看2022年12月第14号凭证，附件中请假单显示，单位人员请假前往西华大学参加培训，请假时间为2022年11月13日至2022年11月23日。但在阿坝县残疾人联合会2022年职工考勤册中，2022年11月14日至2022年11月19日该工作人员均在考勤表上标记为在岗出勤状态，考勤不规范。</w:t>
      </w:r>
    </w:p>
    <w:p>
      <w:pPr>
        <w:rPr>
          <w:rFonts w:hint="eastAsia" w:eastAsia="仿宋_GB2312" w:cs="Times New Roman"/>
          <w:kern w:val="0"/>
          <w:sz w:val="32"/>
          <w:szCs w:val="32"/>
          <w:highlight w:val="none"/>
          <w:shd w:val="clear" w:color="auto" w:fill="FFFFFF"/>
          <w:lang w:val="en-US" w:eastAsia="zh-CN"/>
        </w:rPr>
      </w:pPr>
      <w:r>
        <w:rPr>
          <w:rFonts w:hint="default" w:ascii="Times New Roman" w:hAnsi="Times New Roman" w:eastAsia="仿宋_GB2312" w:cs="Times New Roman"/>
          <w:b/>
          <w:bCs/>
          <w:color w:val="000000"/>
          <w:kern w:val="2"/>
          <w:sz w:val="32"/>
          <w:szCs w:val="32"/>
          <w:highlight w:val="none"/>
          <w:lang w:val="en-US" w:eastAsia="zh-CN" w:bidi="ar-SA"/>
        </w:rPr>
        <w:t>我们的意见或建议</w:t>
      </w:r>
      <w:r>
        <w:rPr>
          <w:rFonts w:hint="eastAsia" w:ascii="Times New Roman" w:hAnsi="Times New Roman" w:eastAsia="仿宋_GB2312" w:cs="Times New Roman"/>
          <w:b/>
          <w:bCs/>
          <w:color w:val="000000"/>
          <w:kern w:val="2"/>
          <w:sz w:val="32"/>
          <w:szCs w:val="32"/>
          <w:highlight w:val="none"/>
          <w:lang w:val="en-US" w:eastAsia="zh-CN" w:bidi="ar-SA"/>
        </w:rPr>
        <w:t>：</w:t>
      </w:r>
      <w:r>
        <w:rPr>
          <w:rFonts w:hint="eastAsia" w:eastAsia="仿宋_GB2312" w:cs="Times New Roman"/>
          <w:b w:val="0"/>
          <w:bCs w:val="0"/>
          <w:color w:val="000000"/>
          <w:kern w:val="2"/>
          <w:sz w:val="32"/>
          <w:szCs w:val="32"/>
          <w:highlight w:val="none"/>
          <w:lang w:val="en-US" w:eastAsia="zh-CN" w:bidi="ar-SA"/>
        </w:rPr>
        <w:t>建议单位</w:t>
      </w:r>
      <w:r>
        <w:rPr>
          <w:rFonts w:hint="eastAsia" w:eastAsia="仿宋_GB2312" w:cs="Times New Roman"/>
          <w:kern w:val="0"/>
          <w:sz w:val="32"/>
          <w:szCs w:val="32"/>
          <w:highlight w:val="none"/>
          <w:shd w:val="clear" w:color="auto" w:fill="FFFFFF"/>
          <w:lang w:val="en-US" w:eastAsia="zh-CN"/>
        </w:rPr>
        <w:t>建立考勤监督机制，定期检查员工的考勤记录，对不规范的考勤行为及时进行处理和纠正。强化考勤意识，通过培训和教育强化员工的考勤意识，让单位人员认识到规范考勤的重要性，同时提高他们的责任感和自律性。</w:t>
      </w:r>
    </w:p>
    <w:bookmarkEnd w:id="67"/>
    <w:p>
      <w:pPr>
        <w:widowControl/>
        <w:spacing w:after="172" w:line="259" w:lineRule="auto"/>
        <w:jc w:val="both"/>
        <w:rPr>
          <w:rFonts w:hint="default" w:ascii="Times New Roman" w:hAnsi="Times New Roman" w:eastAsia="仿宋_GB2312" w:cs="Times New Roman"/>
          <w:color w:val="000000"/>
          <w:kern w:val="0"/>
          <w:sz w:val="32"/>
          <w:szCs w:val="32"/>
          <w:highlight w:val="none"/>
          <w:lang w:val="en-US" w:eastAsia="zh-CN" w:bidi="ar"/>
        </w:rPr>
      </w:pPr>
    </w:p>
    <w:p>
      <w:pPr>
        <w:widowControl/>
        <w:spacing w:after="172" w:line="259" w:lineRule="auto"/>
        <w:jc w:val="both"/>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附件1：</w:t>
      </w:r>
      <w:r>
        <w:rPr>
          <w:rFonts w:hint="eastAsia" w:eastAsia="仿宋_GB2312" w:cs="Times New Roman"/>
          <w:color w:val="000000"/>
          <w:sz w:val="32"/>
          <w:szCs w:val="32"/>
          <w:highlight w:val="none"/>
          <w:lang w:val="en-US" w:eastAsia="zh-CN"/>
        </w:rPr>
        <w:t>阿坝县残疾人联合会2022年部门整体支出</w:t>
      </w:r>
      <w:r>
        <w:rPr>
          <w:rFonts w:hint="default" w:ascii="Times New Roman" w:hAnsi="Times New Roman" w:eastAsia="仿宋_GB2312" w:cs="Times New Roman"/>
          <w:color w:val="000000"/>
          <w:sz w:val="32"/>
          <w:szCs w:val="32"/>
          <w:highlight w:val="none"/>
          <w:lang w:val="en-US" w:eastAsia="zh-CN"/>
        </w:rPr>
        <w:t>绩效评价</w:t>
      </w:r>
      <w:r>
        <w:rPr>
          <w:rFonts w:hint="default" w:ascii="Times New Roman" w:hAnsi="Times New Roman" w:eastAsia="仿宋_GB2312" w:cs="Times New Roman"/>
          <w:color w:val="000000"/>
          <w:kern w:val="0"/>
          <w:sz w:val="32"/>
          <w:szCs w:val="32"/>
          <w:highlight w:val="none"/>
          <w:lang w:val="en-US" w:eastAsia="zh-CN" w:bidi="ar"/>
        </w:rPr>
        <w:t>指标体系</w:t>
      </w:r>
    </w:p>
    <w:p>
      <w:pPr>
        <w:rPr>
          <w:rFonts w:hint="default"/>
          <w:highlight w:val="none"/>
          <w:lang w:eastAsia="zh-CN"/>
        </w:rPr>
      </w:pPr>
    </w:p>
    <w:p>
      <w:pPr>
        <w:ind w:firstLine="0" w:firstLineChars="0"/>
        <w:rPr>
          <w:rFonts w:hint="default" w:ascii="Times New Roman" w:hAnsi="Times New Roman" w:eastAsia="仿宋_GB2312" w:cs="Times New Roman"/>
          <w:b/>
          <w:sz w:val="32"/>
          <w:szCs w:val="32"/>
          <w:highlight w:val="none"/>
        </w:rPr>
      </w:pPr>
      <w:r>
        <w:rPr>
          <w:rFonts w:hint="default" w:ascii="Times New Roman" w:hAnsi="Times New Roman" w:eastAsia="仿宋_GB2312" w:cs="Times New Roman"/>
          <w:b/>
          <w:sz w:val="32"/>
          <w:szCs w:val="32"/>
          <w:highlight w:val="none"/>
          <w:lang w:eastAsia="zh-CN"/>
        </w:rPr>
        <w:t>四川融策会计师事务所有限公司</w:t>
      </w:r>
      <w:r>
        <w:rPr>
          <w:rFonts w:hint="default" w:ascii="Times New Roman" w:hAnsi="Times New Roman" w:eastAsia="仿宋_GB2312" w:cs="Times New Roman"/>
          <w:b/>
          <w:sz w:val="32"/>
          <w:szCs w:val="32"/>
          <w:highlight w:val="none"/>
        </w:rPr>
        <w:t xml:space="preserve">    中国注册会计师：</w:t>
      </w:r>
    </w:p>
    <w:p>
      <w:pPr>
        <w:ind w:firstLine="640"/>
        <w:jc w:val="center"/>
        <w:rPr>
          <w:rFonts w:hint="default" w:ascii="Times New Roman" w:hAnsi="Times New Roman" w:eastAsia="仿宋_GB2312" w:cs="Times New Roman"/>
          <w:b/>
          <w:sz w:val="32"/>
          <w:szCs w:val="32"/>
          <w:highlight w:val="none"/>
        </w:rPr>
      </w:pPr>
    </w:p>
    <w:p>
      <w:pPr>
        <w:ind w:firstLine="1285" w:firstLineChars="400"/>
        <w:rPr>
          <w:rFonts w:hint="default" w:ascii="Times New Roman" w:hAnsi="Times New Roman" w:eastAsia="仿宋_GB2312" w:cs="Times New Roman"/>
          <w:b/>
          <w:sz w:val="32"/>
          <w:szCs w:val="32"/>
          <w:highlight w:val="none"/>
        </w:rPr>
      </w:pPr>
      <w:r>
        <w:rPr>
          <w:rFonts w:hint="default" w:ascii="Times New Roman" w:hAnsi="Times New Roman" w:eastAsia="仿宋_GB2312" w:cs="Times New Roman"/>
          <w:b/>
          <w:sz w:val="32"/>
          <w:szCs w:val="32"/>
          <w:highlight w:val="none"/>
        </w:rPr>
        <w:t>中国·成都              中国注册会计师：</w:t>
      </w:r>
    </w:p>
    <w:p>
      <w:pPr>
        <w:ind w:firstLine="640"/>
        <w:rPr>
          <w:rFonts w:hint="default" w:ascii="Times New Roman" w:hAnsi="Times New Roman" w:eastAsia="仿宋_GB2312" w:cs="Times New Roman"/>
          <w:b/>
          <w:sz w:val="32"/>
          <w:szCs w:val="32"/>
          <w:highlight w:val="none"/>
        </w:rPr>
      </w:pPr>
    </w:p>
    <w:p>
      <w:pPr>
        <w:tabs>
          <w:tab w:val="right" w:pos="7501"/>
        </w:tabs>
        <w:ind w:firstLine="1285" w:firstLineChars="400"/>
        <w:rPr>
          <w:rFonts w:hint="default"/>
          <w:lang w:val="en-US" w:eastAsia="zh-CN"/>
        </w:rPr>
      </w:pPr>
      <w:r>
        <w:rPr>
          <w:rFonts w:hint="default" w:ascii="Times New Roman" w:hAnsi="Times New Roman" w:eastAsia="仿宋_GB2312" w:cs="Times New Roman"/>
          <w:b/>
          <w:sz w:val="32"/>
          <w:szCs w:val="32"/>
          <w:highlight w:val="none"/>
        </w:rPr>
        <w:t xml:space="preserve">                      </w:t>
      </w:r>
      <w:r>
        <w:rPr>
          <w:rFonts w:hint="eastAsia" w:eastAsia="仿宋_GB2312" w:cs="Times New Roman"/>
          <w:b/>
          <w:sz w:val="32"/>
          <w:szCs w:val="32"/>
          <w:highlight w:val="none"/>
          <w:lang w:eastAsia="zh-CN"/>
        </w:rPr>
        <w:t>二〇二</w:t>
      </w:r>
      <w:r>
        <w:rPr>
          <w:rFonts w:hint="eastAsia" w:eastAsia="仿宋_GB2312" w:cs="Times New Roman"/>
          <w:b/>
          <w:sz w:val="32"/>
          <w:szCs w:val="32"/>
          <w:highlight w:val="none"/>
          <w:lang w:val="en-US" w:eastAsia="zh-CN"/>
        </w:rPr>
        <w:t>三</w:t>
      </w:r>
      <w:r>
        <w:rPr>
          <w:rFonts w:hint="eastAsia" w:eastAsia="仿宋_GB2312" w:cs="Times New Roman"/>
          <w:b/>
          <w:sz w:val="32"/>
          <w:szCs w:val="32"/>
          <w:highlight w:val="none"/>
          <w:lang w:eastAsia="zh-CN"/>
        </w:rPr>
        <w:t>年</w:t>
      </w:r>
      <w:r>
        <w:rPr>
          <w:rFonts w:hint="eastAsia" w:eastAsia="仿宋_GB2312" w:cs="Times New Roman"/>
          <w:b/>
          <w:sz w:val="32"/>
          <w:szCs w:val="32"/>
          <w:highlight w:val="none"/>
          <w:lang w:val="en-US" w:eastAsia="zh-CN"/>
        </w:rPr>
        <w:t>十一</w:t>
      </w:r>
      <w:r>
        <w:rPr>
          <w:rFonts w:hint="default" w:ascii="Times New Roman" w:hAnsi="Times New Roman" w:eastAsia="仿宋_GB2312" w:cs="Times New Roman"/>
          <w:b/>
          <w:sz w:val="32"/>
          <w:szCs w:val="32"/>
          <w:highlight w:val="none"/>
        </w:rPr>
        <w:t>月</w:t>
      </w:r>
      <w:r>
        <w:rPr>
          <w:rFonts w:hint="eastAsia" w:eastAsia="仿宋_GB2312" w:cs="Times New Roman"/>
          <w:b/>
          <w:sz w:val="32"/>
          <w:szCs w:val="32"/>
          <w:highlight w:val="none"/>
          <w:lang w:val="en-US" w:eastAsia="zh-CN"/>
        </w:rPr>
        <w:t>三十</w:t>
      </w:r>
      <w:r>
        <w:rPr>
          <w:rFonts w:hint="default" w:ascii="Times New Roman" w:hAnsi="Times New Roman" w:eastAsia="仿宋_GB2312" w:cs="Times New Roman"/>
          <w:b/>
          <w:sz w:val="32"/>
          <w:szCs w:val="32"/>
          <w:highlight w:val="none"/>
        </w:rPr>
        <w:t>日</w:t>
      </w:r>
    </w:p>
    <w:sectPr>
      <w:footerReference r:id="rId10" w:type="default"/>
      <w:footnotePr>
        <w:numFmt w:val="decimalEnclosedCircleChinese"/>
      </w:footnotePr>
      <w:pgSz w:w="11906" w:h="16838"/>
      <w:pgMar w:top="1304" w:right="1418" w:bottom="1276" w:left="1418" w:header="851" w:footer="992" w:gutter="284"/>
      <w:pgBorders>
        <w:top w:val="none" w:sz="0" w:space="0"/>
        <w:left w:val="none" w:sz="0" w:space="0"/>
        <w:bottom w:val="none" w:sz="0" w:space="0"/>
        <w:right w:val="none" w:sz="0" w:space="0"/>
      </w:pgBorders>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40001" w:csb1="00000000"/>
  </w:font>
  <w:font w:name="华康行楷体 W5">
    <w:altName w:val="楷体"/>
    <w:panose1 w:val="03000509000000000000"/>
    <w:charset w:val="86"/>
    <w:family w:val="roman"/>
    <w:pitch w:val="default"/>
    <w:sig w:usb0="00000000" w:usb1="00000000" w:usb2="00000012"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center" w:y="1"/>
      <w:rPr>
        <w:rStyle w:val="43"/>
      </w:rPr>
    </w:pPr>
    <w:r>
      <w:fldChar w:fldCharType="begin"/>
    </w:r>
    <w:r>
      <w:rPr>
        <w:rStyle w:val="43"/>
      </w:rPr>
      <w:instrText xml:space="preserve">PAGE  </w:instrText>
    </w:r>
    <w:r>
      <w:fldChar w:fldCharType="end"/>
    </w:r>
  </w:p>
  <w:p>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rPr>
                              <w:rFonts w:hint="default" w:eastAsia="宋体"/>
                              <w:lang w:val="en-US" w:eastAsia="zh-CN"/>
                            </w:rPr>
                          </w:pPr>
                          <w:r>
                            <w:rPr>
                              <w:rFonts w:hint="eastAsia"/>
                              <w:lang w:val="en-US" w:eastAsia="zh-CN"/>
                            </w:rPr>
                            <w:t xml:space="preserve">第 </w:t>
                          </w:r>
                          <w:r>
                            <w:fldChar w:fldCharType="begin"/>
                          </w:r>
                          <w:r>
                            <w:instrText xml:space="preserve"> PAGE  \* MERGEFORMAT </w:instrText>
                          </w:r>
                          <w:r>
                            <w:fldChar w:fldCharType="separate"/>
                          </w:r>
                          <w:r>
                            <w:t>1</w:t>
                          </w:r>
                          <w:r>
                            <w:fldChar w:fldCharType="end"/>
                          </w:r>
                          <w:r>
                            <w:rPr>
                              <w:rFonts w:hint="eastAsia"/>
                              <w:lang w:val="en-US" w:eastAsia="zh-CN"/>
                            </w:rPr>
                            <w:t xml:space="preserve"> 页 共 27 页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NxeOVFQIAABUEAAAOAAAAAAAAAAEAIAAAADUBAABkcnMvZTJvRG9jLnhtbFBLBQYAAAAABgAG&#10;AFkBAAC8BQAAAAA=&#10;">
              <v:fill on="f" focussize="0,0"/>
              <v:stroke on="f" weight="0.5pt"/>
              <v:imagedata o:title=""/>
              <o:lock v:ext="edit" aspectratio="f"/>
              <v:textbox inset="0mm,0mm,0mm,0mm" style="mso-fit-shape-to-text:t;">
                <w:txbxContent>
                  <w:p>
                    <w:pPr>
                      <w:pStyle w:val="24"/>
                      <w:rPr>
                        <w:rFonts w:hint="default" w:eastAsia="宋体"/>
                        <w:lang w:val="en-US" w:eastAsia="zh-CN"/>
                      </w:rPr>
                    </w:pPr>
                    <w:r>
                      <w:rPr>
                        <w:rFonts w:hint="eastAsia"/>
                        <w:lang w:val="en-US" w:eastAsia="zh-CN"/>
                      </w:rPr>
                      <w:t xml:space="preserve">第 </w:t>
                    </w:r>
                    <w:r>
                      <w:fldChar w:fldCharType="begin"/>
                    </w:r>
                    <w:r>
                      <w:instrText xml:space="preserve"> PAGE  \* MERGEFORMAT </w:instrText>
                    </w:r>
                    <w:r>
                      <w:fldChar w:fldCharType="separate"/>
                    </w:r>
                    <w:r>
                      <w:t>1</w:t>
                    </w:r>
                    <w:r>
                      <w:fldChar w:fldCharType="end"/>
                    </w:r>
                    <w:r>
                      <w:rPr>
                        <w:rFonts w:hint="eastAsia"/>
                        <w:lang w:val="en-US" w:eastAsia="zh-CN"/>
                      </w:rPr>
                      <w:t xml:space="preserve"> 页 共 27 页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FA69E"/>
    <w:multiLevelType w:val="singleLevel"/>
    <w:tmpl w:val="DFDFA69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00D14"/>
    <w:rsid w:val="00002597"/>
    <w:rsid w:val="000027B8"/>
    <w:rsid w:val="000076D1"/>
    <w:rsid w:val="00013E9B"/>
    <w:rsid w:val="000140E7"/>
    <w:rsid w:val="00016328"/>
    <w:rsid w:val="00021DA0"/>
    <w:rsid w:val="000222AD"/>
    <w:rsid w:val="00023E28"/>
    <w:rsid w:val="000247C9"/>
    <w:rsid w:val="00025140"/>
    <w:rsid w:val="000251C6"/>
    <w:rsid w:val="000265EB"/>
    <w:rsid w:val="000309FD"/>
    <w:rsid w:val="00032C1B"/>
    <w:rsid w:val="00035DAF"/>
    <w:rsid w:val="00036A28"/>
    <w:rsid w:val="00040C8C"/>
    <w:rsid w:val="00040D45"/>
    <w:rsid w:val="00043287"/>
    <w:rsid w:val="00044763"/>
    <w:rsid w:val="00044C67"/>
    <w:rsid w:val="00047042"/>
    <w:rsid w:val="000472FB"/>
    <w:rsid w:val="00051391"/>
    <w:rsid w:val="0006183A"/>
    <w:rsid w:val="000623B7"/>
    <w:rsid w:val="0006316C"/>
    <w:rsid w:val="000660A2"/>
    <w:rsid w:val="00066E99"/>
    <w:rsid w:val="000730EA"/>
    <w:rsid w:val="000733D1"/>
    <w:rsid w:val="0007668C"/>
    <w:rsid w:val="000771B3"/>
    <w:rsid w:val="00077A67"/>
    <w:rsid w:val="00080247"/>
    <w:rsid w:val="00081AE3"/>
    <w:rsid w:val="000851BF"/>
    <w:rsid w:val="0008540B"/>
    <w:rsid w:val="0009147C"/>
    <w:rsid w:val="0009227C"/>
    <w:rsid w:val="00094076"/>
    <w:rsid w:val="0009489D"/>
    <w:rsid w:val="00095E1E"/>
    <w:rsid w:val="00096C6C"/>
    <w:rsid w:val="000A007E"/>
    <w:rsid w:val="000A35B4"/>
    <w:rsid w:val="000A5EAC"/>
    <w:rsid w:val="000B1734"/>
    <w:rsid w:val="000B528C"/>
    <w:rsid w:val="000B7964"/>
    <w:rsid w:val="000C229E"/>
    <w:rsid w:val="000C5D00"/>
    <w:rsid w:val="000C7E31"/>
    <w:rsid w:val="000D0109"/>
    <w:rsid w:val="000D0715"/>
    <w:rsid w:val="000D251E"/>
    <w:rsid w:val="000D34E2"/>
    <w:rsid w:val="000D40FD"/>
    <w:rsid w:val="000D426C"/>
    <w:rsid w:val="000D53BC"/>
    <w:rsid w:val="000E037C"/>
    <w:rsid w:val="000E043A"/>
    <w:rsid w:val="000E1AF1"/>
    <w:rsid w:val="000E6A55"/>
    <w:rsid w:val="000E6EB5"/>
    <w:rsid w:val="000F0B82"/>
    <w:rsid w:val="000F3591"/>
    <w:rsid w:val="000F4642"/>
    <w:rsid w:val="000F56AC"/>
    <w:rsid w:val="00100AA8"/>
    <w:rsid w:val="0010179E"/>
    <w:rsid w:val="00101849"/>
    <w:rsid w:val="00102A05"/>
    <w:rsid w:val="001045EA"/>
    <w:rsid w:val="00104852"/>
    <w:rsid w:val="0010705E"/>
    <w:rsid w:val="00111B54"/>
    <w:rsid w:val="0011378A"/>
    <w:rsid w:val="00115363"/>
    <w:rsid w:val="00116BF2"/>
    <w:rsid w:val="00117E30"/>
    <w:rsid w:val="0012712B"/>
    <w:rsid w:val="00130379"/>
    <w:rsid w:val="00131845"/>
    <w:rsid w:val="0013485F"/>
    <w:rsid w:val="00140585"/>
    <w:rsid w:val="001429EE"/>
    <w:rsid w:val="001438C4"/>
    <w:rsid w:val="001458A9"/>
    <w:rsid w:val="00153A79"/>
    <w:rsid w:val="00155757"/>
    <w:rsid w:val="00162A47"/>
    <w:rsid w:val="00163BAB"/>
    <w:rsid w:val="001660F3"/>
    <w:rsid w:val="00170062"/>
    <w:rsid w:val="00171037"/>
    <w:rsid w:val="00171252"/>
    <w:rsid w:val="00172A27"/>
    <w:rsid w:val="00173C65"/>
    <w:rsid w:val="00180485"/>
    <w:rsid w:val="001837CF"/>
    <w:rsid w:val="00183EC7"/>
    <w:rsid w:val="00193188"/>
    <w:rsid w:val="001931C6"/>
    <w:rsid w:val="00194088"/>
    <w:rsid w:val="00195978"/>
    <w:rsid w:val="00195BC3"/>
    <w:rsid w:val="001A7094"/>
    <w:rsid w:val="001A7F57"/>
    <w:rsid w:val="001B384A"/>
    <w:rsid w:val="001B47DF"/>
    <w:rsid w:val="001B73F6"/>
    <w:rsid w:val="001C3151"/>
    <w:rsid w:val="001C365E"/>
    <w:rsid w:val="001C5002"/>
    <w:rsid w:val="001C5E99"/>
    <w:rsid w:val="001C6484"/>
    <w:rsid w:val="001C708C"/>
    <w:rsid w:val="001D1346"/>
    <w:rsid w:val="001D1CC2"/>
    <w:rsid w:val="001D5C27"/>
    <w:rsid w:val="001D63AC"/>
    <w:rsid w:val="001E0517"/>
    <w:rsid w:val="001E062D"/>
    <w:rsid w:val="001E226B"/>
    <w:rsid w:val="001E70D1"/>
    <w:rsid w:val="001F0BEE"/>
    <w:rsid w:val="001F1B02"/>
    <w:rsid w:val="001F7AAF"/>
    <w:rsid w:val="0020034B"/>
    <w:rsid w:val="0020614C"/>
    <w:rsid w:val="00206A84"/>
    <w:rsid w:val="002110E3"/>
    <w:rsid w:val="002125EF"/>
    <w:rsid w:val="00212CBF"/>
    <w:rsid w:val="00223358"/>
    <w:rsid w:val="002236CF"/>
    <w:rsid w:val="002250A0"/>
    <w:rsid w:val="00230767"/>
    <w:rsid w:val="002317C0"/>
    <w:rsid w:val="00234DD3"/>
    <w:rsid w:val="0023505E"/>
    <w:rsid w:val="00235969"/>
    <w:rsid w:val="00243DB2"/>
    <w:rsid w:val="002440A3"/>
    <w:rsid w:val="00244927"/>
    <w:rsid w:val="002478CD"/>
    <w:rsid w:val="00247B7F"/>
    <w:rsid w:val="002520DD"/>
    <w:rsid w:val="00254F82"/>
    <w:rsid w:val="00254F98"/>
    <w:rsid w:val="002564E1"/>
    <w:rsid w:val="00263792"/>
    <w:rsid w:val="002641EF"/>
    <w:rsid w:val="00264580"/>
    <w:rsid w:val="00266A8B"/>
    <w:rsid w:val="00266DF6"/>
    <w:rsid w:val="00266FBF"/>
    <w:rsid w:val="002729A8"/>
    <w:rsid w:val="00275128"/>
    <w:rsid w:val="002751CA"/>
    <w:rsid w:val="002756A5"/>
    <w:rsid w:val="00280D2A"/>
    <w:rsid w:val="00281BBA"/>
    <w:rsid w:val="002852B8"/>
    <w:rsid w:val="00285E14"/>
    <w:rsid w:val="00290D0D"/>
    <w:rsid w:val="00293439"/>
    <w:rsid w:val="00296711"/>
    <w:rsid w:val="00297BD6"/>
    <w:rsid w:val="002A13D8"/>
    <w:rsid w:val="002A1EAB"/>
    <w:rsid w:val="002A2F64"/>
    <w:rsid w:val="002A48A1"/>
    <w:rsid w:val="002A4D2D"/>
    <w:rsid w:val="002A6AFB"/>
    <w:rsid w:val="002B029E"/>
    <w:rsid w:val="002B3048"/>
    <w:rsid w:val="002B31F2"/>
    <w:rsid w:val="002B4395"/>
    <w:rsid w:val="002B5B38"/>
    <w:rsid w:val="002D0DF6"/>
    <w:rsid w:val="002D153B"/>
    <w:rsid w:val="002D1B77"/>
    <w:rsid w:val="002D2729"/>
    <w:rsid w:val="002D5D1A"/>
    <w:rsid w:val="002E22D1"/>
    <w:rsid w:val="002F1188"/>
    <w:rsid w:val="002F1F29"/>
    <w:rsid w:val="002F2369"/>
    <w:rsid w:val="002F699E"/>
    <w:rsid w:val="002F7280"/>
    <w:rsid w:val="0030039B"/>
    <w:rsid w:val="00301634"/>
    <w:rsid w:val="00301A65"/>
    <w:rsid w:val="00303518"/>
    <w:rsid w:val="0030479A"/>
    <w:rsid w:val="0030758B"/>
    <w:rsid w:val="00307A41"/>
    <w:rsid w:val="003118DE"/>
    <w:rsid w:val="00313841"/>
    <w:rsid w:val="003147A4"/>
    <w:rsid w:val="0031765C"/>
    <w:rsid w:val="0031780C"/>
    <w:rsid w:val="00317D38"/>
    <w:rsid w:val="0032051F"/>
    <w:rsid w:val="00323E8F"/>
    <w:rsid w:val="00323ED7"/>
    <w:rsid w:val="00325138"/>
    <w:rsid w:val="003256B6"/>
    <w:rsid w:val="00325ED0"/>
    <w:rsid w:val="00326E1F"/>
    <w:rsid w:val="00330396"/>
    <w:rsid w:val="00331031"/>
    <w:rsid w:val="003344EB"/>
    <w:rsid w:val="00335B43"/>
    <w:rsid w:val="00341FF1"/>
    <w:rsid w:val="0034474A"/>
    <w:rsid w:val="003451C7"/>
    <w:rsid w:val="0034546D"/>
    <w:rsid w:val="00353D42"/>
    <w:rsid w:val="00354B11"/>
    <w:rsid w:val="0035506B"/>
    <w:rsid w:val="003575AB"/>
    <w:rsid w:val="0036031B"/>
    <w:rsid w:val="003612F7"/>
    <w:rsid w:val="003627E5"/>
    <w:rsid w:val="00362BA8"/>
    <w:rsid w:val="00363C1F"/>
    <w:rsid w:val="003667B3"/>
    <w:rsid w:val="00374AC2"/>
    <w:rsid w:val="00374C7F"/>
    <w:rsid w:val="00375C80"/>
    <w:rsid w:val="003760CA"/>
    <w:rsid w:val="0038047B"/>
    <w:rsid w:val="0038077A"/>
    <w:rsid w:val="00381208"/>
    <w:rsid w:val="00382B07"/>
    <w:rsid w:val="00384D38"/>
    <w:rsid w:val="00385F7A"/>
    <w:rsid w:val="00390D0C"/>
    <w:rsid w:val="00390E70"/>
    <w:rsid w:val="003A17A0"/>
    <w:rsid w:val="003A1D88"/>
    <w:rsid w:val="003A428C"/>
    <w:rsid w:val="003A4F54"/>
    <w:rsid w:val="003B0611"/>
    <w:rsid w:val="003B1D1B"/>
    <w:rsid w:val="003B50C0"/>
    <w:rsid w:val="003C1EC3"/>
    <w:rsid w:val="003C239C"/>
    <w:rsid w:val="003C612F"/>
    <w:rsid w:val="003C6185"/>
    <w:rsid w:val="003C71CB"/>
    <w:rsid w:val="003D321E"/>
    <w:rsid w:val="003D3782"/>
    <w:rsid w:val="003D7FE6"/>
    <w:rsid w:val="003E21D8"/>
    <w:rsid w:val="003E60AD"/>
    <w:rsid w:val="003F37C9"/>
    <w:rsid w:val="003F4A9F"/>
    <w:rsid w:val="003F5165"/>
    <w:rsid w:val="00400D86"/>
    <w:rsid w:val="0040122A"/>
    <w:rsid w:val="004023AB"/>
    <w:rsid w:val="00410A59"/>
    <w:rsid w:val="00411B07"/>
    <w:rsid w:val="00422267"/>
    <w:rsid w:val="004226B3"/>
    <w:rsid w:val="004256AE"/>
    <w:rsid w:val="00431CAA"/>
    <w:rsid w:val="0043253F"/>
    <w:rsid w:val="00452F54"/>
    <w:rsid w:val="004553DC"/>
    <w:rsid w:val="00456435"/>
    <w:rsid w:val="0046017C"/>
    <w:rsid w:val="00461C22"/>
    <w:rsid w:val="004632EE"/>
    <w:rsid w:val="00463892"/>
    <w:rsid w:val="00466473"/>
    <w:rsid w:val="0046708F"/>
    <w:rsid w:val="0046755F"/>
    <w:rsid w:val="00472B76"/>
    <w:rsid w:val="0047761A"/>
    <w:rsid w:val="00481E6C"/>
    <w:rsid w:val="004845EE"/>
    <w:rsid w:val="00484CA1"/>
    <w:rsid w:val="0048615F"/>
    <w:rsid w:val="00487D3B"/>
    <w:rsid w:val="00492964"/>
    <w:rsid w:val="0049298A"/>
    <w:rsid w:val="0049333A"/>
    <w:rsid w:val="00496A2F"/>
    <w:rsid w:val="004A1955"/>
    <w:rsid w:val="004A3650"/>
    <w:rsid w:val="004A461B"/>
    <w:rsid w:val="004A64C4"/>
    <w:rsid w:val="004C4E4D"/>
    <w:rsid w:val="004C5702"/>
    <w:rsid w:val="004C5DAB"/>
    <w:rsid w:val="004C7034"/>
    <w:rsid w:val="004C7933"/>
    <w:rsid w:val="004D3F88"/>
    <w:rsid w:val="004E2556"/>
    <w:rsid w:val="004E30F3"/>
    <w:rsid w:val="004F2B26"/>
    <w:rsid w:val="004F2CD0"/>
    <w:rsid w:val="004F3EEB"/>
    <w:rsid w:val="004F7940"/>
    <w:rsid w:val="00500527"/>
    <w:rsid w:val="00501C60"/>
    <w:rsid w:val="00510908"/>
    <w:rsid w:val="00512112"/>
    <w:rsid w:val="00517926"/>
    <w:rsid w:val="00522470"/>
    <w:rsid w:val="00522741"/>
    <w:rsid w:val="00523295"/>
    <w:rsid w:val="00545208"/>
    <w:rsid w:val="00546AF9"/>
    <w:rsid w:val="00550A63"/>
    <w:rsid w:val="005515AA"/>
    <w:rsid w:val="0055239D"/>
    <w:rsid w:val="005547F5"/>
    <w:rsid w:val="005554CE"/>
    <w:rsid w:val="0055580C"/>
    <w:rsid w:val="00556EE1"/>
    <w:rsid w:val="00561300"/>
    <w:rsid w:val="0056668D"/>
    <w:rsid w:val="00572AF7"/>
    <w:rsid w:val="00581B92"/>
    <w:rsid w:val="0058490A"/>
    <w:rsid w:val="00585AC8"/>
    <w:rsid w:val="00587C1E"/>
    <w:rsid w:val="00592738"/>
    <w:rsid w:val="00595DE5"/>
    <w:rsid w:val="005970BC"/>
    <w:rsid w:val="005B097B"/>
    <w:rsid w:val="005B105F"/>
    <w:rsid w:val="005B2299"/>
    <w:rsid w:val="005B3B11"/>
    <w:rsid w:val="005C26F9"/>
    <w:rsid w:val="005C354F"/>
    <w:rsid w:val="005C4A43"/>
    <w:rsid w:val="005C7505"/>
    <w:rsid w:val="005D13BB"/>
    <w:rsid w:val="005D3407"/>
    <w:rsid w:val="005D4D1D"/>
    <w:rsid w:val="005D5211"/>
    <w:rsid w:val="005D60E6"/>
    <w:rsid w:val="005D7CA5"/>
    <w:rsid w:val="005E26C7"/>
    <w:rsid w:val="005E2855"/>
    <w:rsid w:val="005E6A8D"/>
    <w:rsid w:val="005F013D"/>
    <w:rsid w:val="005F10E2"/>
    <w:rsid w:val="005F1B10"/>
    <w:rsid w:val="005F33E9"/>
    <w:rsid w:val="005F341F"/>
    <w:rsid w:val="005F52D3"/>
    <w:rsid w:val="00600A12"/>
    <w:rsid w:val="006014C0"/>
    <w:rsid w:val="00601680"/>
    <w:rsid w:val="00601812"/>
    <w:rsid w:val="0062674C"/>
    <w:rsid w:val="00626C1D"/>
    <w:rsid w:val="00630025"/>
    <w:rsid w:val="00630542"/>
    <w:rsid w:val="0063510B"/>
    <w:rsid w:val="00635769"/>
    <w:rsid w:val="006370A5"/>
    <w:rsid w:val="00651948"/>
    <w:rsid w:val="00653328"/>
    <w:rsid w:val="00655EA3"/>
    <w:rsid w:val="0065698F"/>
    <w:rsid w:val="006573C7"/>
    <w:rsid w:val="00661568"/>
    <w:rsid w:val="006637E9"/>
    <w:rsid w:val="00667DB0"/>
    <w:rsid w:val="006702EE"/>
    <w:rsid w:val="006764C3"/>
    <w:rsid w:val="006767F3"/>
    <w:rsid w:val="00680916"/>
    <w:rsid w:val="00680E47"/>
    <w:rsid w:val="006813D0"/>
    <w:rsid w:val="0068242D"/>
    <w:rsid w:val="00683DE8"/>
    <w:rsid w:val="00684467"/>
    <w:rsid w:val="006844E4"/>
    <w:rsid w:val="006906BD"/>
    <w:rsid w:val="00694102"/>
    <w:rsid w:val="006A392A"/>
    <w:rsid w:val="006A614D"/>
    <w:rsid w:val="006B0C09"/>
    <w:rsid w:val="006D0847"/>
    <w:rsid w:val="006D2A8A"/>
    <w:rsid w:val="006D2AD8"/>
    <w:rsid w:val="006D3EEE"/>
    <w:rsid w:val="006D5663"/>
    <w:rsid w:val="006D6D08"/>
    <w:rsid w:val="006D72ED"/>
    <w:rsid w:val="006D7826"/>
    <w:rsid w:val="006E29FE"/>
    <w:rsid w:val="006F3677"/>
    <w:rsid w:val="006F4041"/>
    <w:rsid w:val="006F75E8"/>
    <w:rsid w:val="00701A00"/>
    <w:rsid w:val="0070701D"/>
    <w:rsid w:val="00712802"/>
    <w:rsid w:val="00712E1C"/>
    <w:rsid w:val="007157B6"/>
    <w:rsid w:val="00721EDD"/>
    <w:rsid w:val="007229E2"/>
    <w:rsid w:val="00727046"/>
    <w:rsid w:val="00732A11"/>
    <w:rsid w:val="007339DE"/>
    <w:rsid w:val="00736D3B"/>
    <w:rsid w:val="00741BB3"/>
    <w:rsid w:val="007421FF"/>
    <w:rsid w:val="0074227E"/>
    <w:rsid w:val="00742A22"/>
    <w:rsid w:val="00744CF8"/>
    <w:rsid w:val="0074544A"/>
    <w:rsid w:val="00750257"/>
    <w:rsid w:val="00756B35"/>
    <w:rsid w:val="00763490"/>
    <w:rsid w:val="0076739F"/>
    <w:rsid w:val="00767E0E"/>
    <w:rsid w:val="007706CB"/>
    <w:rsid w:val="007742C9"/>
    <w:rsid w:val="00775DC0"/>
    <w:rsid w:val="00777912"/>
    <w:rsid w:val="00784E32"/>
    <w:rsid w:val="007910EE"/>
    <w:rsid w:val="00797A74"/>
    <w:rsid w:val="007A30E5"/>
    <w:rsid w:val="007A3DBB"/>
    <w:rsid w:val="007A5AC9"/>
    <w:rsid w:val="007A6122"/>
    <w:rsid w:val="007C2223"/>
    <w:rsid w:val="007C76FF"/>
    <w:rsid w:val="007C7F0E"/>
    <w:rsid w:val="007D05B6"/>
    <w:rsid w:val="007D119F"/>
    <w:rsid w:val="007D1856"/>
    <w:rsid w:val="007D4515"/>
    <w:rsid w:val="007D48F7"/>
    <w:rsid w:val="007D4D61"/>
    <w:rsid w:val="007D6140"/>
    <w:rsid w:val="007D69DC"/>
    <w:rsid w:val="007D70A1"/>
    <w:rsid w:val="007D7BED"/>
    <w:rsid w:val="007E495C"/>
    <w:rsid w:val="007E5FBA"/>
    <w:rsid w:val="007E653F"/>
    <w:rsid w:val="007F016C"/>
    <w:rsid w:val="007F304B"/>
    <w:rsid w:val="007F4FFC"/>
    <w:rsid w:val="007F7417"/>
    <w:rsid w:val="007F79A8"/>
    <w:rsid w:val="0080254D"/>
    <w:rsid w:val="00802AFB"/>
    <w:rsid w:val="00804EF9"/>
    <w:rsid w:val="00811553"/>
    <w:rsid w:val="008146D0"/>
    <w:rsid w:val="008221AC"/>
    <w:rsid w:val="008236C3"/>
    <w:rsid w:val="00830833"/>
    <w:rsid w:val="00834BDC"/>
    <w:rsid w:val="00836205"/>
    <w:rsid w:val="008418A9"/>
    <w:rsid w:val="008443AF"/>
    <w:rsid w:val="0085098F"/>
    <w:rsid w:val="00856383"/>
    <w:rsid w:val="0085764A"/>
    <w:rsid w:val="00864D09"/>
    <w:rsid w:val="00866C00"/>
    <w:rsid w:val="008717D9"/>
    <w:rsid w:val="00872A21"/>
    <w:rsid w:val="00872A39"/>
    <w:rsid w:val="00884DC1"/>
    <w:rsid w:val="00890F6E"/>
    <w:rsid w:val="0089244A"/>
    <w:rsid w:val="00893649"/>
    <w:rsid w:val="00893861"/>
    <w:rsid w:val="00893A6B"/>
    <w:rsid w:val="00895E0E"/>
    <w:rsid w:val="0089732C"/>
    <w:rsid w:val="008A0160"/>
    <w:rsid w:val="008A02E5"/>
    <w:rsid w:val="008A1AE8"/>
    <w:rsid w:val="008A55FD"/>
    <w:rsid w:val="008A6E28"/>
    <w:rsid w:val="008A7C4F"/>
    <w:rsid w:val="008B5A66"/>
    <w:rsid w:val="008B6642"/>
    <w:rsid w:val="008B73FC"/>
    <w:rsid w:val="008B7E59"/>
    <w:rsid w:val="008C0B19"/>
    <w:rsid w:val="008C1D38"/>
    <w:rsid w:val="008C4B29"/>
    <w:rsid w:val="008C5FC0"/>
    <w:rsid w:val="008C6C27"/>
    <w:rsid w:val="008D63E7"/>
    <w:rsid w:val="008D6C0A"/>
    <w:rsid w:val="008D720A"/>
    <w:rsid w:val="008D7BA4"/>
    <w:rsid w:val="008E4EB0"/>
    <w:rsid w:val="008E6E29"/>
    <w:rsid w:val="008F0503"/>
    <w:rsid w:val="008F4581"/>
    <w:rsid w:val="008F74C5"/>
    <w:rsid w:val="008F7502"/>
    <w:rsid w:val="009020EB"/>
    <w:rsid w:val="00903061"/>
    <w:rsid w:val="00906F99"/>
    <w:rsid w:val="00907E75"/>
    <w:rsid w:val="00912F18"/>
    <w:rsid w:val="00914283"/>
    <w:rsid w:val="00914760"/>
    <w:rsid w:val="0092273D"/>
    <w:rsid w:val="0093223C"/>
    <w:rsid w:val="00934E82"/>
    <w:rsid w:val="00936AE8"/>
    <w:rsid w:val="00941105"/>
    <w:rsid w:val="009443AC"/>
    <w:rsid w:val="0094528C"/>
    <w:rsid w:val="00950EBD"/>
    <w:rsid w:val="00951327"/>
    <w:rsid w:val="00951B86"/>
    <w:rsid w:val="009524F4"/>
    <w:rsid w:val="00955D23"/>
    <w:rsid w:val="0096238D"/>
    <w:rsid w:val="0096484B"/>
    <w:rsid w:val="00966E4D"/>
    <w:rsid w:val="00975D4F"/>
    <w:rsid w:val="009779E4"/>
    <w:rsid w:val="009801E5"/>
    <w:rsid w:val="00984D8E"/>
    <w:rsid w:val="00987DB5"/>
    <w:rsid w:val="00990151"/>
    <w:rsid w:val="00994191"/>
    <w:rsid w:val="0099592D"/>
    <w:rsid w:val="009A044F"/>
    <w:rsid w:val="009A7C96"/>
    <w:rsid w:val="009A7CA7"/>
    <w:rsid w:val="009B632E"/>
    <w:rsid w:val="009B70C8"/>
    <w:rsid w:val="009C0EDD"/>
    <w:rsid w:val="009C5B79"/>
    <w:rsid w:val="009C61F6"/>
    <w:rsid w:val="009D30D3"/>
    <w:rsid w:val="009D3A24"/>
    <w:rsid w:val="009D3C05"/>
    <w:rsid w:val="009D48A1"/>
    <w:rsid w:val="009D7D58"/>
    <w:rsid w:val="009D7D8C"/>
    <w:rsid w:val="009E08A7"/>
    <w:rsid w:val="009E1EE4"/>
    <w:rsid w:val="009E2DCB"/>
    <w:rsid w:val="009E343B"/>
    <w:rsid w:val="009E4187"/>
    <w:rsid w:val="009E577A"/>
    <w:rsid w:val="009F6035"/>
    <w:rsid w:val="009F7C0F"/>
    <w:rsid w:val="00A024E9"/>
    <w:rsid w:val="00A07382"/>
    <w:rsid w:val="00A07BE7"/>
    <w:rsid w:val="00A10161"/>
    <w:rsid w:val="00A106DD"/>
    <w:rsid w:val="00A11FAE"/>
    <w:rsid w:val="00A1395D"/>
    <w:rsid w:val="00A178B7"/>
    <w:rsid w:val="00A2719B"/>
    <w:rsid w:val="00A27484"/>
    <w:rsid w:val="00A30C2A"/>
    <w:rsid w:val="00A327D3"/>
    <w:rsid w:val="00A32859"/>
    <w:rsid w:val="00A328E4"/>
    <w:rsid w:val="00A33C90"/>
    <w:rsid w:val="00A344EE"/>
    <w:rsid w:val="00A357CC"/>
    <w:rsid w:val="00A36A04"/>
    <w:rsid w:val="00A42D77"/>
    <w:rsid w:val="00A446E9"/>
    <w:rsid w:val="00A462E6"/>
    <w:rsid w:val="00A47B4A"/>
    <w:rsid w:val="00A519AA"/>
    <w:rsid w:val="00A53EE9"/>
    <w:rsid w:val="00A5705D"/>
    <w:rsid w:val="00A602A6"/>
    <w:rsid w:val="00A6132D"/>
    <w:rsid w:val="00A72600"/>
    <w:rsid w:val="00A727D5"/>
    <w:rsid w:val="00A74DDB"/>
    <w:rsid w:val="00A80FBA"/>
    <w:rsid w:val="00A8314B"/>
    <w:rsid w:val="00A85B35"/>
    <w:rsid w:val="00A86916"/>
    <w:rsid w:val="00A90110"/>
    <w:rsid w:val="00A95F48"/>
    <w:rsid w:val="00A96BEA"/>
    <w:rsid w:val="00AA227D"/>
    <w:rsid w:val="00AA48FA"/>
    <w:rsid w:val="00AA5196"/>
    <w:rsid w:val="00AA54D1"/>
    <w:rsid w:val="00AB1F97"/>
    <w:rsid w:val="00AB351A"/>
    <w:rsid w:val="00AB4F03"/>
    <w:rsid w:val="00AB7548"/>
    <w:rsid w:val="00AC2F3E"/>
    <w:rsid w:val="00AC7840"/>
    <w:rsid w:val="00AC7FB9"/>
    <w:rsid w:val="00AD0858"/>
    <w:rsid w:val="00AD1D0E"/>
    <w:rsid w:val="00AD1ED1"/>
    <w:rsid w:val="00AD21D6"/>
    <w:rsid w:val="00AD280B"/>
    <w:rsid w:val="00AD4693"/>
    <w:rsid w:val="00AD529E"/>
    <w:rsid w:val="00AE3638"/>
    <w:rsid w:val="00AE476A"/>
    <w:rsid w:val="00AE6A2D"/>
    <w:rsid w:val="00AE75F5"/>
    <w:rsid w:val="00AF00D2"/>
    <w:rsid w:val="00AF0755"/>
    <w:rsid w:val="00AF0CD9"/>
    <w:rsid w:val="00AF224F"/>
    <w:rsid w:val="00B05693"/>
    <w:rsid w:val="00B105CD"/>
    <w:rsid w:val="00B130D5"/>
    <w:rsid w:val="00B1345C"/>
    <w:rsid w:val="00B16F1A"/>
    <w:rsid w:val="00B177EA"/>
    <w:rsid w:val="00B2292B"/>
    <w:rsid w:val="00B243C5"/>
    <w:rsid w:val="00B25790"/>
    <w:rsid w:val="00B26233"/>
    <w:rsid w:val="00B302FB"/>
    <w:rsid w:val="00B30E6B"/>
    <w:rsid w:val="00B31E0D"/>
    <w:rsid w:val="00B332A7"/>
    <w:rsid w:val="00B34369"/>
    <w:rsid w:val="00B344E9"/>
    <w:rsid w:val="00B37CAE"/>
    <w:rsid w:val="00B41DD8"/>
    <w:rsid w:val="00B41F49"/>
    <w:rsid w:val="00B43912"/>
    <w:rsid w:val="00B51490"/>
    <w:rsid w:val="00B54808"/>
    <w:rsid w:val="00B563DE"/>
    <w:rsid w:val="00B57AC5"/>
    <w:rsid w:val="00B60CEF"/>
    <w:rsid w:val="00B61984"/>
    <w:rsid w:val="00B61CD3"/>
    <w:rsid w:val="00B722A0"/>
    <w:rsid w:val="00B73AD6"/>
    <w:rsid w:val="00B8044D"/>
    <w:rsid w:val="00B8386F"/>
    <w:rsid w:val="00B84730"/>
    <w:rsid w:val="00B86557"/>
    <w:rsid w:val="00B90AEE"/>
    <w:rsid w:val="00B90C86"/>
    <w:rsid w:val="00B9375B"/>
    <w:rsid w:val="00B9661D"/>
    <w:rsid w:val="00B97D85"/>
    <w:rsid w:val="00BA1708"/>
    <w:rsid w:val="00BA1C03"/>
    <w:rsid w:val="00BA29F9"/>
    <w:rsid w:val="00BA4141"/>
    <w:rsid w:val="00BB48FD"/>
    <w:rsid w:val="00BE0115"/>
    <w:rsid w:val="00BE3AC7"/>
    <w:rsid w:val="00BE468A"/>
    <w:rsid w:val="00BE579E"/>
    <w:rsid w:val="00BE71B5"/>
    <w:rsid w:val="00BF065C"/>
    <w:rsid w:val="00BF074D"/>
    <w:rsid w:val="00BF2D1C"/>
    <w:rsid w:val="00BF494E"/>
    <w:rsid w:val="00C03BF1"/>
    <w:rsid w:val="00C046AF"/>
    <w:rsid w:val="00C062FC"/>
    <w:rsid w:val="00C07B7D"/>
    <w:rsid w:val="00C07E09"/>
    <w:rsid w:val="00C126B0"/>
    <w:rsid w:val="00C14D90"/>
    <w:rsid w:val="00C14FB2"/>
    <w:rsid w:val="00C20880"/>
    <w:rsid w:val="00C210A1"/>
    <w:rsid w:val="00C217A3"/>
    <w:rsid w:val="00C2453E"/>
    <w:rsid w:val="00C3085C"/>
    <w:rsid w:val="00C3133C"/>
    <w:rsid w:val="00C31BCD"/>
    <w:rsid w:val="00C346C0"/>
    <w:rsid w:val="00C4179B"/>
    <w:rsid w:val="00C41BC3"/>
    <w:rsid w:val="00C44283"/>
    <w:rsid w:val="00C52692"/>
    <w:rsid w:val="00C5325A"/>
    <w:rsid w:val="00C53A95"/>
    <w:rsid w:val="00C55857"/>
    <w:rsid w:val="00C60AF7"/>
    <w:rsid w:val="00C60DFA"/>
    <w:rsid w:val="00C61F23"/>
    <w:rsid w:val="00C623DB"/>
    <w:rsid w:val="00C6251F"/>
    <w:rsid w:val="00C643F9"/>
    <w:rsid w:val="00C64FE1"/>
    <w:rsid w:val="00C700CB"/>
    <w:rsid w:val="00C81D12"/>
    <w:rsid w:val="00C8697B"/>
    <w:rsid w:val="00C86AEE"/>
    <w:rsid w:val="00C90890"/>
    <w:rsid w:val="00C9268A"/>
    <w:rsid w:val="00C94BCF"/>
    <w:rsid w:val="00C95319"/>
    <w:rsid w:val="00C95551"/>
    <w:rsid w:val="00C95A72"/>
    <w:rsid w:val="00CA2CC1"/>
    <w:rsid w:val="00CA4485"/>
    <w:rsid w:val="00CA5BB2"/>
    <w:rsid w:val="00CB4815"/>
    <w:rsid w:val="00CB56AC"/>
    <w:rsid w:val="00CC22F3"/>
    <w:rsid w:val="00CC4920"/>
    <w:rsid w:val="00CC4BF3"/>
    <w:rsid w:val="00CC7401"/>
    <w:rsid w:val="00CD0AB7"/>
    <w:rsid w:val="00CD125C"/>
    <w:rsid w:val="00CD30CE"/>
    <w:rsid w:val="00CD4ABB"/>
    <w:rsid w:val="00CD5685"/>
    <w:rsid w:val="00CD56AE"/>
    <w:rsid w:val="00CE1660"/>
    <w:rsid w:val="00CE239C"/>
    <w:rsid w:val="00CE46B0"/>
    <w:rsid w:val="00CE4EC9"/>
    <w:rsid w:val="00CF25DB"/>
    <w:rsid w:val="00CF3468"/>
    <w:rsid w:val="00CF55BB"/>
    <w:rsid w:val="00D024A1"/>
    <w:rsid w:val="00D02957"/>
    <w:rsid w:val="00D04144"/>
    <w:rsid w:val="00D105C1"/>
    <w:rsid w:val="00D23853"/>
    <w:rsid w:val="00D324E3"/>
    <w:rsid w:val="00D325F6"/>
    <w:rsid w:val="00D35D2C"/>
    <w:rsid w:val="00D411E0"/>
    <w:rsid w:val="00D45E18"/>
    <w:rsid w:val="00D52ADA"/>
    <w:rsid w:val="00D55D1A"/>
    <w:rsid w:val="00D60A97"/>
    <w:rsid w:val="00D62D2B"/>
    <w:rsid w:val="00D679A1"/>
    <w:rsid w:val="00D70698"/>
    <w:rsid w:val="00D70D54"/>
    <w:rsid w:val="00D74064"/>
    <w:rsid w:val="00D76DFB"/>
    <w:rsid w:val="00D77AD7"/>
    <w:rsid w:val="00D82C3A"/>
    <w:rsid w:val="00D835DD"/>
    <w:rsid w:val="00D8382B"/>
    <w:rsid w:val="00D85128"/>
    <w:rsid w:val="00D878D3"/>
    <w:rsid w:val="00D9023B"/>
    <w:rsid w:val="00D90303"/>
    <w:rsid w:val="00D90740"/>
    <w:rsid w:val="00D90894"/>
    <w:rsid w:val="00D95EA3"/>
    <w:rsid w:val="00D97050"/>
    <w:rsid w:val="00DA41AC"/>
    <w:rsid w:val="00DB2E27"/>
    <w:rsid w:val="00DB45B2"/>
    <w:rsid w:val="00DB6064"/>
    <w:rsid w:val="00DC67C0"/>
    <w:rsid w:val="00DC765F"/>
    <w:rsid w:val="00DD167E"/>
    <w:rsid w:val="00DE1A11"/>
    <w:rsid w:val="00DE2AE0"/>
    <w:rsid w:val="00DF34A3"/>
    <w:rsid w:val="00E03E16"/>
    <w:rsid w:val="00E17405"/>
    <w:rsid w:val="00E20CCA"/>
    <w:rsid w:val="00E23558"/>
    <w:rsid w:val="00E251CA"/>
    <w:rsid w:val="00E34F6C"/>
    <w:rsid w:val="00E37F51"/>
    <w:rsid w:val="00E42474"/>
    <w:rsid w:val="00E42D2D"/>
    <w:rsid w:val="00E43F55"/>
    <w:rsid w:val="00E53548"/>
    <w:rsid w:val="00E54E89"/>
    <w:rsid w:val="00E56106"/>
    <w:rsid w:val="00E6168F"/>
    <w:rsid w:val="00E62262"/>
    <w:rsid w:val="00E62468"/>
    <w:rsid w:val="00E6266F"/>
    <w:rsid w:val="00E668FC"/>
    <w:rsid w:val="00E66ADB"/>
    <w:rsid w:val="00E723A5"/>
    <w:rsid w:val="00E7250B"/>
    <w:rsid w:val="00E72CC8"/>
    <w:rsid w:val="00E75FC9"/>
    <w:rsid w:val="00E77536"/>
    <w:rsid w:val="00E80A9C"/>
    <w:rsid w:val="00E84F15"/>
    <w:rsid w:val="00E857AE"/>
    <w:rsid w:val="00E92A32"/>
    <w:rsid w:val="00E92E0B"/>
    <w:rsid w:val="00EA2AEF"/>
    <w:rsid w:val="00EA4355"/>
    <w:rsid w:val="00EA491E"/>
    <w:rsid w:val="00EB042C"/>
    <w:rsid w:val="00EB4DAA"/>
    <w:rsid w:val="00EB5529"/>
    <w:rsid w:val="00EB5CFB"/>
    <w:rsid w:val="00EC2306"/>
    <w:rsid w:val="00EC43B2"/>
    <w:rsid w:val="00ED0674"/>
    <w:rsid w:val="00ED1912"/>
    <w:rsid w:val="00ED1C5F"/>
    <w:rsid w:val="00ED3D1F"/>
    <w:rsid w:val="00ED3E2B"/>
    <w:rsid w:val="00ED45E8"/>
    <w:rsid w:val="00ED5265"/>
    <w:rsid w:val="00ED6EF9"/>
    <w:rsid w:val="00EE0016"/>
    <w:rsid w:val="00EE208C"/>
    <w:rsid w:val="00EE2AAE"/>
    <w:rsid w:val="00EE3CD3"/>
    <w:rsid w:val="00EE45AD"/>
    <w:rsid w:val="00EE48AF"/>
    <w:rsid w:val="00EE4A65"/>
    <w:rsid w:val="00EF41F7"/>
    <w:rsid w:val="00F0716A"/>
    <w:rsid w:val="00F071BE"/>
    <w:rsid w:val="00F07B82"/>
    <w:rsid w:val="00F20D99"/>
    <w:rsid w:val="00F215FA"/>
    <w:rsid w:val="00F23CF8"/>
    <w:rsid w:val="00F24157"/>
    <w:rsid w:val="00F2554D"/>
    <w:rsid w:val="00F31466"/>
    <w:rsid w:val="00F32A16"/>
    <w:rsid w:val="00F33F6F"/>
    <w:rsid w:val="00F40065"/>
    <w:rsid w:val="00F50376"/>
    <w:rsid w:val="00F50DFE"/>
    <w:rsid w:val="00F554C8"/>
    <w:rsid w:val="00F60507"/>
    <w:rsid w:val="00F63BAC"/>
    <w:rsid w:val="00F65153"/>
    <w:rsid w:val="00F674B2"/>
    <w:rsid w:val="00F75AED"/>
    <w:rsid w:val="00F806E3"/>
    <w:rsid w:val="00F8218E"/>
    <w:rsid w:val="00F829E5"/>
    <w:rsid w:val="00F905EA"/>
    <w:rsid w:val="00F90CDE"/>
    <w:rsid w:val="00F93951"/>
    <w:rsid w:val="00F962E7"/>
    <w:rsid w:val="00F96D07"/>
    <w:rsid w:val="00FA05EE"/>
    <w:rsid w:val="00FA57CE"/>
    <w:rsid w:val="00FA5FC4"/>
    <w:rsid w:val="00FB07AE"/>
    <w:rsid w:val="00FB3CD4"/>
    <w:rsid w:val="00FB6C92"/>
    <w:rsid w:val="00FB7971"/>
    <w:rsid w:val="00FC0961"/>
    <w:rsid w:val="00FC385B"/>
    <w:rsid w:val="00FC40DC"/>
    <w:rsid w:val="00FC79D2"/>
    <w:rsid w:val="00FD2097"/>
    <w:rsid w:val="00FD5218"/>
    <w:rsid w:val="00FE0088"/>
    <w:rsid w:val="00FE145A"/>
    <w:rsid w:val="00FE2FEC"/>
    <w:rsid w:val="00FF00A7"/>
    <w:rsid w:val="00FF5BF3"/>
    <w:rsid w:val="00FF5C7F"/>
    <w:rsid w:val="00FF766C"/>
    <w:rsid w:val="013759AE"/>
    <w:rsid w:val="01AC2A27"/>
    <w:rsid w:val="020178DB"/>
    <w:rsid w:val="021C72CE"/>
    <w:rsid w:val="025A2046"/>
    <w:rsid w:val="027348B5"/>
    <w:rsid w:val="0273635F"/>
    <w:rsid w:val="02B45F74"/>
    <w:rsid w:val="02BE65AC"/>
    <w:rsid w:val="02C637E1"/>
    <w:rsid w:val="02DE7965"/>
    <w:rsid w:val="02FC539B"/>
    <w:rsid w:val="03084C36"/>
    <w:rsid w:val="032C0C7C"/>
    <w:rsid w:val="0341385C"/>
    <w:rsid w:val="034A0A30"/>
    <w:rsid w:val="03523C42"/>
    <w:rsid w:val="0356004D"/>
    <w:rsid w:val="03656F0C"/>
    <w:rsid w:val="037879DA"/>
    <w:rsid w:val="03B3702A"/>
    <w:rsid w:val="040916E0"/>
    <w:rsid w:val="041F2C36"/>
    <w:rsid w:val="043B2EAD"/>
    <w:rsid w:val="046F4344"/>
    <w:rsid w:val="047E1A78"/>
    <w:rsid w:val="04C85BF5"/>
    <w:rsid w:val="04D73078"/>
    <w:rsid w:val="05400D56"/>
    <w:rsid w:val="054B5EC6"/>
    <w:rsid w:val="055C2603"/>
    <w:rsid w:val="05887ED4"/>
    <w:rsid w:val="05EA490E"/>
    <w:rsid w:val="062F78B9"/>
    <w:rsid w:val="063876A4"/>
    <w:rsid w:val="0639691E"/>
    <w:rsid w:val="067D6210"/>
    <w:rsid w:val="0686171A"/>
    <w:rsid w:val="068A7F9C"/>
    <w:rsid w:val="07012B3E"/>
    <w:rsid w:val="072365A6"/>
    <w:rsid w:val="0773068B"/>
    <w:rsid w:val="078E7641"/>
    <w:rsid w:val="07972E61"/>
    <w:rsid w:val="07C53BD8"/>
    <w:rsid w:val="07F718A5"/>
    <w:rsid w:val="08076A8A"/>
    <w:rsid w:val="082C7314"/>
    <w:rsid w:val="082F1661"/>
    <w:rsid w:val="08500461"/>
    <w:rsid w:val="088237AA"/>
    <w:rsid w:val="08900E24"/>
    <w:rsid w:val="08A63100"/>
    <w:rsid w:val="08A90824"/>
    <w:rsid w:val="08C51F88"/>
    <w:rsid w:val="08C64E40"/>
    <w:rsid w:val="08F35AAD"/>
    <w:rsid w:val="092E4D8E"/>
    <w:rsid w:val="09657CB8"/>
    <w:rsid w:val="099F2993"/>
    <w:rsid w:val="09CB45B8"/>
    <w:rsid w:val="09CF4D4B"/>
    <w:rsid w:val="09DB702E"/>
    <w:rsid w:val="09F314C1"/>
    <w:rsid w:val="09FC3642"/>
    <w:rsid w:val="0A0475D0"/>
    <w:rsid w:val="0A151942"/>
    <w:rsid w:val="0A3D2864"/>
    <w:rsid w:val="0A531227"/>
    <w:rsid w:val="0A690774"/>
    <w:rsid w:val="0A6D128C"/>
    <w:rsid w:val="0A870BFA"/>
    <w:rsid w:val="0A961435"/>
    <w:rsid w:val="0AC23D37"/>
    <w:rsid w:val="0AC92102"/>
    <w:rsid w:val="0B260313"/>
    <w:rsid w:val="0B34384A"/>
    <w:rsid w:val="0B3D3CC8"/>
    <w:rsid w:val="0B472834"/>
    <w:rsid w:val="0B75026C"/>
    <w:rsid w:val="0B840330"/>
    <w:rsid w:val="0B87083F"/>
    <w:rsid w:val="0BD55EB7"/>
    <w:rsid w:val="0BEC2882"/>
    <w:rsid w:val="0BFD487B"/>
    <w:rsid w:val="0C1447C8"/>
    <w:rsid w:val="0C2E279F"/>
    <w:rsid w:val="0C310D8F"/>
    <w:rsid w:val="0C44536A"/>
    <w:rsid w:val="0CDF3155"/>
    <w:rsid w:val="0CEB684C"/>
    <w:rsid w:val="0CF04FE7"/>
    <w:rsid w:val="0CF4418A"/>
    <w:rsid w:val="0D1C154D"/>
    <w:rsid w:val="0D3E683E"/>
    <w:rsid w:val="0D5D3392"/>
    <w:rsid w:val="0D6012AA"/>
    <w:rsid w:val="0D697C23"/>
    <w:rsid w:val="0D832544"/>
    <w:rsid w:val="0D892EDB"/>
    <w:rsid w:val="0DB8444D"/>
    <w:rsid w:val="0E664FCA"/>
    <w:rsid w:val="0E927B6D"/>
    <w:rsid w:val="0E9658AF"/>
    <w:rsid w:val="0EC046DA"/>
    <w:rsid w:val="0EE87164"/>
    <w:rsid w:val="0F215CB0"/>
    <w:rsid w:val="0F6F1338"/>
    <w:rsid w:val="0F7A347F"/>
    <w:rsid w:val="0F9A3CAA"/>
    <w:rsid w:val="0FBA737B"/>
    <w:rsid w:val="0FCE6DFD"/>
    <w:rsid w:val="0FD36C49"/>
    <w:rsid w:val="1010343F"/>
    <w:rsid w:val="10521664"/>
    <w:rsid w:val="10662B2B"/>
    <w:rsid w:val="107C1B07"/>
    <w:rsid w:val="10975377"/>
    <w:rsid w:val="109F5A2B"/>
    <w:rsid w:val="10B53B51"/>
    <w:rsid w:val="10E0325E"/>
    <w:rsid w:val="112000BF"/>
    <w:rsid w:val="114853EC"/>
    <w:rsid w:val="11F7415A"/>
    <w:rsid w:val="123571D6"/>
    <w:rsid w:val="124504B7"/>
    <w:rsid w:val="124B7735"/>
    <w:rsid w:val="124C2307"/>
    <w:rsid w:val="124F5E1C"/>
    <w:rsid w:val="125B325B"/>
    <w:rsid w:val="12624DFB"/>
    <w:rsid w:val="1271355F"/>
    <w:rsid w:val="127A31CB"/>
    <w:rsid w:val="128D6607"/>
    <w:rsid w:val="12AA3A8C"/>
    <w:rsid w:val="12BD4314"/>
    <w:rsid w:val="12EE149E"/>
    <w:rsid w:val="13361F99"/>
    <w:rsid w:val="13634763"/>
    <w:rsid w:val="13655850"/>
    <w:rsid w:val="13802684"/>
    <w:rsid w:val="13C756F5"/>
    <w:rsid w:val="13D85498"/>
    <w:rsid w:val="13F07810"/>
    <w:rsid w:val="141E365C"/>
    <w:rsid w:val="14246148"/>
    <w:rsid w:val="14310FC1"/>
    <w:rsid w:val="148D45DC"/>
    <w:rsid w:val="14A00775"/>
    <w:rsid w:val="14A56336"/>
    <w:rsid w:val="14F60FB2"/>
    <w:rsid w:val="14F72EB4"/>
    <w:rsid w:val="15303C50"/>
    <w:rsid w:val="155C1C50"/>
    <w:rsid w:val="15747FCD"/>
    <w:rsid w:val="15893431"/>
    <w:rsid w:val="15B26787"/>
    <w:rsid w:val="15E069C6"/>
    <w:rsid w:val="15E518D3"/>
    <w:rsid w:val="16CE0E1C"/>
    <w:rsid w:val="16D43419"/>
    <w:rsid w:val="172D5A53"/>
    <w:rsid w:val="173558CE"/>
    <w:rsid w:val="17460160"/>
    <w:rsid w:val="174B7723"/>
    <w:rsid w:val="17594E38"/>
    <w:rsid w:val="175C5F2D"/>
    <w:rsid w:val="178E217A"/>
    <w:rsid w:val="17C57A86"/>
    <w:rsid w:val="180E4708"/>
    <w:rsid w:val="182C52BE"/>
    <w:rsid w:val="182D2923"/>
    <w:rsid w:val="18381785"/>
    <w:rsid w:val="185B13F9"/>
    <w:rsid w:val="185E1ECD"/>
    <w:rsid w:val="18772045"/>
    <w:rsid w:val="187E095C"/>
    <w:rsid w:val="189C3682"/>
    <w:rsid w:val="18B20FCE"/>
    <w:rsid w:val="18C8788D"/>
    <w:rsid w:val="190A0907"/>
    <w:rsid w:val="19153875"/>
    <w:rsid w:val="191C3075"/>
    <w:rsid w:val="196172BC"/>
    <w:rsid w:val="19766863"/>
    <w:rsid w:val="19801C10"/>
    <w:rsid w:val="19831DC7"/>
    <w:rsid w:val="198A6011"/>
    <w:rsid w:val="199148E8"/>
    <w:rsid w:val="19957A1F"/>
    <w:rsid w:val="199826A2"/>
    <w:rsid w:val="1A0D6DB6"/>
    <w:rsid w:val="1A27385F"/>
    <w:rsid w:val="1A375AAD"/>
    <w:rsid w:val="1A680241"/>
    <w:rsid w:val="1A797E25"/>
    <w:rsid w:val="1A86178D"/>
    <w:rsid w:val="1A9C00AB"/>
    <w:rsid w:val="1AAF4DA4"/>
    <w:rsid w:val="1AE32516"/>
    <w:rsid w:val="1AFD32CD"/>
    <w:rsid w:val="1B045C3F"/>
    <w:rsid w:val="1B36527E"/>
    <w:rsid w:val="1B3A5427"/>
    <w:rsid w:val="1B3D6948"/>
    <w:rsid w:val="1B4A4017"/>
    <w:rsid w:val="1B956AB3"/>
    <w:rsid w:val="1BAF4FD7"/>
    <w:rsid w:val="1BD07A41"/>
    <w:rsid w:val="1C0539A1"/>
    <w:rsid w:val="1C13053F"/>
    <w:rsid w:val="1C5E7E41"/>
    <w:rsid w:val="1C611A44"/>
    <w:rsid w:val="1C931452"/>
    <w:rsid w:val="1CAC64A5"/>
    <w:rsid w:val="1CCE7A3C"/>
    <w:rsid w:val="1CE4012E"/>
    <w:rsid w:val="1D17405F"/>
    <w:rsid w:val="1D545F62"/>
    <w:rsid w:val="1D550812"/>
    <w:rsid w:val="1D670DAF"/>
    <w:rsid w:val="1D961AAB"/>
    <w:rsid w:val="1DCD471E"/>
    <w:rsid w:val="1DF73736"/>
    <w:rsid w:val="1E153F13"/>
    <w:rsid w:val="1E4B3A17"/>
    <w:rsid w:val="1EBB4EBE"/>
    <w:rsid w:val="1EDF6241"/>
    <w:rsid w:val="1EF02DBA"/>
    <w:rsid w:val="1EF50E2C"/>
    <w:rsid w:val="1EFA136F"/>
    <w:rsid w:val="1F07660A"/>
    <w:rsid w:val="1F1A4831"/>
    <w:rsid w:val="1F3674A4"/>
    <w:rsid w:val="1F3A78BB"/>
    <w:rsid w:val="1F5654A6"/>
    <w:rsid w:val="1F6A2B6C"/>
    <w:rsid w:val="1F75023B"/>
    <w:rsid w:val="1F7A031D"/>
    <w:rsid w:val="1F7A75C4"/>
    <w:rsid w:val="1F8C72B0"/>
    <w:rsid w:val="1FA36E16"/>
    <w:rsid w:val="1FB35D44"/>
    <w:rsid w:val="1FDB75C6"/>
    <w:rsid w:val="20696AB7"/>
    <w:rsid w:val="20A00A01"/>
    <w:rsid w:val="20BC5B59"/>
    <w:rsid w:val="20E902CB"/>
    <w:rsid w:val="210E17D3"/>
    <w:rsid w:val="213F50B4"/>
    <w:rsid w:val="215B571C"/>
    <w:rsid w:val="21713662"/>
    <w:rsid w:val="219519F6"/>
    <w:rsid w:val="21C522EA"/>
    <w:rsid w:val="21F66836"/>
    <w:rsid w:val="22110519"/>
    <w:rsid w:val="22160D89"/>
    <w:rsid w:val="223718C4"/>
    <w:rsid w:val="224551CB"/>
    <w:rsid w:val="224D2C19"/>
    <w:rsid w:val="227106AC"/>
    <w:rsid w:val="227321C4"/>
    <w:rsid w:val="228B7208"/>
    <w:rsid w:val="228C1F46"/>
    <w:rsid w:val="22A068A5"/>
    <w:rsid w:val="22D27325"/>
    <w:rsid w:val="22E82F02"/>
    <w:rsid w:val="23681EC9"/>
    <w:rsid w:val="2390627A"/>
    <w:rsid w:val="23974CE6"/>
    <w:rsid w:val="23B95B4B"/>
    <w:rsid w:val="243376EE"/>
    <w:rsid w:val="24474BEB"/>
    <w:rsid w:val="245E7F9D"/>
    <w:rsid w:val="2462195D"/>
    <w:rsid w:val="2473437E"/>
    <w:rsid w:val="24A02B38"/>
    <w:rsid w:val="24C86E4A"/>
    <w:rsid w:val="24CA19B7"/>
    <w:rsid w:val="24CA251F"/>
    <w:rsid w:val="24F93D93"/>
    <w:rsid w:val="25001D8E"/>
    <w:rsid w:val="250139C8"/>
    <w:rsid w:val="25015C8D"/>
    <w:rsid w:val="25316DBC"/>
    <w:rsid w:val="25374B08"/>
    <w:rsid w:val="25755DC7"/>
    <w:rsid w:val="258C049F"/>
    <w:rsid w:val="259F2E44"/>
    <w:rsid w:val="25E16874"/>
    <w:rsid w:val="25F41E72"/>
    <w:rsid w:val="26684698"/>
    <w:rsid w:val="267616F4"/>
    <w:rsid w:val="267E7EE2"/>
    <w:rsid w:val="269E3515"/>
    <w:rsid w:val="26C8412D"/>
    <w:rsid w:val="26D35A29"/>
    <w:rsid w:val="279D3E9C"/>
    <w:rsid w:val="27AC4934"/>
    <w:rsid w:val="27D368EF"/>
    <w:rsid w:val="27D50D9F"/>
    <w:rsid w:val="27E11438"/>
    <w:rsid w:val="27E162DF"/>
    <w:rsid w:val="27E52E08"/>
    <w:rsid w:val="28100029"/>
    <w:rsid w:val="2819068F"/>
    <w:rsid w:val="2831159F"/>
    <w:rsid w:val="28C22248"/>
    <w:rsid w:val="28E53263"/>
    <w:rsid w:val="28EC45F2"/>
    <w:rsid w:val="28FE2577"/>
    <w:rsid w:val="29197407"/>
    <w:rsid w:val="293F3248"/>
    <w:rsid w:val="295019C0"/>
    <w:rsid w:val="2964577C"/>
    <w:rsid w:val="2999706E"/>
    <w:rsid w:val="29BD1AEA"/>
    <w:rsid w:val="29E25CCA"/>
    <w:rsid w:val="29F01B4E"/>
    <w:rsid w:val="29F179E6"/>
    <w:rsid w:val="2AE52D81"/>
    <w:rsid w:val="2B5B15BB"/>
    <w:rsid w:val="2B734B48"/>
    <w:rsid w:val="2BD0363D"/>
    <w:rsid w:val="2C2A155C"/>
    <w:rsid w:val="2C561EEC"/>
    <w:rsid w:val="2C6E13AE"/>
    <w:rsid w:val="2CE767D6"/>
    <w:rsid w:val="2D074563"/>
    <w:rsid w:val="2D4A5287"/>
    <w:rsid w:val="2D67208B"/>
    <w:rsid w:val="2D7A6E9A"/>
    <w:rsid w:val="2DDD629F"/>
    <w:rsid w:val="2E09613E"/>
    <w:rsid w:val="2E437485"/>
    <w:rsid w:val="2E5F3401"/>
    <w:rsid w:val="2E8044A4"/>
    <w:rsid w:val="2E8A1F76"/>
    <w:rsid w:val="2EA202D7"/>
    <w:rsid w:val="2EAA79F7"/>
    <w:rsid w:val="2EC60BB1"/>
    <w:rsid w:val="2EDA46C4"/>
    <w:rsid w:val="2EF66244"/>
    <w:rsid w:val="2EFD4E19"/>
    <w:rsid w:val="2EFE0BDB"/>
    <w:rsid w:val="2F071DB4"/>
    <w:rsid w:val="2F244019"/>
    <w:rsid w:val="2F327185"/>
    <w:rsid w:val="2FBE5224"/>
    <w:rsid w:val="30010852"/>
    <w:rsid w:val="301D6B03"/>
    <w:rsid w:val="30243D5C"/>
    <w:rsid w:val="30596B25"/>
    <w:rsid w:val="30C20E8D"/>
    <w:rsid w:val="30DC344D"/>
    <w:rsid w:val="30E24DDB"/>
    <w:rsid w:val="30E618EA"/>
    <w:rsid w:val="30E6596A"/>
    <w:rsid w:val="30ED6EBE"/>
    <w:rsid w:val="31266E06"/>
    <w:rsid w:val="31303ABD"/>
    <w:rsid w:val="31360422"/>
    <w:rsid w:val="313F38FB"/>
    <w:rsid w:val="314B20D2"/>
    <w:rsid w:val="315D46CB"/>
    <w:rsid w:val="318C2A3B"/>
    <w:rsid w:val="31AF2BF4"/>
    <w:rsid w:val="31BF6929"/>
    <w:rsid w:val="31CB077D"/>
    <w:rsid w:val="31D03C89"/>
    <w:rsid w:val="31EC5663"/>
    <w:rsid w:val="32042623"/>
    <w:rsid w:val="320902DE"/>
    <w:rsid w:val="3264344B"/>
    <w:rsid w:val="32863A70"/>
    <w:rsid w:val="328A6E09"/>
    <w:rsid w:val="32AC7386"/>
    <w:rsid w:val="32E763D3"/>
    <w:rsid w:val="32EB46F7"/>
    <w:rsid w:val="32F3112F"/>
    <w:rsid w:val="3320497C"/>
    <w:rsid w:val="336A0B90"/>
    <w:rsid w:val="341615CD"/>
    <w:rsid w:val="34291EBA"/>
    <w:rsid w:val="342B71FC"/>
    <w:rsid w:val="34366616"/>
    <w:rsid w:val="34437189"/>
    <w:rsid w:val="34437DE0"/>
    <w:rsid w:val="34A72A94"/>
    <w:rsid w:val="34F32864"/>
    <w:rsid w:val="35211D0E"/>
    <w:rsid w:val="354F336C"/>
    <w:rsid w:val="355210D0"/>
    <w:rsid w:val="361651B5"/>
    <w:rsid w:val="36452593"/>
    <w:rsid w:val="366B0FB7"/>
    <w:rsid w:val="36750F60"/>
    <w:rsid w:val="36B34424"/>
    <w:rsid w:val="36D466C5"/>
    <w:rsid w:val="36EA5A89"/>
    <w:rsid w:val="36F32FEF"/>
    <w:rsid w:val="37046FAB"/>
    <w:rsid w:val="371C2878"/>
    <w:rsid w:val="3720430A"/>
    <w:rsid w:val="373C31CC"/>
    <w:rsid w:val="373D4C8A"/>
    <w:rsid w:val="374A385F"/>
    <w:rsid w:val="37511C4C"/>
    <w:rsid w:val="37682A67"/>
    <w:rsid w:val="37A023EF"/>
    <w:rsid w:val="37AF6CD2"/>
    <w:rsid w:val="380F0952"/>
    <w:rsid w:val="38211866"/>
    <w:rsid w:val="384761DC"/>
    <w:rsid w:val="384956BC"/>
    <w:rsid w:val="384E559F"/>
    <w:rsid w:val="388218D8"/>
    <w:rsid w:val="389A33CF"/>
    <w:rsid w:val="389C3C67"/>
    <w:rsid w:val="38AA6B44"/>
    <w:rsid w:val="38C74D5D"/>
    <w:rsid w:val="39340ACC"/>
    <w:rsid w:val="393565A8"/>
    <w:rsid w:val="396F7468"/>
    <w:rsid w:val="397353CB"/>
    <w:rsid w:val="39772D95"/>
    <w:rsid w:val="39E24C0B"/>
    <w:rsid w:val="39FD2B64"/>
    <w:rsid w:val="3A237EAC"/>
    <w:rsid w:val="3A2F4904"/>
    <w:rsid w:val="3A3C6A5B"/>
    <w:rsid w:val="3A400359"/>
    <w:rsid w:val="3A6022D2"/>
    <w:rsid w:val="3A6C5666"/>
    <w:rsid w:val="3A791A5E"/>
    <w:rsid w:val="3A8C2A28"/>
    <w:rsid w:val="3A9D3900"/>
    <w:rsid w:val="3AA21583"/>
    <w:rsid w:val="3AAB2255"/>
    <w:rsid w:val="3ADA0651"/>
    <w:rsid w:val="3AED33A6"/>
    <w:rsid w:val="3B965493"/>
    <w:rsid w:val="3BBA06AF"/>
    <w:rsid w:val="3C345458"/>
    <w:rsid w:val="3C585DB9"/>
    <w:rsid w:val="3C590E34"/>
    <w:rsid w:val="3C735C71"/>
    <w:rsid w:val="3CB45D1C"/>
    <w:rsid w:val="3CC24379"/>
    <w:rsid w:val="3D06580F"/>
    <w:rsid w:val="3D124605"/>
    <w:rsid w:val="3D1E5F2E"/>
    <w:rsid w:val="3D51281E"/>
    <w:rsid w:val="3D6375C9"/>
    <w:rsid w:val="3D66752E"/>
    <w:rsid w:val="3D7477C9"/>
    <w:rsid w:val="3D832F6C"/>
    <w:rsid w:val="3D8355D3"/>
    <w:rsid w:val="3DAF2283"/>
    <w:rsid w:val="3DCE5637"/>
    <w:rsid w:val="3DDF7E2A"/>
    <w:rsid w:val="3DEA7988"/>
    <w:rsid w:val="3E510035"/>
    <w:rsid w:val="3E625925"/>
    <w:rsid w:val="3E742DDB"/>
    <w:rsid w:val="3E7560B2"/>
    <w:rsid w:val="3E832B8C"/>
    <w:rsid w:val="3E8A5EF5"/>
    <w:rsid w:val="3EA00548"/>
    <w:rsid w:val="3EA6208F"/>
    <w:rsid w:val="3EB86F6D"/>
    <w:rsid w:val="3ED3317C"/>
    <w:rsid w:val="3EF1250A"/>
    <w:rsid w:val="3F4D0892"/>
    <w:rsid w:val="3F5E56C6"/>
    <w:rsid w:val="3F84512C"/>
    <w:rsid w:val="3F8B6965"/>
    <w:rsid w:val="3F960A1B"/>
    <w:rsid w:val="3FBB73C9"/>
    <w:rsid w:val="40353AA7"/>
    <w:rsid w:val="40552425"/>
    <w:rsid w:val="406330B7"/>
    <w:rsid w:val="406659D4"/>
    <w:rsid w:val="406F52BF"/>
    <w:rsid w:val="40B84D47"/>
    <w:rsid w:val="40C87655"/>
    <w:rsid w:val="40D140B5"/>
    <w:rsid w:val="40D53766"/>
    <w:rsid w:val="410822AE"/>
    <w:rsid w:val="41105E87"/>
    <w:rsid w:val="41886A2A"/>
    <w:rsid w:val="41C62E3A"/>
    <w:rsid w:val="41E965F5"/>
    <w:rsid w:val="420E5CD2"/>
    <w:rsid w:val="423D7335"/>
    <w:rsid w:val="42AB3D97"/>
    <w:rsid w:val="42F56DF0"/>
    <w:rsid w:val="431C04DF"/>
    <w:rsid w:val="435D51AB"/>
    <w:rsid w:val="4364272C"/>
    <w:rsid w:val="437C611B"/>
    <w:rsid w:val="438254A7"/>
    <w:rsid w:val="43AE32D9"/>
    <w:rsid w:val="43D63C39"/>
    <w:rsid w:val="43E07371"/>
    <w:rsid w:val="44011802"/>
    <w:rsid w:val="44AC0997"/>
    <w:rsid w:val="44B25A40"/>
    <w:rsid w:val="44B7378C"/>
    <w:rsid w:val="44C91833"/>
    <w:rsid w:val="44CB55AC"/>
    <w:rsid w:val="450B7FC6"/>
    <w:rsid w:val="451505D5"/>
    <w:rsid w:val="4521341D"/>
    <w:rsid w:val="453942C3"/>
    <w:rsid w:val="454871E1"/>
    <w:rsid w:val="45712FED"/>
    <w:rsid w:val="45D55AA5"/>
    <w:rsid w:val="45DC7897"/>
    <w:rsid w:val="45EB5E6A"/>
    <w:rsid w:val="461452CB"/>
    <w:rsid w:val="463A7640"/>
    <w:rsid w:val="466E0287"/>
    <w:rsid w:val="4674536F"/>
    <w:rsid w:val="46B42F90"/>
    <w:rsid w:val="46C67A90"/>
    <w:rsid w:val="470D1DC4"/>
    <w:rsid w:val="471E51AA"/>
    <w:rsid w:val="472B6F91"/>
    <w:rsid w:val="476E0C2F"/>
    <w:rsid w:val="4807663C"/>
    <w:rsid w:val="48124C91"/>
    <w:rsid w:val="4814271D"/>
    <w:rsid w:val="481B63C6"/>
    <w:rsid w:val="482507B5"/>
    <w:rsid w:val="483B59A8"/>
    <w:rsid w:val="484E4529"/>
    <w:rsid w:val="48883FAF"/>
    <w:rsid w:val="48DB77BF"/>
    <w:rsid w:val="48F06888"/>
    <w:rsid w:val="49322CB9"/>
    <w:rsid w:val="493A1BE1"/>
    <w:rsid w:val="495C6F05"/>
    <w:rsid w:val="49913F18"/>
    <w:rsid w:val="499B3E8C"/>
    <w:rsid w:val="4A0B211B"/>
    <w:rsid w:val="4A43535B"/>
    <w:rsid w:val="4A673417"/>
    <w:rsid w:val="4A930F0B"/>
    <w:rsid w:val="4A9D1F49"/>
    <w:rsid w:val="4ABC6B6C"/>
    <w:rsid w:val="4AD93481"/>
    <w:rsid w:val="4B306D59"/>
    <w:rsid w:val="4B3B5DB8"/>
    <w:rsid w:val="4B415F34"/>
    <w:rsid w:val="4B525B6F"/>
    <w:rsid w:val="4B596C8E"/>
    <w:rsid w:val="4BC0119A"/>
    <w:rsid w:val="4BC845E0"/>
    <w:rsid w:val="4BCB52A8"/>
    <w:rsid w:val="4BEE0D35"/>
    <w:rsid w:val="4C136147"/>
    <w:rsid w:val="4C3752D5"/>
    <w:rsid w:val="4C6C2A35"/>
    <w:rsid w:val="4CC402ED"/>
    <w:rsid w:val="4CFB24DA"/>
    <w:rsid w:val="4D386F94"/>
    <w:rsid w:val="4D407E56"/>
    <w:rsid w:val="4D616C23"/>
    <w:rsid w:val="4D6420F9"/>
    <w:rsid w:val="4D85197B"/>
    <w:rsid w:val="4DCE39AF"/>
    <w:rsid w:val="4DF43316"/>
    <w:rsid w:val="4E28149C"/>
    <w:rsid w:val="4E4A12EF"/>
    <w:rsid w:val="4E705957"/>
    <w:rsid w:val="4E727F06"/>
    <w:rsid w:val="4E7A3D43"/>
    <w:rsid w:val="4E9911BC"/>
    <w:rsid w:val="4EA115E0"/>
    <w:rsid w:val="4EA35395"/>
    <w:rsid w:val="4EC703E0"/>
    <w:rsid w:val="4ED4439C"/>
    <w:rsid w:val="4EEC578E"/>
    <w:rsid w:val="4F430EB3"/>
    <w:rsid w:val="4F827102"/>
    <w:rsid w:val="4F9E7CCA"/>
    <w:rsid w:val="4FF15EC7"/>
    <w:rsid w:val="500C5118"/>
    <w:rsid w:val="5019759F"/>
    <w:rsid w:val="504601DC"/>
    <w:rsid w:val="50576452"/>
    <w:rsid w:val="50655768"/>
    <w:rsid w:val="50723D8A"/>
    <w:rsid w:val="50E823D6"/>
    <w:rsid w:val="510C62EA"/>
    <w:rsid w:val="512D1D23"/>
    <w:rsid w:val="512E314A"/>
    <w:rsid w:val="51522536"/>
    <w:rsid w:val="51585832"/>
    <w:rsid w:val="51C160C4"/>
    <w:rsid w:val="51CD2F0F"/>
    <w:rsid w:val="51E657BD"/>
    <w:rsid w:val="51F02CB6"/>
    <w:rsid w:val="52014762"/>
    <w:rsid w:val="52220D7A"/>
    <w:rsid w:val="524F093C"/>
    <w:rsid w:val="5267525C"/>
    <w:rsid w:val="5288177F"/>
    <w:rsid w:val="52B665F5"/>
    <w:rsid w:val="52CE3ED6"/>
    <w:rsid w:val="52F96ACC"/>
    <w:rsid w:val="531133C7"/>
    <w:rsid w:val="53247CD4"/>
    <w:rsid w:val="53316F22"/>
    <w:rsid w:val="533A753E"/>
    <w:rsid w:val="536223FA"/>
    <w:rsid w:val="538319C4"/>
    <w:rsid w:val="53C47D96"/>
    <w:rsid w:val="53C81969"/>
    <w:rsid w:val="53CC510F"/>
    <w:rsid w:val="53CF02CD"/>
    <w:rsid w:val="53DA1367"/>
    <w:rsid w:val="54314647"/>
    <w:rsid w:val="544D7446"/>
    <w:rsid w:val="54CD37CC"/>
    <w:rsid w:val="54DF20E2"/>
    <w:rsid w:val="54EF0E42"/>
    <w:rsid w:val="54F416B3"/>
    <w:rsid w:val="555E653C"/>
    <w:rsid w:val="556257B9"/>
    <w:rsid w:val="55990BA9"/>
    <w:rsid w:val="55EC5382"/>
    <w:rsid w:val="55FB1948"/>
    <w:rsid w:val="56116B96"/>
    <w:rsid w:val="561454D8"/>
    <w:rsid w:val="56385CF2"/>
    <w:rsid w:val="5644548A"/>
    <w:rsid w:val="56450BEE"/>
    <w:rsid w:val="564B683B"/>
    <w:rsid w:val="56766BEA"/>
    <w:rsid w:val="568127DC"/>
    <w:rsid w:val="568C7B87"/>
    <w:rsid w:val="568E6439"/>
    <w:rsid w:val="56911EA5"/>
    <w:rsid w:val="569451A6"/>
    <w:rsid w:val="56A75AEB"/>
    <w:rsid w:val="572D35E6"/>
    <w:rsid w:val="57661158"/>
    <w:rsid w:val="57870BC6"/>
    <w:rsid w:val="57F7221D"/>
    <w:rsid w:val="583E3A5A"/>
    <w:rsid w:val="5841471C"/>
    <w:rsid w:val="58460EE3"/>
    <w:rsid w:val="585A57CC"/>
    <w:rsid w:val="58796074"/>
    <w:rsid w:val="58871D28"/>
    <w:rsid w:val="58A93115"/>
    <w:rsid w:val="58D2142B"/>
    <w:rsid w:val="59175852"/>
    <w:rsid w:val="593E407D"/>
    <w:rsid w:val="594E6328"/>
    <w:rsid w:val="595F6B5F"/>
    <w:rsid w:val="599C00E4"/>
    <w:rsid w:val="59DB3743"/>
    <w:rsid w:val="59E3084A"/>
    <w:rsid w:val="5A7E1016"/>
    <w:rsid w:val="5ABF282E"/>
    <w:rsid w:val="5AEE6194"/>
    <w:rsid w:val="5B790776"/>
    <w:rsid w:val="5BCD2D42"/>
    <w:rsid w:val="5BFA37C8"/>
    <w:rsid w:val="5C0C30A9"/>
    <w:rsid w:val="5C111FC8"/>
    <w:rsid w:val="5C1473E0"/>
    <w:rsid w:val="5C246B2C"/>
    <w:rsid w:val="5C4211A9"/>
    <w:rsid w:val="5C49084E"/>
    <w:rsid w:val="5C842ABA"/>
    <w:rsid w:val="5CBC2305"/>
    <w:rsid w:val="5CF66C96"/>
    <w:rsid w:val="5D4E646B"/>
    <w:rsid w:val="5DA17670"/>
    <w:rsid w:val="5DC50372"/>
    <w:rsid w:val="5DF23751"/>
    <w:rsid w:val="5DFF43DE"/>
    <w:rsid w:val="5E211531"/>
    <w:rsid w:val="5E3B75FD"/>
    <w:rsid w:val="5EC428DB"/>
    <w:rsid w:val="5ED509A5"/>
    <w:rsid w:val="5EF7101F"/>
    <w:rsid w:val="5F1228CC"/>
    <w:rsid w:val="5F1A0FD8"/>
    <w:rsid w:val="5F231C25"/>
    <w:rsid w:val="5FB5506D"/>
    <w:rsid w:val="5FCA6EB5"/>
    <w:rsid w:val="5FCF3D4A"/>
    <w:rsid w:val="5FFC02EC"/>
    <w:rsid w:val="5FFE53D0"/>
    <w:rsid w:val="601A029B"/>
    <w:rsid w:val="6023339D"/>
    <w:rsid w:val="603737DD"/>
    <w:rsid w:val="60567FC7"/>
    <w:rsid w:val="60702C40"/>
    <w:rsid w:val="60884FB9"/>
    <w:rsid w:val="609C67F0"/>
    <w:rsid w:val="60EF2757"/>
    <w:rsid w:val="610A7DBC"/>
    <w:rsid w:val="611D00EF"/>
    <w:rsid w:val="61432D9A"/>
    <w:rsid w:val="614E6EF1"/>
    <w:rsid w:val="6166423A"/>
    <w:rsid w:val="617D499D"/>
    <w:rsid w:val="619F7A9A"/>
    <w:rsid w:val="61E04298"/>
    <w:rsid w:val="620A075F"/>
    <w:rsid w:val="621974FF"/>
    <w:rsid w:val="622B128F"/>
    <w:rsid w:val="62400005"/>
    <w:rsid w:val="624126D0"/>
    <w:rsid w:val="62BD4921"/>
    <w:rsid w:val="62D54756"/>
    <w:rsid w:val="62D8406E"/>
    <w:rsid w:val="631250C8"/>
    <w:rsid w:val="632E6981"/>
    <w:rsid w:val="63447021"/>
    <w:rsid w:val="6362757D"/>
    <w:rsid w:val="63733AA8"/>
    <w:rsid w:val="63BA4CBB"/>
    <w:rsid w:val="63E75A88"/>
    <w:rsid w:val="6402578D"/>
    <w:rsid w:val="64203DB7"/>
    <w:rsid w:val="64252661"/>
    <w:rsid w:val="64486F95"/>
    <w:rsid w:val="646F38E8"/>
    <w:rsid w:val="64A56B97"/>
    <w:rsid w:val="64A85D79"/>
    <w:rsid w:val="64AE26C6"/>
    <w:rsid w:val="64E556A9"/>
    <w:rsid w:val="64ED07CF"/>
    <w:rsid w:val="64F87A99"/>
    <w:rsid w:val="64FA53BB"/>
    <w:rsid w:val="64FD5FA7"/>
    <w:rsid w:val="65095591"/>
    <w:rsid w:val="65144757"/>
    <w:rsid w:val="652D27EE"/>
    <w:rsid w:val="654404B1"/>
    <w:rsid w:val="654E0736"/>
    <w:rsid w:val="655B553D"/>
    <w:rsid w:val="65607EBC"/>
    <w:rsid w:val="657513D6"/>
    <w:rsid w:val="659E2A46"/>
    <w:rsid w:val="65AF0979"/>
    <w:rsid w:val="65B51D67"/>
    <w:rsid w:val="65C936A6"/>
    <w:rsid w:val="65DB6D58"/>
    <w:rsid w:val="65E81919"/>
    <w:rsid w:val="66455C4A"/>
    <w:rsid w:val="66C01E90"/>
    <w:rsid w:val="66CA0D51"/>
    <w:rsid w:val="66D02156"/>
    <w:rsid w:val="66FE3167"/>
    <w:rsid w:val="671850B3"/>
    <w:rsid w:val="67417141"/>
    <w:rsid w:val="67983ABC"/>
    <w:rsid w:val="67BF1B44"/>
    <w:rsid w:val="67D02A2A"/>
    <w:rsid w:val="683E2F8B"/>
    <w:rsid w:val="68520577"/>
    <w:rsid w:val="687C2D74"/>
    <w:rsid w:val="68811093"/>
    <w:rsid w:val="68BB03CC"/>
    <w:rsid w:val="68BC1203"/>
    <w:rsid w:val="68D77A31"/>
    <w:rsid w:val="68F064E9"/>
    <w:rsid w:val="691177C7"/>
    <w:rsid w:val="695C2B81"/>
    <w:rsid w:val="695E7EE9"/>
    <w:rsid w:val="696D441A"/>
    <w:rsid w:val="698024FA"/>
    <w:rsid w:val="69872FA0"/>
    <w:rsid w:val="69B0517D"/>
    <w:rsid w:val="6A2429FA"/>
    <w:rsid w:val="6AAB4CB0"/>
    <w:rsid w:val="6B0967D2"/>
    <w:rsid w:val="6B171A04"/>
    <w:rsid w:val="6B561487"/>
    <w:rsid w:val="6B6364BD"/>
    <w:rsid w:val="6B6926E0"/>
    <w:rsid w:val="6B817C03"/>
    <w:rsid w:val="6B8F555B"/>
    <w:rsid w:val="6B916358"/>
    <w:rsid w:val="6BAC7798"/>
    <w:rsid w:val="6BF73767"/>
    <w:rsid w:val="6C6A0E2B"/>
    <w:rsid w:val="6C964109"/>
    <w:rsid w:val="6CA87DFD"/>
    <w:rsid w:val="6CB34B3B"/>
    <w:rsid w:val="6CE772EA"/>
    <w:rsid w:val="6CF471E3"/>
    <w:rsid w:val="6CF5088D"/>
    <w:rsid w:val="6CF71B3F"/>
    <w:rsid w:val="6CF952B4"/>
    <w:rsid w:val="6D0B1D5B"/>
    <w:rsid w:val="6D3135F4"/>
    <w:rsid w:val="6D4C37F2"/>
    <w:rsid w:val="6D602485"/>
    <w:rsid w:val="6DA22F30"/>
    <w:rsid w:val="6DAF7423"/>
    <w:rsid w:val="6E0779DC"/>
    <w:rsid w:val="6E0A2842"/>
    <w:rsid w:val="6E3222C6"/>
    <w:rsid w:val="6E3C417A"/>
    <w:rsid w:val="6E8B16E4"/>
    <w:rsid w:val="6E9B7109"/>
    <w:rsid w:val="6ED962E7"/>
    <w:rsid w:val="6F125ADD"/>
    <w:rsid w:val="6F356DDA"/>
    <w:rsid w:val="6F59550F"/>
    <w:rsid w:val="6F753DFA"/>
    <w:rsid w:val="6F8D6E36"/>
    <w:rsid w:val="6FB7683A"/>
    <w:rsid w:val="6FCA1239"/>
    <w:rsid w:val="6FD4771A"/>
    <w:rsid w:val="702A6C39"/>
    <w:rsid w:val="706B1A0E"/>
    <w:rsid w:val="70757707"/>
    <w:rsid w:val="708C5396"/>
    <w:rsid w:val="70970597"/>
    <w:rsid w:val="70B61536"/>
    <w:rsid w:val="70D340B6"/>
    <w:rsid w:val="70EB475C"/>
    <w:rsid w:val="70ED76C7"/>
    <w:rsid w:val="70FD48F5"/>
    <w:rsid w:val="710E1AF9"/>
    <w:rsid w:val="711D5A16"/>
    <w:rsid w:val="715A7A98"/>
    <w:rsid w:val="715E0807"/>
    <w:rsid w:val="71753CA0"/>
    <w:rsid w:val="717906ED"/>
    <w:rsid w:val="71AF2002"/>
    <w:rsid w:val="71B27028"/>
    <w:rsid w:val="72297139"/>
    <w:rsid w:val="722B08F1"/>
    <w:rsid w:val="723B30F9"/>
    <w:rsid w:val="724A3704"/>
    <w:rsid w:val="72803F57"/>
    <w:rsid w:val="72960D09"/>
    <w:rsid w:val="72B240D9"/>
    <w:rsid w:val="72C35F13"/>
    <w:rsid w:val="72CA21FE"/>
    <w:rsid w:val="72FA2F75"/>
    <w:rsid w:val="72FE2F74"/>
    <w:rsid w:val="73013330"/>
    <w:rsid w:val="730D1A7F"/>
    <w:rsid w:val="732F6B4F"/>
    <w:rsid w:val="735E35D8"/>
    <w:rsid w:val="736B3932"/>
    <w:rsid w:val="73776FF9"/>
    <w:rsid w:val="73880BCD"/>
    <w:rsid w:val="7388368D"/>
    <w:rsid w:val="7391343C"/>
    <w:rsid w:val="73981611"/>
    <w:rsid w:val="73E31BE1"/>
    <w:rsid w:val="7404785C"/>
    <w:rsid w:val="740E1BEA"/>
    <w:rsid w:val="740F729D"/>
    <w:rsid w:val="74182764"/>
    <w:rsid w:val="74220495"/>
    <w:rsid w:val="74260706"/>
    <w:rsid w:val="743A7791"/>
    <w:rsid w:val="74D85048"/>
    <w:rsid w:val="74DE41A5"/>
    <w:rsid w:val="74F35D48"/>
    <w:rsid w:val="75226DAD"/>
    <w:rsid w:val="75281F95"/>
    <w:rsid w:val="755820BB"/>
    <w:rsid w:val="75747E57"/>
    <w:rsid w:val="757D534F"/>
    <w:rsid w:val="7589197D"/>
    <w:rsid w:val="75AB1644"/>
    <w:rsid w:val="75B86BA4"/>
    <w:rsid w:val="75C23B36"/>
    <w:rsid w:val="75E858CF"/>
    <w:rsid w:val="761D3C95"/>
    <w:rsid w:val="761D6CDC"/>
    <w:rsid w:val="76361FD5"/>
    <w:rsid w:val="7650389E"/>
    <w:rsid w:val="76593F16"/>
    <w:rsid w:val="766D6E7A"/>
    <w:rsid w:val="767D6EE6"/>
    <w:rsid w:val="76B5566B"/>
    <w:rsid w:val="76BD7F94"/>
    <w:rsid w:val="76C0086F"/>
    <w:rsid w:val="76C44A92"/>
    <w:rsid w:val="76D26D4E"/>
    <w:rsid w:val="76FA40D8"/>
    <w:rsid w:val="77140608"/>
    <w:rsid w:val="771728F8"/>
    <w:rsid w:val="772636E9"/>
    <w:rsid w:val="77A13FDF"/>
    <w:rsid w:val="77A22BF4"/>
    <w:rsid w:val="77D72EF4"/>
    <w:rsid w:val="780F3AA6"/>
    <w:rsid w:val="7810510F"/>
    <w:rsid w:val="781F337D"/>
    <w:rsid w:val="78244A5D"/>
    <w:rsid w:val="7826045F"/>
    <w:rsid w:val="78837E34"/>
    <w:rsid w:val="789D5DA5"/>
    <w:rsid w:val="78AD18DE"/>
    <w:rsid w:val="78E75DA3"/>
    <w:rsid w:val="78F971DB"/>
    <w:rsid w:val="78FE08A5"/>
    <w:rsid w:val="791F174B"/>
    <w:rsid w:val="794175E4"/>
    <w:rsid w:val="794403D0"/>
    <w:rsid w:val="79687467"/>
    <w:rsid w:val="798A28B4"/>
    <w:rsid w:val="79955969"/>
    <w:rsid w:val="79983E20"/>
    <w:rsid w:val="79D9517B"/>
    <w:rsid w:val="79F74697"/>
    <w:rsid w:val="7A0676A2"/>
    <w:rsid w:val="7A281E19"/>
    <w:rsid w:val="7A4F53D5"/>
    <w:rsid w:val="7A625229"/>
    <w:rsid w:val="7A6624AB"/>
    <w:rsid w:val="7ADB48B0"/>
    <w:rsid w:val="7B152CE2"/>
    <w:rsid w:val="7B387814"/>
    <w:rsid w:val="7BA52143"/>
    <w:rsid w:val="7BD05EC4"/>
    <w:rsid w:val="7BE14791"/>
    <w:rsid w:val="7BE252E1"/>
    <w:rsid w:val="7C18217D"/>
    <w:rsid w:val="7C2610D5"/>
    <w:rsid w:val="7C632D86"/>
    <w:rsid w:val="7C717D80"/>
    <w:rsid w:val="7C83492B"/>
    <w:rsid w:val="7C985B01"/>
    <w:rsid w:val="7CA37C99"/>
    <w:rsid w:val="7CE05F1B"/>
    <w:rsid w:val="7CF46F83"/>
    <w:rsid w:val="7D073EA8"/>
    <w:rsid w:val="7D3B4375"/>
    <w:rsid w:val="7D3C0898"/>
    <w:rsid w:val="7D473285"/>
    <w:rsid w:val="7D746231"/>
    <w:rsid w:val="7D867805"/>
    <w:rsid w:val="7DAF714D"/>
    <w:rsid w:val="7DB3477D"/>
    <w:rsid w:val="7DF21AFA"/>
    <w:rsid w:val="7E3C7D0D"/>
    <w:rsid w:val="7E3F45C2"/>
    <w:rsid w:val="7E6C50BF"/>
    <w:rsid w:val="7EA8625D"/>
    <w:rsid w:val="7EAC05F7"/>
    <w:rsid w:val="7EE07A0E"/>
    <w:rsid w:val="7F48034D"/>
    <w:rsid w:val="7F582BD6"/>
    <w:rsid w:val="7F6649C2"/>
    <w:rsid w:val="7F715E01"/>
    <w:rsid w:val="7FB65F35"/>
    <w:rsid w:val="7FFA6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104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49"/>
    <w:qFormat/>
    <w:uiPriority w:val="0"/>
    <w:pPr>
      <w:snapToGrid w:val="0"/>
      <w:spacing w:before="50" w:beforeLines="50" w:after="50" w:afterLines="50" w:line="240" w:lineRule="auto"/>
      <w:jc w:val="left"/>
      <w:outlineLvl w:val="0"/>
    </w:pPr>
    <w:rPr>
      <w:rFonts w:ascii="宋体" w:hAnsi="宋体" w:eastAsia="黑体"/>
      <w:b/>
      <w:sz w:val="28"/>
      <w:szCs w:val="44"/>
    </w:rPr>
  </w:style>
  <w:style w:type="paragraph" w:styleId="3">
    <w:name w:val="heading 2"/>
    <w:basedOn w:val="1"/>
    <w:next w:val="1"/>
    <w:link w:val="55"/>
    <w:qFormat/>
    <w:uiPriority w:val="0"/>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link w:val="50"/>
    <w:qFormat/>
    <w:uiPriority w:val="0"/>
    <w:pPr>
      <w:keepNext/>
      <w:keepLines/>
      <w:spacing w:before="260" w:after="260" w:line="416" w:lineRule="auto"/>
      <w:outlineLvl w:val="2"/>
    </w:pPr>
    <w:rPr>
      <w:b/>
      <w:bCs/>
      <w:sz w:val="32"/>
      <w:szCs w:val="32"/>
    </w:rPr>
  </w:style>
  <w:style w:type="paragraph" w:styleId="5">
    <w:name w:val="heading 4"/>
    <w:basedOn w:val="1"/>
    <w:next w:val="1"/>
    <w:link w:val="59"/>
    <w:qFormat/>
    <w:uiPriority w:val="0"/>
    <w:pPr>
      <w:keepNext/>
      <w:keepLines/>
      <w:widowControl/>
      <w:spacing w:after="104" w:line="256" w:lineRule="auto"/>
      <w:ind w:left="10" w:hanging="10"/>
      <w:jc w:val="left"/>
      <w:outlineLvl w:val="3"/>
    </w:pPr>
    <w:rPr>
      <w:rFonts w:hint="eastAsia" w:ascii="微软雅黑" w:hAnsi="微软雅黑" w:eastAsia="微软雅黑"/>
      <w:color w:val="000000"/>
      <w:sz w:val="30"/>
      <w:szCs w:val="22"/>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1440"/>
      <w:jc w:val="left"/>
    </w:pPr>
    <w:rPr>
      <w:rFonts w:ascii="等线" w:eastAsia="等线"/>
      <w:sz w:val="20"/>
      <w:szCs w:val="20"/>
    </w:rPr>
  </w:style>
  <w:style w:type="paragraph" w:styleId="7">
    <w:name w:val="index 8"/>
    <w:basedOn w:val="1"/>
    <w:next w:val="1"/>
    <w:qFormat/>
    <w:uiPriority w:val="0"/>
    <w:pPr>
      <w:ind w:left="1680" w:hanging="210"/>
    </w:pPr>
  </w:style>
  <w:style w:type="paragraph" w:styleId="8">
    <w:name w:val="index 5"/>
    <w:basedOn w:val="1"/>
    <w:next w:val="1"/>
    <w:qFormat/>
    <w:uiPriority w:val="0"/>
    <w:pPr>
      <w:ind w:left="1050" w:hanging="210"/>
    </w:pPr>
  </w:style>
  <w:style w:type="paragraph" w:styleId="9">
    <w:name w:val="Document Map"/>
    <w:basedOn w:val="1"/>
    <w:link w:val="51"/>
    <w:qFormat/>
    <w:uiPriority w:val="0"/>
  </w:style>
  <w:style w:type="paragraph" w:styleId="10">
    <w:name w:val="annotation text"/>
    <w:basedOn w:val="1"/>
    <w:link w:val="57"/>
    <w:qFormat/>
    <w:uiPriority w:val="0"/>
    <w:pPr>
      <w:jc w:val="left"/>
    </w:pPr>
  </w:style>
  <w:style w:type="paragraph" w:styleId="11">
    <w:name w:val="index 6"/>
    <w:basedOn w:val="1"/>
    <w:next w:val="1"/>
    <w:qFormat/>
    <w:uiPriority w:val="0"/>
    <w:pPr>
      <w:ind w:left="1260" w:hanging="210"/>
    </w:pPr>
  </w:style>
  <w:style w:type="paragraph" w:styleId="12">
    <w:name w:val="Salutation"/>
    <w:basedOn w:val="1"/>
    <w:next w:val="1"/>
    <w:qFormat/>
    <w:uiPriority w:val="0"/>
  </w:style>
  <w:style w:type="paragraph" w:styleId="13">
    <w:name w:val="Body Text"/>
    <w:basedOn w:val="1"/>
    <w:next w:val="1"/>
    <w:qFormat/>
    <w:uiPriority w:val="0"/>
    <w:pPr>
      <w:spacing w:after="120" w:afterLines="0" w:afterAutospacing="0"/>
    </w:pPr>
  </w:style>
  <w:style w:type="paragraph" w:styleId="14">
    <w:name w:val="Body Text Indent"/>
    <w:basedOn w:val="1"/>
    <w:next w:val="15"/>
    <w:qFormat/>
    <w:uiPriority w:val="0"/>
    <w:pPr>
      <w:ind w:left="482"/>
    </w:pPr>
    <w:rPr>
      <w:rFonts w:ascii="宋体" w:hAnsi="宋体"/>
      <w:b/>
      <w:bCs/>
    </w:rPr>
  </w:style>
  <w:style w:type="paragraph" w:styleId="15">
    <w:name w:val="Body Text First Indent 2"/>
    <w:basedOn w:val="14"/>
    <w:next w:val="16"/>
    <w:qFormat/>
    <w:uiPriority w:val="0"/>
    <w:pPr>
      <w:ind w:firstLine="420"/>
    </w:pPr>
  </w:style>
  <w:style w:type="paragraph" w:styleId="16">
    <w:name w:val="Plain Text"/>
    <w:basedOn w:val="1"/>
    <w:qFormat/>
    <w:uiPriority w:val="0"/>
    <w:rPr>
      <w:rFonts w:ascii="宋体" w:hAnsi="Courier New"/>
      <w:sz w:val="21"/>
      <w:szCs w:val="21"/>
    </w:rPr>
  </w:style>
  <w:style w:type="paragraph" w:styleId="17">
    <w:name w:val="index 4"/>
    <w:basedOn w:val="1"/>
    <w:next w:val="1"/>
    <w:qFormat/>
    <w:uiPriority w:val="0"/>
    <w:pPr>
      <w:ind w:left="840" w:hanging="210"/>
    </w:pPr>
  </w:style>
  <w:style w:type="paragraph" w:styleId="18">
    <w:name w:val="toc 5"/>
    <w:basedOn w:val="1"/>
    <w:next w:val="1"/>
    <w:qFormat/>
    <w:uiPriority w:val="0"/>
    <w:pPr>
      <w:ind w:left="960"/>
      <w:jc w:val="left"/>
    </w:pPr>
    <w:rPr>
      <w:rFonts w:ascii="等线" w:eastAsia="等线"/>
      <w:sz w:val="20"/>
      <w:szCs w:val="20"/>
    </w:rPr>
  </w:style>
  <w:style w:type="paragraph" w:styleId="19">
    <w:name w:val="toc 3"/>
    <w:basedOn w:val="1"/>
    <w:next w:val="1"/>
    <w:unhideWhenUsed/>
    <w:qFormat/>
    <w:uiPriority w:val="39"/>
    <w:pPr>
      <w:ind w:left="480"/>
      <w:jc w:val="left"/>
    </w:pPr>
    <w:rPr>
      <w:rFonts w:ascii="等线" w:eastAsia="等线"/>
      <w:sz w:val="22"/>
      <w:szCs w:val="22"/>
    </w:rPr>
  </w:style>
  <w:style w:type="paragraph" w:styleId="20">
    <w:name w:val="toc 8"/>
    <w:basedOn w:val="1"/>
    <w:next w:val="1"/>
    <w:qFormat/>
    <w:uiPriority w:val="0"/>
    <w:pPr>
      <w:ind w:left="1680"/>
      <w:jc w:val="left"/>
    </w:pPr>
    <w:rPr>
      <w:rFonts w:ascii="等线" w:eastAsia="等线"/>
      <w:sz w:val="20"/>
      <w:szCs w:val="20"/>
    </w:rPr>
  </w:style>
  <w:style w:type="paragraph" w:styleId="21">
    <w:name w:val="index 3"/>
    <w:basedOn w:val="1"/>
    <w:next w:val="1"/>
    <w:qFormat/>
    <w:uiPriority w:val="0"/>
    <w:pPr>
      <w:ind w:left="630" w:hanging="210"/>
    </w:pPr>
  </w:style>
  <w:style w:type="paragraph" w:styleId="22">
    <w:name w:val="Body Text Indent 2"/>
    <w:basedOn w:val="1"/>
    <w:qFormat/>
    <w:uiPriority w:val="0"/>
    <w:pPr>
      <w:ind w:firstLine="570"/>
    </w:pPr>
    <w:rPr>
      <w:rFonts w:ascii="楷体_GB2312" w:eastAsia="楷体_GB2312"/>
      <w:szCs w:val="20"/>
    </w:rPr>
  </w:style>
  <w:style w:type="paragraph" w:styleId="23">
    <w:name w:val="Balloon Text"/>
    <w:basedOn w:val="1"/>
    <w:link w:val="56"/>
    <w:qFormat/>
    <w:uiPriority w:val="0"/>
    <w:pPr>
      <w:spacing w:line="240" w:lineRule="auto"/>
    </w:pPr>
    <w:rPr>
      <w:sz w:val="18"/>
      <w:szCs w:val="18"/>
    </w:rPr>
  </w:style>
  <w:style w:type="paragraph" w:styleId="24">
    <w:name w:val="footer"/>
    <w:basedOn w:val="1"/>
    <w:qFormat/>
    <w:uiPriority w:val="0"/>
    <w:pPr>
      <w:tabs>
        <w:tab w:val="center" w:pos="4153"/>
        <w:tab w:val="right" w:pos="8306"/>
      </w:tabs>
      <w:snapToGrid w:val="0"/>
      <w:jc w:val="left"/>
    </w:pPr>
    <w:rPr>
      <w:sz w:val="18"/>
      <w:szCs w:val="18"/>
    </w:rPr>
  </w:style>
  <w:style w:type="paragraph" w:styleId="25">
    <w:name w:val="header"/>
    <w:basedOn w:val="1"/>
    <w:link w:val="54"/>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unhideWhenUsed/>
    <w:qFormat/>
    <w:uiPriority w:val="39"/>
    <w:pPr>
      <w:spacing w:before="120"/>
      <w:jc w:val="left"/>
    </w:pPr>
    <w:rPr>
      <w:rFonts w:ascii="等线" w:eastAsia="等线"/>
      <w:b/>
      <w:bCs/>
    </w:rPr>
  </w:style>
  <w:style w:type="paragraph" w:styleId="27">
    <w:name w:val="toc 4"/>
    <w:basedOn w:val="1"/>
    <w:next w:val="1"/>
    <w:qFormat/>
    <w:uiPriority w:val="0"/>
    <w:pPr>
      <w:ind w:left="720"/>
      <w:jc w:val="left"/>
    </w:pPr>
    <w:rPr>
      <w:rFonts w:ascii="等线" w:eastAsia="等线"/>
      <w:sz w:val="20"/>
      <w:szCs w:val="20"/>
    </w:rPr>
  </w:style>
  <w:style w:type="paragraph" w:styleId="28">
    <w:name w:val="index heading"/>
    <w:basedOn w:val="1"/>
    <w:next w:val="29"/>
    <w:qFormat/>
    <w:uiPriority w:val="0"/>
  </w:style>
  <w:style w:type="paragraph" w:styleId="29">
    <w:name w:val="index 1"/>
    <w:basedOn w:val="1"/>
    <w:next w:val="1"/>
    <w:qFormat/>
    <w:uiPriority w:val="0"/>
    <w:pPr>
      <w:ind w:left="210" w:hanging="210"/>
    </w:pPr>
  </w:style>
  <w:style w:type="paragraph" w:styleId="30">
    <w:name w:val="footnote text"/>
    <w:basedOn w:val="1"/>
    <w:link w:val="47"/>
    <w:qFormat/>
    <w:uiPriority w:val="0"/>
    <w:pPr>
      <w:snapToGrid w:val="0"/>
      <w:jc w:val="left"/>
    </w:pPr>
    <w:rPr>
      <w:sz w:val="18"/>
      <w:szCs w:val="18"/>
    </w:rPr>
  </w:style>
  <w:style w:type="paragraph" w:styleId="31">
    <w:name w:val="toc 6"/>
    <w:basedOn w:val="1"/>
    <w:next w:val="1"/>
    <w:qFormat/>
    <w:uiPriority w:val="0"/>
    <w:pPr>
      <w:ind w:left="1200"/>
      <w:jc w:val="left"/>
    </w:pPr>
    <w:rPr>
      <w:rFonts w:ascii="等线" w:eastAsia="等线"/>
      <w:sz w:val="20"/>
      <w:szCs w:val="20"/>
    </w:rPr>
  </w:style>
  <w:style w:type="paragraph" w:styleId="32">
    <w:name w:val="index 7"/>
    <w:basedOn w:val="1"/>
    <w:next w:val="1"/>
    <w:qFormat/>
    <w:uiPriority w:val="0"/>
    <w:pPr>
      <w:ind w:left="1470" w:hanging="210"/>
    </w:pPr>
  </w:style>
  <w:style w:type="paragraph" w:styleId="33">
    <w:name w:val="index 9"/>
    <w:basedOn w:val="1"/>
    <w:next w:val="1"/>
    <w:qFormat/>
    <w:uiPriority w:val="0"/>
    <w:pPr>
      <w:ind w:left="1890" w:hanging="210"/>
    </w:pPr>
  </w:style>
  <w:style w:type="paragraph" w:styleId="34">
    <w:name w:val="table of figures"/>
    <w:basedOn w:val="1"/>
    <w:next w:val="1"/>
    <w:qFormat/>
    <w:uiPriority w:val="0"/>
    <w:pPr>
      <w:ind w:left="420" w:hanging="420"/>
    </w:pPr>
  </w:style>
  <w:style w:type="paragraph" w:styleId="35">
    <w:name w:val="toc 2"/>
    <w:basedOn w:val="1"/>
    <w:next w:val="1"/>
    <w:unhideWhenUsed/>
    <w:qFormat/>
    <w:uiPriority w:val="39"/>
    <w:pPr>
      <w:ind w:left="240"/>
      <w:jc w:val="left"/>
    </w:pPr>
    <w:rPr>
      <w:rFonts w:ascii="等线" w:eastAsia="等线"/>
      <w:b/>
      <w:bCs/>
      <w:sz w:val="22"/>
      <w:szCs w:val="22"/>
    </w:rPr>
  </w:style>
  <w:style w:type="paragraph" w:styleId="36">
    <w:name w:val="toc 9"/>
    <w:basedOn w:val="1"/>
    <w:next w:val="1"/>
    <w:qFormat/>
    <w:uiPriority w:val="0"/>
    <w:pPr>
      <w:ind w:left="1920"/>
      <w:jc w:val="left"/>
    </w:pPr>
    <w:rPr>
      <w:rFonts w:ascii="等线" w:eastAsia="等线"/>
      <w:sz w:val="20"/>
      <w:szCs w:val="20"/>
    </w:rPr>
  </w:style>
  <w:style w:type="paragraph" w:styleId="37">
    <w:name w:val="Normal (Web)"/>
    <w:basedOn w:val="1"/>
    <w:unhideWhenUsed/>
    <w:qFormat/>
    <w:uiPriority w:val="99"/>
    <w:pPr>
      <w:widowControl/>
      <w:spacing w:before="100" w:beforeAutospacing="1" w:after="100" w:afterAutospacing="1" w:line="240" w:lineRule="auto"/>
      <w:ind w:firstLine="0" w:firstLineChars="0"/>
      <w:jc w:val="left"/>
    </w:pPr>
    <w:rPr>
      <w:rFonts w:ascii="宋体" w:hAnsi="宋体" w:cs="宋体"/>
      <w:kern w:val="0"/>
    </w:rPr>
  </w:style>
  <w:style w:type="paragraph" w:styleId="38">
    <w:name w:val="index 2"/>
    <w:basedOn w:val="1"/>
    <w:next w:val="1"/>
    <w:qFormat/>
    <w:uiPriority w:val="0"/>
    <w:pPr>
      <w:ind w:left="420" w:hanging="210"/>
    </w:pPr>
  </w:style>
  <w:style w:type="paragraph" w:styleId="39">
    <w:name w:val="annotation subject"/>
    <w:basedOn w:val="10"/>
    <w:next w:val="10"/>
    <w:link w:val="60"/>
    <w:qFormat/>
    <w:uiPriority w:val="0"/>
    <w:rPr>
      <w:b/>
      <w:bCs/>
    </w:rPr>
  </w:style>
  <w:style w:type="table" w:styleId="41">
    <w:name w:val="Table Grid"/>
    <w:basedOn w:val="4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page number"/>
    <w:basedOn w:val="42"/>
    <w:qFormat/>
    <w:uiPriority w:val="0"/>
  </w:style>
  <w:style w:type="character" w:styleId="44">
    <w:name w:val="Hyperlink"/>
    <w:unhideWhenUsed/>
    <w:qFormat/>
    <w:uiPriority w:val="99"/>
    <w:rPr>
      <w:color w:val="0563C1"/>
      <w:u w:val="single"/>
    </w:rPr>
  </w:style>
  <w:style w:type="character" w:styleId="45">
    <w:name w:val="annotation reference"/>
    <w:qFormat/>
    <w:uiPriority w:val="0"/>
    <w:rPr>
      <w:sz w:val="21"/>
      <w:szCs w:val="21"/>
    </w:rPr>
  </w:style>
  <w:style w:type="character" w:styleId="46">
    <w:name w:val="footnote reference"/>
    <w:qFormat/>
    <w:uiPriority w:val="0"/>
    <w:rPr>
      <w:vertAlign w:val="superscript"/>
    </w:rPr>
  </w:style>
  <w:style w:type="character" w:customStyle="1" w:styleId="47">
    <w:name w:val="脚注文本 字符"/>
    <w:link w:val="30"/>
    <w:qFormat/>
    <w:uiPriority w:val="0"/>
    <w:rPr>
      <w:kern w:val="2"/>
      <w:sz w:val="18"/>
      <w:szCs w:val="18"/>
    </w:rPr>
  </w:style>
  <w:style w:type="character" w:customStyle="1" w:styleId="48">
    <w:name w:val="font41"/>
    <w:qFormat/>
    <w:uiPriority w:val="0"/>
    <w:rPr>
      <w:rFonts w:hint="eastAsia" w:ascii="宋体" w:hAnsi="宋体" w:eastAsia="宋体" w:cs="宋体"/>
      <w:color w:val="000000"/>
      <w:sz w:val="16"/>
      <w:szCs w:val="16"/>
      <w:u w:val="none"/>
    </w:rPr>
  </w:style>
  <w:style w:type="character" w:customStyle="1" w:styleId="49">
    <w:name w:val="标题 1 字符"/>
    <w:link w:val="2"/>
    <w:qFormat/>
    <w:uiPriority w:val="0"/>
    <w:rPr>
      <w:rFonts w:ascii="宋体" w:hAnsi="宋体" w:eastAsia="黑体"/>
      <w:b/>
      <w:kern w:val="2"/>
      <w:sz w:val="28"/>
      <w:szCs w:val="44"/>
    </w:rPr>
  </w:style>
  <w:style w:type="character" w:customStyle="1" w:styleId="50">
    <w:name w:val="标题 3 字符"/>
    <w:link w:val="4"/>
    <w:semiHidden/>
    <w:qFormat/>
    <w:uiPriority w:val="0"/>
    <w:rPr>
      <w:b/>
      <w:bCs/>
      <w:kern w:val="2"/>
      <w:sz w:val="32"/>
      <w:szCs w:val="32"/>
    </w:rPr>
  </w:style>
  <w:style w:type="character" w:customStyle="1" w:styleId="51">
    <w:name w:val="文档结构图 字符"/>
    <w:link w:val="9"/>
    <w:qFormat/>
    <w:uiPriority w:val="0"/>
    <w:rPr>
      <w:kern w:val="2"/>
      <w:sz w:val="24"/>
      <w:szCs w:val="24"/>
    </w:rPr>
  </w:style>
  <w:style w:type="character" w:customStyle="1" w:styleId="52">
    <w:name w:val="font01"/>
    <w:qFormat/>
    <w:uiPriority w:val="0"/>
    <w:rPr>
      <w:rFonts w:ascii="Wingdings 2" w:hAnsi="Wingdings 2" w:eastAsia="Wingdings 2" w:cs="Wingdings 2"/>
      <w:color w:val="000000"/>
      <w:sz w:val="16"/>
      <w:szCs w:val="16"/>
      <w:u w:val="none"/>
    </w:rPr>
  </w:style>
  <w:style w:type="character" w:customStyle="1" w:styleId="53">
    <w:name w:val="font11"/>
    <w:qFormat/>
    <w:uiPriority w:val="0"/>
    <w:rPr>
      <w:rFonts w:hint="eastAsia" w:ascii="宋体" w:hAnsi="宋体" w:eastAsia="宋体" w:cs="宋体"/>
      <w:color w:val="000000"/>
      <w:sz w:val="16"/>
      <w:szCs w:val="16"/>
      <w:u w:val="none"/>
    </w:rPr>
  </w:style>
  <w:style w:type="character" w:customStyle="1" w:styleId="54">
    <w:name w:val="页眉 字符"/>
    <w:link w:val="25"/>
    <w:qFormat/>
    <w:uiPriority w:val="0"/>
    <w:rPr>
      <w:kern w:val="2"/>
      <w:sz w:val="18"/>
      <w:szCs w:val="18"/>
    </w:rPr>
  </w:style>
  <w:style w:type="character" w:customStyle="1" w:styleId="55">
    <w:name w:val="标题 2 字符"/>
    <w:link w:val="3"/>
    <w:semiHidden/>
    <w:qFormat/>
    <w:uiPriority w:val="0"/>
    <w:rPr>
      <w:rFonts w:ascii="等线 Light" w:hAnsi="等线 Light" w:eastAsia="等线 Light" w:cs="Times New Roman"/>
      <w:b/>
      <w:bCs/>
      <w:kern w:val="2"/>
      <w:sz w:val="32"/>
      <w:szCs w:val="32"/>
    </w:rPr>
  </w:style>
  <w:style w:type="character" w:customStyle="1" w:styleId="56">
    <w:name w:val="批注框文本 字符"/>
    <w:link w:val="23"/>
    <w:qFormat/>
    <w:uiPriority w:val="0"/>
    <w:rPr>
      <w:kern w:val="2"/>
      <w:sz w:val="18"/>
      <w:szCs w:val="18"/>
    </w:rPr>
  </w:style>
  <w:style w:type="character" w:customStyle="1" w:styleId="57">
    <w:name w:val="批注文字 字符"/>
    <w:link w:val="10"/>
    <w:qFormat/>
    <w:uiPriority w:val="0"/>
    <w:rPr>
      <w:kern w:val="2"/>
      <w:sz w:val="24"/>
      <w:szCs w:val="24"/>
    </w:rPr>
  </w:style>
  <w:style w:type="character" w:customStyle="1" w:styleId="58">
    <w:name w:val="font21"/>
    <w:qFormat/>
    <w:uiPriority w:val="0"/>
    <w:rPr>
      <w:rFonts w:hint="eastAsia" w:ascii="宋体" w:hAnsi="宋体" w:eastAsia="宋体" w:cs="宋体"/>
      <w:color w:val="000000"/>
      <w:sz w:val="16"/>
      <w:szCs w:val="16"/>
      <w:u w:val="none"/>
    </w:rPr>
  </w:style>
  <w:style w:type="character" w:customStyle="1" w:styleId="59">
    <w:name w:val="标题 4 字符"/>
    <w:link w:val="5"/>
    <w:qFormat/>
    <w:uiPriority w:val="0"/>
    <w:rPr>
      <w:rFonts w:hint="eastAsia" w:ascii="微软雅黑" w:hAnsi="微软雅黑" w:eastAsia="微软雅黑" w:cs="微软雅黑"/>
      <w:color w:val="000000"/>
      <w:sz w:val="30"/>
    </w:rPr>
  </w:style>
  <w:style w:type="character" w:customStyle="1" w:styleId="60">
    <w:name w:val="批注主题 字符"/>
    <w:link w:val="39"/>
    <w:qFormat/>
    <w:uiPriority w:val="0"/>
    <w:rPr>
      <w:b/>
      <w:bCs/>
      <w:kern w:val="2"/>
      <w:sz w:val="24"/>
      <w:szCs w:val="24"/>
    </w:rPr>
  </w:style>
  <w:style w:type="paragraph" w:customStyle="1" w:styleId="61">
    <w:name w:val="Char"/>
    <w:basedOn w:val="1"/>
    <w:qFormat/>
    <w:uiPriority w:val="0"/>
    <w:pPr>
      <w:widowControl/>
      <w:spacing w:after="160" w:line="240" w:lineRule="exact"/>
      <w:jc w:val="left"/>
    </w:pPr>
    <w:rPr>
      <w:rFonts w:ascii="Arial" w:hAnsi="Arial" w:eastAsia="Times New Roman" w:cs="Verdana"/>
      <w:b/>
      <w:kern w:val="0"/>
      <w:lang w:eastAsia="en-US"/>
    </w:rPr>
  </w:style>
  <w:style w:type="paragraph" w:customStyle="1" w:styleId="62">
    <w:name w:val="Char Char Char Char Char Char Char Char Char Char Char Char Char"/>
    <w:basedOn w:val="1"/>
    <w:next w:val="1"/>
    <w:qFormat/>
    <w:uiPriority w:val="0"/>
    <w:pPr>
      <w:ind w:firstLine="200"/>
    </w:pPr>
  </w:style>
  <w:style w:type="paragraph" w:customStyle="1" w:styleId="63">
    <w:name w:val="目录标题"/>
    <w:basedOn w:val="2"/>
    <w:next w:val="1"/>
    <w:qFormat/>
    <w:uiPriority w:val="39"/>
    <w:pPr>
      <w:widowControl/>
      <w:spacing w:before="480" w:after="0" w:line="276" w:lineRule="auto"/>
      <w:outlineLvl w:val="9"/>
    </w:pPr>
    <w:rPr>
      <w:rFonts w:ascii="等线 Light" w:hAnsi="等线 Light" w:eastAsia="等线 Light"/>
      <w:color w:val="2F5496"/>
      <w:kern w:val="0"/>
      <w:szCs w:val="28"/>
    </w:rPr>
  </w:style>
  <w:style w:type="paragraph" w:customStyle="1" w:styleId="64">
    <w:name w:val="标题②"/>
    <w:basedOn w:val="3"/>
    <w:next w:val="3"/>
    <w:qFormat/>
    <w:uiPriority w:val="0"/>
    <w:pPr>
      <w:widowControl/>
      <w:spacing w:before="50" w:beforeLines="50" w:after="50" w:afterLines="50" w:line="240" w:lineRule="auto"/>
      <w:jc w:val="left"/>
    </w:pPr>
    <w:rPr>
      <w:rFonts w:ascii="楷体_GB2312" w:hAnsi="楷体_GB2312" w:eastAsia="楷体"/>
      <w:color w:val="000000"/>
      <w:sz w:val="24"/>
    </w:rPr>
  </w:style>
  <w:style w:type="paragraph" w:customStyle="1" w:styleId="65">
    <w:name w:val="表格"/>
    <w:basedOn w:val="1"/>
    <w:next w:val="1"/>
    <w:qFormat/>
    <w:uiPriority w:val="0"/>
    <w:pPr>
      <w:adjustRightInd w:val="0"/>
      <w:snapToGrid w:val="0"/>
      <w:spacing w:line="180" w:lineRule="exact"/>
      <w:ind w:firstLine="0" w:firstLineChars="0"/>
    </w:pPr>
    <w:rPr>
      <w:sz w:val="13"/>
    </w:rPr>
  </w:style>
  <w:style w:type="paragraph" w:customStyle="1" w:styleId="66">
    <w:name w:val="标题2"/>
    <w:basedOn w:val="3"/>
    <w:next w:val="3"/>
    <w:qFormat/>
    <w:uiPriority w:val="0"/>
    <w:pPr>
      <w:spacing w:before="50" w:beforeLines="50" w:after="50" w:afterLines="50" w:line="240" w:lineRule="auto"/>
      <w:jc w:val="left"/>
    </w:pPr>
    <w:rPr>
      <w:rFonts w:ascii="楷体_GB2312" w:hAnsi="楷体_GB2312" w:eastAsia="楷体"/>
      <w:color w:val="000000"/>
      <w:sz w:val="24"/>
    </w:rPr>
  </w:style>
  <w:style w:type="paragraph" w:customStyle="1" w:styleId="67">
    <w:name w:val="默认段落字体 Para Char Char Char Char"/>
    <w:basedOn w:val="1"/>
    <w:qFormat/>
    <w:uiPriority w:val="0"/>
    <w:rPr>
      <w:szCs w:val="20"/>
    </w:rPr>
  </w:style>
  <w:style w:type="paragraph" w:customStyle="1" w:styleId="68">
    <w:name w:val="标题3"/>
    <w:basedOn w:val="4"/>
    <w:next w:val="4"/>
    <w:qFormat/>
    <w:uiPriority w:val="0"/>
    <w:pPr>
      <w:spacing w:before="100" w:after="100" w:line="240" w:lineRule="auto"/>
      <w:jc w:val="left"/>
    </w:pPr>
    <w:rPr>
      <w:rFonts w:eastAsia="楷体"/>
      <w:b w:val="0"/>
      <w:sz w:val="24"/>
    </w:rPr>
  </w:style>
  <w:style w:type="paragraph" w:customStyle="1" w:styleId="69">
    <w:name w:val="Char4 Char Char Char"/>
    <w:basedOn w:val="1"/>
    <w:qFormat/>
    <w:uiPriority w:val="0"/>
    <w:pPr>
      <w:adjustRightInd w:val="0"/>
      <w:snapToGrid w:val="0"/>
      <w:ind w:firstLine="200"/>
    </w:pPr>
  </w:style>
  <w:style w:type="paragraph" w:customStyle="1" w:styleId="70">
    <w:name w:val="Char Char Char Char Char Char Char Char Char"/>
    <w:basedOn w:val="1"/>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71">
    <w:name w:val="四号正文"/>
    <w:basedOn w:val="1"/>
    <w:qFormat/>
    <w:uiPriority w:val="0"/>
    <w:pPr>
      <w:spacing w:line="360" w:lineRule="auto"/>
    </w:pPr>
    <w:rPr>
      <w:rFonts w:ascii="??" w:hAnsi="??" w:eastAsia="宋体"/>
      <w:color w:val="000000"/>
      <w:kern w:val="0"/>
      <w:sz w:val="28"/>
      <w:szCs w:val="21"/>
    </w:rPr>
  </w:style>
  <w:style w:type="paragraph" w:customStyle="1" w:styleId="72">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rPr>
  </w:style>
  <w:style w:type="paragraph" w:customStyle="1" w:styleId="73">
    <w:name w:val="List Paragraph"/>
    <w:basedOn w:val="1"/>
    <w:qFormat/>
    <w:uiPriority w:val="0"/>
    <w:pPr>
      <w:ind w:firstLine="420" w:firstLineChars="200"/>
    </w:pPr>
    <w:rPr>
      <w:rFonts w:ascii="Calibri" w:hAnsi="Calibri"/>
      <w:szCs w:val="22"/>
    </w:rPr>
  </w:style>
  <w:style w:type="character" w:customStyle="1" w:styleId="74">
    <w:name w:val="font31"/>
    <w:basedOn w:val="42"/>
    <w:qFormat/>
    <w:uiPriority w:val="0"/>
    <w:rPr>
      <w:rFonts w:hint="eastAsia" w:ascii="仿宋_GB2312" w:eastAsia="仿宋_GB2312" w:cs="仿宋_GB2312"/>
      <w:b/>
      <w:bCs/>
      <w:color w:val="000000"/>
      <w:sz w:val="21"/>
      <w:szCs w:val="21"/>
      <w:u w:val="none"/>
    </w:rPr>
  </w:style>
  <w:style w:type="character" w:customStyle="1" w:styleId="75">
    <w:name w:val="font61"/>
    <w:basedOn w:val="42"/>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41</Pages>
  <Words>15828</Words>
  <Characters>18660</Characters>
  <Lines>100</Lines>
  <Paragraphs>28</Paragraphs>
  <TotalTime>77</TotalTime>
  <ScaleCrop>false</ScaleCrop>
  <LinksUpToDate>false</LinksUpToDate>
  <CharactersWithSpaces>18811</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2020-11-03T00:17:00Z</dcterms:created>
  <dc:creator>friend78</dc:creator>
  <cp:lastModifiedBy>user</cp:lastModifiedBy>
  <cp:lastPrinted>2023-01-06T11:06:00Z</cp:lastPrinted>
  <dcterms:modified xsi:type="dcterms:W3CDTF">2025-04-11T11:55:08Z</dcterms:modified>
  <dc:title>项目绩效评价报告</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BB594A54D8194DF0B6B72938FDD2228C</vt:lpwstr>
  </property>
</Properties>
</file>