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both"/>
        <w:rPr>
          <w:rFonts w:ascii="Times New Roman" w:hAnsi="Times New Roman" w:cs="Times New Roman"/>
          <w:sz w:val="20"/>
        </w:rPr>
      </w:pPr>
      <w:bookmarkStart w:id="72" w:name="_GoBack"/>
      <w:bookmarkEnd w:id="72"/>
      <w:r>
        <mc:AlternateContent>
          <mc:Choice Requires="wps">
            <w:drawing>
              <wp:anchor distT="0" distB="0" distL="114300" distR="114300" simplePos="0" relativeHeight="251659264" behindDoc="0" locked="0" layoutInCell="1" allowOverlap="1">
                <wp:simplePos x="0" y="0"/>
                <wp:positionH relativeFrom="column">
                  <wp:posOffset>1452245</wp:posOffset>
                </wp:positionH>
                <wp:positionV relativeFrom="paragraph">
                  <wp:posOffset>-43180</wp:posOffset>
                </wp:positionV>
                <wp:extent cx="540385" cy="1064260"/>
                <wp:effectExtent l="0" t="0" r="0" b="0"/>
                <wp:wrapNone/>
                <wp:docPr id="2" name="矩形 2"/>
                <wp:cNvGraphicFramePr/>
                <a:graphic xmlns:a="http://schemas.openxmlformats.org/drawingml/2006/main">
                  <a:graphicData uri="http://schemas.microsoft.com/office/word/2010/wordprocessingShape">
                    <wps:wsp>
                      <wps:cNvSpPr/>
                      <wps:spPr>
                        <a:xfrm flipH="1">
                          <a:off x="0" y="0"/>
                          <a:ext cx="540385" cy="1064260"/>
                        </a:xfrm>
                        <a:prstGeom prst="rect">
                          <a:avLst/>
                        </a:prstGeom>
                        <a:noFill/>
                        <a:ln>
                          <a:noFill/>
                        </a:ln>
                      </wps:spPr>
                      <wps:txbx>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wps:txbx>
                      <wps:bodyPr anchor="ctr" anchorCtr="0" upright="1">
                        <a:spAutoFit/>
                      </wps:bodyPr>
                    </wps:wsp>
                  </a:graphicData>
                </a:graphic>
              </wp:anchor>
            </w:drawing>
          </mc:Choice>
          <mc:Fallback>
            <w:pict>
              <v:rect id="_x0000_s1026" o:spid="_x0000_s1026" o:spt="1" style="position:absolute;left:0pt;flip:x;margin-left:114.35pt;margin-top:-3.4pt;height:83.8pt;width:42.55pt;z-index:251659264;v-text-anchor:middle;mso-width-relative:page;mso-height-relative:page;" filled="f" stroked="f" coordsize="21600,21600" o:gfxdata="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B4SdGU1wAAAAoBAAAPAAAAAAAAAAEAIAAAADgAAABkcnMvZG93bnJldi54bWxQSwEC&#10;FAAUAAAACACHTuJANO0qX6YBAAAyAwAADgAAAAAAAAABACAAAAA8AQAAZHJzL2Uyb0RvYy54bWxQ&#10;SwUGAAAAAAYABgBZAQAAVAUAAAAA&#10;">
                <v:fill on="f" focussize="0,0"/>
                <v:stroke on="f"/>
                <v:imagedata o:title=""/>
                <o:lock v:ext="edit" aspectratio="f"/>
                <v:textbox style="mso-fit-shape-to-text:t;">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v:textbox>
              </v:rect>
            </w:pict>
          </mc:Fallback>
        </mc:AlternateContent>
      </w:r>
      <w:r>
        <w:drawing>
          <wp:inline distT="0" distB="0" distL="114300" distR="114300">
            <wp:extent cx="1209040" cy="1215390"/>
            <wp:effectExtent l="0" t="0" r="10160" b="3810"/>
            <wp:docPr id="3" name="图片 3" descr="40298525532955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02985255329551457"/>
                    <pic:cNvPicPr>
                      <a:picLocks noChangeAspect="1"/>
                    </pic:cNvPicPr>
                  </pic:nvPicPr>
                  <pic:blipFill>
                    <a:blip r:embed="rId12"/>
                    <a:stretch>
                      <a:fillRect/>
                    </a:stretch>
                  </pic:blipFill>
                  <pic:spPr>
                    <a:xfrm>
                      <a:off x="0" y="0"/>
                      <a:ext cx="1209040" cy="1215390"/>
                    </a:xfrm>
                    <a:prstGeom prst="rect">
                      <a:avLst/>
                    </a:prstGeom>
                    <a:solidFill>
                      <a:srgbClr val="FFFFFF"/>
                    </a:solidFill>
                    <a:ln>
                      <a:noFill/>
                    </a:ln>
                  </pic:spPr>
                </pic:pic>
              </a:graphicData>
            </a:graphic>
          </wp:inline>
        </w:drawing>
      </w:r>
    </w:p>
    <w:p>
      <w:pPr>
        <w:widowControl/>
        <w:spacing w:after="172" w:line="259" w:lineRule="auto"/>
        <w:ind w:firstLine="0" w:firstLineChars="0"/>
        <w:jc w:val="left"/>
        <w:rPr>
          <w:rFonts w:hint="default" w:ascii="Times New Roman" w:hAnsi="Times New Roman" w:cs="Times New Roman"/>
          <w:b/>
          <w:bCs/>
          <w:sz w:val="44"/>
          <w:szCs w:val="44"/>
          <w:highlight w:val="none"/>
          <w:lang w:eastAsia="zh-CN"/>
        </w:rPr>
      </w:pPr>
    </w:p>
    <w:p>
      <w:pPr>
        <w:rPr>
          <w:rFonts w:hint="default" w:ascii="Times New Roman" w:hAnsi="Times New Roman" w:cs="Times New Roman"/>
          <w:b/>
          <w:bCs/>
          <w:sz w:val="44"/>
          <w:szCs w:val="44"/>
          <w:highlight w:val="none"/>
          <w:lang w:eastAsia="zh-CN"/>
        </w:rPr>
      </w:pPr>
    </w:p>
    <w:p>
      <w:pPr>
        <w:pStyle w:val="13"/>
        <w:rPr>
          <w:rFonts w:hint="default" w:ascii="Times New Roman" w:hAnsi="Times New Roman" w:cs="Times New Roman"/>
          <w:b/>
          <w:bCs/>
          <w:sz w:val="44"/>
          <w:szCs w:val="44"/>
          <w:highlight w:val="none"/>
          <w:lang w:eastAsia="zh-CN"/>
        </w:rPr>
      </w:pPr>
    </w:p>
    <w:p>
      <w:pPr>
        <w:pStyle w:val="7"/>
        <w:rPr>
          <w:rFonts w:hint="default"/>
          <w:highlight w:val="none"/>
          <w:lang w:eastAsia="zh-CN"/>
        </w:rPr>
      </w:pPr>
    </w:p>
    <w:p>
      <w:pPr>
        <w:pStyle w:val="7"/>
        <w:rPr>
          <w:rFonts w:hint="default"/>
          <w:highlight w:val="none"/>
          <w:lang w:eastAsia="zh-CN"/>
        </w:rPr>
      </w:pPr>
    </w:p>
    <w:p>
      <w:pPr>
        <w:pStyle w:val="13"/>
        <w:rPr>
          <w:rFonts w:hint="default"/>
          <w:highlight w:val="none"/>
          <w:lang w:eastAsia="zh-CN"/>
        </w:rPr>
      </w:pPr>
    </w:p>
    <w:p>
      <w:pPr>
        <w:pStyle w:val="24"/>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中共阿坝县纪律检查委员会</w:t>
      </w:r>
    </w:p>
    <w:p>
      <w:pPr>
        <w:pStyle w:val="24"/>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spacing w:line="240" w:lineRule="auto"/>
        <w:ind w:firstLine="0" w:firstLineChars="0"/>
        <w:jc w:val="center"/>
        <w:rPr>
          <w:rFonts w:hint="default" w:ascii="黑体" w:hAnsi="黑体" w:eastAsia="黑体" w:cs="Times New Roman"/>
          <w:b/>
          <w:sz w:val="32"/>
          <w:szCs w:val="32"/>
        </w:rPr>
      </w:pPr>
      <w:r>
        <w:rPr>
          <w:rFonts w:hint="default" w:ascii="黑体" w:hAnsi="黑体" w:eastAsia="黑体" w:cs="Times New Roman"/>
          <w:b/>
          <w:sz w:val="32"/>
          <w:szCs w:val="32"/>
        </w:rPr>
        <w:t>川</w:t>
      </w:r>
      <w:r>
        <w:rPr>
          <w:rFonts w:hint="default" w:ascii="黑体" w:hAnsi="黑体" w:eastAsia="黑体" w:cs="Times New Roman"/>
          <w:b/>
          <w:sz w:val="32"/>
          <w:szCs w:val="32"/>
          <w:lang w:val="en-US" w:eastAsia="zh-CN"/>
        </w:rPr>
        <w:t>融策</w:t>
      </w:r>
      <w:r>
        <w:rPr>
          <w:rFonts w:hint="default" w:ascii="黑体" w:hAnsi="黑体" w:eastAsia="黑体" w:cs="Times New Roman"/>
          <w:b/>
          <w:sz w:val="32"/>
          <w:szCs w:val="32"/>
        </w:rPr>
        <w:t>绩评〔202</w:t>
      </w:r>
      <w:r>
        <w:rPr>
          <w:rFonts w:hint="eastAsia" w:ascii="黑体" w:hAnsi="黑体" w:eastAsia="黑体" w:cs="Times New Roman"/>
          <w:b/>
          <w:sz w:val="32"/>
          <w:szCs w:val="32"/>
          <w:lang w:val="en-US" w:eastAsia="zh-CN"/>
        </w:rPr>
        <w:t>3</w:t>
      </w:r>
      <w:r>
        <w:rPr>
          <w:rFonts w:hint="default" w:ascii="黑体" w:hAnsi="黑体" w:eastAsia="黑体" w:cs="Times New Roman"/>
          <w:b/>
          <w:sz w:val="32"/>
          <w:szCs w:val="32"/>
        </w:rPr>
        <w:t>〕第</w:t>
      </w:r>
      <w:r>
        <w:rPr>
          <w:rFonts w:hint="eastAsia" w:ascii="黑体" w:hAnsi="黑体" w:eastAsia="黑体" w:cs="Times New Roman"/>
          <w:b/>
          <w:sz w:val="32"/>
          <w:szCs w:val="32"/>
          <w:lang w:val="en-US" w:eastAsia="zh-CN"/>
        </w:rPr>
        <w:t>××</w:t>
      </w:r>
      <w:r>
        <w:rPr>
          <w:rFonts w:hint="default" w:ascii="黑体" w:hAnsi="黑体" w:eastAsia="黑体" w:cs="Times New Roman"/>
          <w:b/>
          <w:sz w:val="32"/>
          <w:szCs w:val="32"/>
        </w:rPr>
        <w:t>号</w:t>
      </w:r>
    </w:p>
    <w:p>
      <w:pPr>
        <w:pStyle w:val="24"/>
        <w:autoSpaceDE w:val="0"/>
        <w:autoSpaceDN w:val="0"/>
        <w:spacing w:line="600" w:lineRule="exact"/>
        <w:ind w:firstLine="0" w:firstLineChars="0"/>
        <w:jc w:val="center"/>
        <w:rPr>
          <w:rFonts w:hint="default" w:ascii="黑体" w:hAnsi="黑体" w:eastAsia="黑体" w:cs="Times New Roman"/>
          <w:b/>
          <w:sz w:val="32"/>
          <w:szCs w:val="32"/>
        </w:rPr>
      </w:pPr>
      <w:r>
        <w:rPr>
          <w:rFonts w:hint="eastAsia" w:ascii="Times New Roman" w:hAnsi="Times New Roman" w:eastAsia="方正小标宋简体" w:cs="Times New Roman"/>
          <w:kern w:val="0"/>
          <w:sz w:val="44"/>
          <w:szCs w:val="44"/>
          <w:lang w:val="en-US" w:eastAsia="zh-CN" w:bidi="zh-CN"/>
        </w:rPr>
        <w:t>（征求意见稿）</w:t>
      </w:r>
    </w:p>
    <w:p>
      <w:pPr>
        <w:spacing w:line="240" w:lineRule="auto"/>
        <w:ind w:firstLine="0" w:firstLineChars="0"/>
        <w:jc w:val="center"/>
        <w:rPr>
          <w:rFonts w:hint="default" w:ascii="黑体" w:hAnsi="黑体" w:eastAsia="黑体" w:cs="Times New Roman"/>
          <w:b/>
          <w:sz w:val="32"/>
          <w:szCs w:val="32"/>
        </w:rPr>
      </w:pPr>
    </w:p>
    <w:p>
      <w:pPr>
        <w:rPr>
          <w:rFonts w:hint="default"/>
          <w:highlight w:val="none"/>
        </w:rPr>
      </w:pPr>
    </w:p>
    <w:p>
      <w:pPr>
        <w:pStyle w:val="13"/>
        <w:rPr>
          <w:rFonts w:hint="default"/>
          <w:highlight w:val="none"/>
        </w:rPr>
      </w:pPr>
    </w:p>
    <w:p>
      <w:pPr>
        <w:pStyle w:val="7"/>
        <w:rPr>
          <w:rFonts w:hint="default"/>
          <w:highlight w:val="none"/>
        </w:rPr>
      </w:pPr>
    </w:p>
    <w:p>
      <w:pPr>
        <w:autoSpaceDE w:val="0"/>
        <w:autoSpaceDN w:val="0"/>
        <w:spacing w:line="600" w:lineRule="exact"/>
        <w:ind w:firstLine="0" w:firstLineChars="0"/>
        <w:jc w:val="center"/>
        <w:rPr>
          <w:rFonts w:ascii="Times New Roman" w:hAnsi="Times New Roman" w:eastAsia="黑体" w:cs="Times New Roman"/>
          <w:b/>
          <w:bCs/>
          <w:color w:val="000000"/>
          <w:w w:val="90"/>
          <w:kern w:val="0"/>
          <w:sz w:val="44"/>
          <w:szCs w:val="44"/>
          <w:lang w:val="zh-CN" w:bidi="zh-CN"/>
        </w:rPr>
      </w:pPr>
      <w:r>
        <w:rPr>
          <w:rFonts w:ascii="Times New Roman" w:hAnsi="Times New Roman" w:eastAsia="黑体" w:cs="Times New Roman"/>
          <w:b/>
          <w:bCs/>
          <w:color w:val="000000"/>
          <w:w w:val="90"/>
          <w:kern w:val="0"/>
          <w:sz w:val="44"/>
          <w:szCs w:val="44"/>
          <w:lang w:val="zh-CN" w:bidi="zh-CN"/>
        </w:rPr>
        <w:t>四 川 融 策 会 计 师 事 务 所 有 限 公 司</w:t>
      </w:r>
    </w:p>
    <w:p>
      <w:pPr>
        <w:spacing w:line="600" w:lineRule="exact"/>
        <w:ind w:firstLine="0" w:firstLineChars="0"/>
        <w:jc w:val="center"/>
        <w:rPr>
          <w:rFonts w:ascii="Times New Roman" w:hAnsi="Times New Roman" w:eastAsia="黑体" w:cs="Times New Roman"/>
          <w:b/>
          <w:bCs/>
          <w:color w:val="000000"/>
          <w:sz w:val="44"/>
          <w:szCs w:val="44"/>
          <w:lang w:val="en-US"/>
        </w:rPr>
      </w:pPr>
      <w:r>
        <w:rPr>
          <w:rFonts w:ascii="Times New Roman" w:hAnsi="Times New Roman" w:eastAsia="黑体" w:cs="Times New Roman"/>
          <w:b/>
          <w:bCs/>
          <w:color w:val="000000"/>
          <w:sz w:val="44"/>
          <w:szCs w:val="44"/>
          <w:lang w:val="en-US"/>
        </w:rPr>
        <w:t>Sichuan Rongce Accounting Firm Co</w:t>
      </w:r>
      <w:r>
        <w:rPr>
          <w:rFonts w:hint="eastAsia" w:ascii="Times New Roman" w:hAnsi="Times New Roman" w:eastAsia="黑体" w:cs="Times New Roman"/>
          <w:b/>
          <w:bCs/>
          <w:color w:val="000000"/>
          <w:sz w:val="44"/>
          <w:szCs w:val="44"/>
          <w:lang w:val="en-US"/>
        </w:rPr>
        <w:t>.</w:t>
      </w:r>
      <w:r>
        <w:rPr>
          <w:rFonts w:ascii="Times New Roman" w:hAnsi="Times New Roman" w:eastAsia="黑体" w:cs="Times New Roman"/>
          <w:b/>
          <w:bCs/>
          <w:color w:val="000000"/>
          <w:sz w:val="44"/>
          <w:szCs w:val="44"/>
          <w:lang w:val="en-US"/>
        </w:rPr>
        <w:t xml:space="preserve"> Ltd</w:t>
      </w:r>
    </w:p>
    <w:p>
      <w:pPr>
        <w:spacing w:line="240" w:lineRule="auto"/>
        <w:ind w:firstLine="0" w:firstLineChars="0"/>
        <w:jc w:val="center"/>
        <w:rPr>
          <w:rFonts w:hint="eastAsia" w:ascii="Times New Roman" w:hAnsi="Times New Roman" w:eastAsia="黑体" w:cs="Times New Roman"/>
          <w:b/>
          <w:bCs/>
          <w:color w:val="000000"/>
          <w:sz w:val="44"/>
          <w:szCs w:val="44"/>
        </w:rPr>
      </w:pPr>
      <w:r>
        <w:rPr>
          <w:rFonts w:ascii="Times New Roman" w:hAnsi="Times New Roman" w:eastAsia="黑体" w:cs="Times New Roman"/>
          <w:b/>
          <w:bCs/>
          <w:color w:val="000000"/>
          <w:sz w:val="44"/>
          <w:szCs w:val="44"/>
        </w:rPr>
        <w:t>202</w:t>
      </w:r>
      <w:r>
        <w:rPr>
          <w:rFonts w:hint="eastAsia" w:ascii="Times New Roman" w:hAnsi="Times New Roman" w:eastAsia="黑体" w:cs="Times New Roman"/>
          <w:b/>
          <w:bCs/>
          <w:color w:val="000000"/>
          <w:sz w:val="44"/>
          <w:szCs w:val="44"/>
          <w:lang w:val="en-US"/>
        </w:rPr>
        <w:t>3</w:t>
      </w:r>
      <w:r>
        <w:rPr>
          <w:rFonts w:ascii="Times New Roman" w:hAnsi="Times New Roman" w:eastAsia="黑体" w:cs="Times New Roman"/>
          <w:b/>
          <w:bCs/>
          <w:color w:val="000000"/>
          <w:sz w:val="44"/>
          <w:szCs w:val="44"/>
        </w:rPr>
        <w:t>年</w:t>
      </w:r>
      <w:r>
        <w:rPr>
          <w:rFonts w:hint="eastAsia" w:ascii="Times New Roman" w:hAnsi="Times New Roman" w:eastAsia="黑体" w:cs="Times New Roman"/>
          <w:b/>
          <w:bCs/>
          <w:color w:val="000000"/>
          <w:sz w:val="44"/>
          <w:szCs w:val="44"/>
          <w:lang w:val="en-US" w:eastAsia="zh-CN"/>
        </w:rPr>
        <w:t>11</w:t>
      </w:r>
      <w:r>
        <w:rPr>
          <w:rFonts w:ascii="Times New Roman" w:hAnsi="Times New Roman" w:eastAsia="黑体" w:cs="Times New Roman"/>
          <w:b/>
          <w:bCs/>
          <w:color w:val="000000"/>
          <w:sz w:val="44"/>
          <w:szCs w:val="44"/>
        </w:rPr>
        <w:t>月</w:t>
      </w:r>
      <w:r>
        <w:rPr>
          <w:rFonts w:hint="eastAsia" w:eastAsia="黑体" w:cs="Times New Roman"/>
          <w:b/>
          <w:bCs/>
          <w:color w:val="000000"/>
          <w:sz w:val="44"/>
          <w:szCs w:val="44"/>
          <w:lang w:val="en-US" w:eastAsia="zh-CN"/>
        </w:rPr>
        <w:t>30</w:t>
      </w:r>
      <w:r>
        <w:rPr>
          <w:rFonts w:ascii="Times New Roman" w:hAnsi="Times New Roman" w:eastAsia="黑体" w:cs="Times New Roman"/>
          <w:b/>
          <w:bCs/>
          <w:color w:val="000000"/>
          <w:sz w:val="44"/>
          <w:szCs w:val="44"/>
        </w:rPr>
        <w:t>日</w:t>
      </w:r>
    </w:p>
    <w:p>
      <w:pPr>
        <w:spacing w:line="240" w:lineRule="auto"/>
        <w:ind w:firstLine="0" w:firstLineChars="0"/>
        <w:jc w:val="center"/>
        <w:rPr>
          <w:rFonts w:hint="eastAsia" w:ascii="Times New Roman" w:hAnsi="Times New Roman" w:eastAsia="黑体" w:cs="Times New Roman"/>
          <w:b/>
          <w:bCs/>
          <w:color w:val="000000"/>
          <w:sz w:val="44"/>
          <w:szCs w:val="44"/>
        </w:rPr>
        <w:sectPr>
          <w:headerReference r:id="rId5" w:type="default"/>
          <w:footerReference r:id="rId6" w:type="default"/>
          <w:footerReference r:id="rId7" w:type="even"/>
          <w:pgSz w:w="11906" w:h="16838"/>
          <w:pgMar w:top="1417" w:right="1417" w:bottom="1417" w:left="1417" w:header="851" w:footer="992" w:gutter="283"/>
          <w:pgBorders>
            <w:top w:val="none" w:sz="0" w:space="0"/>
            <w:left w:val="none" w:sz="0" w:space="0"/>
            <w:bottom w:val="none" w:sz="0" w:space="0"/>
            <w:right w:val="none" w:sz="0" w:space="0"/>
          </w:pgBorders>
          <w:cols w:space="720" w:num="1"/>
          <w:docGrid w:type="lines" w:linePitch="318" w:charSpace="0"/>
        </w:sectPr>
      </w:pPr>
    </w:p>
    <w:p>
      <w:pPr>
        <w:rPr>
          <w:rFonts w:hint="default"/>
          <w:highlight w:val="none"/>
        </w:rPr>
      </w:pPr>
    </w:p>
    <w:p>
      <w:pPr>
        <w:pStyle w:val="26"/>
        <w:tabs>
          <w:tab w:val="right" w:leader="dot" w:pos="8786"/>
        </w:tabs>
        <w:spacing w:before="120"/>
        <w:ind w:firstLine="560"/>
        <w:jc w:val="center"/>
        <w:rPr>
          <w:rFonts w:hint="eastAsia" w:ascii="仿宋_GB2312" w:hAnsi="仿宋_GB2312" w:eastAsia="仿宋_GB2312" w:cs="仿宋_GB2312"/>
          <w:b/>
          <w:bCs w:val="0"/>
          <w:kern w:val="2"/>
          <w:sz w:val="24"/>
          <w:szCs w:val="28"/>
          <w:highlight w:val="none"/>
          <w:lang w:val="en-US" w:eastAsia="zh-CN" w:bidi="ar-SA"/>
        </w:rPr>
      </w:pPr>
      <w:r>
        <w:rPr>
          <w:rFonts w:hint="default" w:ascii="Times New Roman" w:hAnsi="Times New Roman" w:eastAsia="黑体" w:cs="Times New Roman"/>
          <w:b/>
          <w:bCs w:val="0"/>
          <w:sz w:val="36"/>
          <w:szCs w:val="36"/>
          <w:highlight w:val="none"/>
        </w:rPr>
        <w:t>目  录</w:t>
      </w:r>
      <w:r>
        <w:rPr>
          <w:rFonts w:hint="eastAsia" w:ascii="仿宋_GB2312" w:hAnsi="仿宋_GB2312" w:eastAsia="仿宋_GB2312" w:cs="仿宋_GB2312"/>
          <w:b w:val="0"/>
          <w:bCs w:val="0"/>
          <w:sz w:val="28"/>
          <w:szCs w:val="28"/>
          <w:highlight w:val="none"/>
        </w:rPr>
        <w:fldChar w:fldCharType="begin"/>
      </w:r>
      <w:r>
        <w:rPr>
          <w:rFonts w:hint="eastAsia" w:ascii="仿宋_GB2312" w:hAnsi="仿宋_GB2312" w:eastAsia="仿宋_GB2312" w:cs="仿宋_GB2312"/>
          <w:b w:val="0"/>
          <w:bCs w:val="0"/>
          <w:sz w:val="28"/>
          <w:szCs w:val="28"/>
          <w:highlight w:val="none"/>
        </w:rPr>
        <w:instrText xml:space="preserve"> TOC \o "1-4" \h \z \u </w:instrText>
      </w:r>
      <w:r>
        <w:rPr>
          <w:rFonts w:hint="eastAsia" w:ascii="仿宋_GB2312" w:hAnsi="仿宋_GB2312" w:eastAsia="仿宋_GB2312" w:cs="仿宋_GB2312"/>
          <w:b w:val="0"/>
          <w:bCs w:val="0"/>
          <w:sz w:val="28"/>
          <w:szCs w:val="28"/>
          <w:highlight w:val="none"/>
        </w:rPr>
        <w:fldChar w:fldCharType="separate"/>
      </w:r>
    </w:p>
    <w:p>
      <w:pPr>
        <w:pStyle w:val="26"/>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_Toc29599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一、部门概况</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_Toc29599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_Toc30759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（一）部门机构设置、编制、职责</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_Toc30759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_Toc7718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1、</w:t>
      </w:r>
      <w:r>
        <w:rPr>
          <w:rFonts w:hint="eastAsia" w:ascii="仿宋_GB2312" w:hAnsi="仿宋_GB2312" w:eastAsia="仿宋_GB2312" w:cs="仿宋_GB2312"/>
          <w:b w:val="0"/>
          <w:bCs/>
          <w:sz w:val="28"/>
          <w:szCs w:val="28"/>
          <w:highlight w:val="none"/>
        </w:rPr>
        <w:t>部门机构设置</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_Toc7718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_Toc30998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2</w:t>
      </w:r>
      <w:r>
        <w:rPr>
          <w:rFonts w:hint="eastAsia" w:ascii="仿宋_GB2312" w:hAnsi="仿宋_GB2312" w:eastAsia="仿宋_GB2312" w:cs="仿宋_GB2312"/>
          <w:b w:val="0"/>
          <w:bCs/>
          <w:sz w:val="28"/>
          <w:szCs w:val="28"/>
          <w:highlight w:val="none"/>
        </w:rPr>
        <w:t>、部门编制</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_Toc30998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_Toc2669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3、部门职能</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_Toc2669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4</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_Toc5411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（二）部门预算</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_Toc5411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5</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_Toc2371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1、</w:t>
      </w:r>
      <w:r>
        <w:rPr>
          <w:rFonts w:hint="eastAsia" w:ascii="仿宋_GB2312" w:hAnsi="仿宋_GB2312" w:eastAsia="仿宋_GB2312" w:cs="仿宋_GB2312"/>
          <w:b w:val="0"/>
          <w:bCs/>
          <w:kern w:val="0"/>
          <w:sz w:val="28"/>
          <w:szCs w:val="28"/>
          <w:highlight w:val="none"/>
          <w:lang w:val="en-US" w:eastAsia="zh-CN" w:bidi="ar"/>
        </w:rPr>
        <w:t>近三年</w:t>
      </w:r>
      <w:r>
        <w:rPr>
          <w:rFonts w:hint="eastAsia" w:ascii="仿宋_GB2312" w:hAnsi="仿宋_GB2312" w:eastAsia="仿宋_GB2312" w:cs="仿宋_GB2312"/>
          <w:b w:val="0"/>
          <w:bCs/>
          <w:sz w:val="28"/>
          <w:szCs w:val="28"/>
          <w:highlight w:val="none"/>
          <w:lang w:eastAsia="zh-CN"/>
        </w:rPr>
        <w:t>中共阿坝县纪律检查委员会</w:t>
      </w:r>
      <w:r>
        <w:rPr>
          <w:rFonts w:hint="eastAsia" w:ascii="仿宋_GB2312" w:hAnsi="仿宋_GB2312" w:eastAsia="仿宋_GB2312" w:cs="仿宋_GB2312"/>
          <w:b w:val="0"/>
          <w:bCs/>
          <w:sz w:val="28"/>
          <w:szCs w:val="28"/>
          <w:highlight w:val="none"/>
        </w:rPr>
        <w:t>整体支出预算及使用情况</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_Toc2371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5</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_Toc16071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2、20</w:t>
      </w:r>
      <w:r>
        <w:rPr>
          <w:rFonts w:hint="eastAsia" w:ascii="仿宋_GB2312" w:hAnsi="仿宋_GB2312" w:eastAsia="仿宋_GB2312" w:cs="仿宋_GB2312"/>
          <w:b w:val="0"/>
          <w:bCs/>
          <w:sz w:val="28"/>
          <w:szCs w:val="28"/>
          <w:highlight w:val="none"/>
          <w:lang w:val="en-US" w:eastAsia="zh-CN"/>
        </w:rPr>
        <w:t>22</w:t>
      </w:r>
      <w:r>
        <w:rPr>
          <w:rFonts w:hint="eastAsia" w:ascii="仿宋_GB2312" w:hAnsi="仿宋_GB2312" w:eastAsia="仿宋_GB2312" w:cs="仿宋_GB2312"/>
          <w:b w:val="0"/>
          <w:bCs/>
          <w:sz w:val="28"/>
          <w:szCs w:val="28"/>
          <w:highlight w:val="none"/>
        </w:rPr>
        <w:t>年</w:t>
      </w:r>
      <w:r>
        <w:rPr>
          <w:rFonts w:hint="eastAsia" w:ascii="仿宋_GB2312" w:hAnsi="仿宋_GB2312" w:eastAsia="仿宋_GB2312" w:cs="仿宋_GB2312"/>
          <w:b w:val="0"/>
          <w:bCs/>
          <w:sz w:val="28"/>
          <w:szCs w:val="28"/>
          <w:highlight w:val="none"/>
          <w:lang w:eastAsia="zh-CN"/>
        </w:rPr>
        <w:t>中共阿坝县纪律检查委员会</w:t>
      </w:r>
      <w:r>
        <w:rPr>
          <w:rFonts w:hint="eastAsia" w:ascii="仿宋_GB2312" w:hAnsi="仿宋_GB2312" w:eastAsia="仿宋_GB2312" w:cs="仿宋_GB2312"/>
          <w:b w:val="0"/>
          <w:bCs/>
          <w:sz w:val="28"/>
          <w:szCs w:val="28"/>
          <w:highlight w:val="none"/>
        </w:rPr>
        <w:t>预算及支出情况</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_Toc16071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6</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_Toc15488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（三）部门固定资产</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_Toc15488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7</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_Toc11450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（四）部门管理</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_Toc11450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8</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_Toc4939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1、决策管理</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_Toc4939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8</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_Toc8078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2、财务管理</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_Toc8078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8</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_Toc18895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3、资产管理</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_Toc18895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9</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_Toc28955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（五）</w:t>
      </w:r>
      <w:r>
        <w:rPr>
          <w:rFonts w:hint="eastAsia" w:ascii="仿宋_GB2312" w:hAnsi="仿宋_GB2312" w:eastAsia="仿宋_GB2312" w:cs="仿宋_GB2312"/>
          <w:b w:val="0"/>
          <w:bCs/>
          <w:sz w:val="28"/>
          <w:szCs w:val="28"/>
          <w:highlight w:val="none"/>
          <w:lang w:eastAsia="zh-CN"/>
        </w:rPr>
        <w:t>中共阿坝县纪律检查委员会</w:t>
      </w:r>
      <w:r>
        <w:rPr>
          <w:rFonts w:hint="eastAsia" w:ascii="仿宋_GB2312" w:hAnsi="仿宋_GB2312" w:eastAsia="仿宋_GB2312" w:cs="仿宋_GB2312"/>
          <w:b w:val="0"/>
          <w:bCs/>
          <w:sz w:val="28"/>
          <w:szCs w:val="28"/>
          <w:highlight w:val="none"/>
        </w:rPr>
        <w:t>202</w:t>
      </w:r>
      <w:r>
        <w:rPr>
          <w:rFonts w:hint="eastAsia" w:ascii="仿宋_GB2312" w:hAnsi="仿宋_GB2312" w:eastAsia="仿宋_GB2312" w:cs="仿宋_GB2312"/>
          <w:b w:val="0"/>
          <w:bCs/>
          <w:sz w:val="28"/>
          <w:szCs w:val="28"/>
          <w:highlight w:val="none"/>
          <w:lang w:val="en-US" w:eastAsia="zh-CN"/>
        </w:rPr>
        <w:t>2</w:t>
      </w:r>
      <w:r>
        <w:rPr>
          <w:rFonts w:hint="eastAsia" w:ascii="仿宋_GB2312" w:hAnsi="仿宋_GB2312" w:eastAsia="仿宋_GB2312" w:cs="仿宋_GB2312"/>
          <w:b w:val="0"/>
          <w:bCs/>
          <w:sz w:val="28"/>
          <w:szCs w:val="28"/>
          <w:highlight w:val="none"/>
        </w:rPr>
        <w:t>年</w:t>
      </w:r>
      <w:r>
        <w:rPr>
          <w:rFonts w:hint="eastAsia" w:ascii="仿宋_GB2312" w:hAnsi="仿宋_GB2312" w:eastAsia="仿宋_GB2312" w:cs="仿宋_GB2312"/>
          <w:b w:val="0"/>
          <w:bCs/>
          <w:kern w:val="2"/>
          <w:sz w:val="28"/>
          <w:szCs w:val="28"/>
          <w:highlight w:val="none"/>
          <w:lang w:val="en-US" w:eastAsia="zh-CN" w:bidi="ar-SA"/>
        </w:rPr>
        <w:t>重点工作</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_Toc28955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10</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26"/>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_Toc3964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二、评价思路和实施过程</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_Toc3964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_Toc9279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（一）评价目的</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_Toc9279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_Toc20532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（二）评价方法</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_Toc20532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_Toc8135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（三）数据采集方法及过程</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_Toc8135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26"/>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_Toc16421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三、评价结论及绩效分析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_Toc16421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_Toc21884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（一）评价结论</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_Toc21884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12</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35"/>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_Toc1811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（二）绩效分析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_Toc1811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13</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_Toc24227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rPr>
        <w:t>1、部门预算管理情况分析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_Toc24227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13</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_Toc3943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2、专项预算管理情况分析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_Toc3943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18</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_Toc8561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3</w:t>
      </w:r>
      <w:r>
        <w:rPr>
          <w:rFonts w:hint="eastAsia" w:ascii="仿宋_GB2312" w:hAnsi="仿宋_GB2312" w:eastAsia="仿宋_GB2312" w:cs="仿宋_GB2312"/>
          <w:b w:val="0"/>
          <w:bCs/>
          <w:sz w:val="28"/>
          <w:szCs w:val="28"/>
          <w:highlight w:val="none"/>
        </w:rPr>
        <w:t>、</w:t>
      </w:r>
      <w:r>
        <w:rPr>
          <w:rFonts w:hint="eastAsia" w:ascii="仿宋_GB2312" w:hAnsi="仿宋_GB2312" w:eastAsia="仿宋_GB2312" w:cs="仿宋_GB2312"/>
          <w:b w:val="0"/>
          <w:bCs/>
          <w:sz w:val="28"/>
          <w:szCs w:val="28"/>
          <w:highlight w:val="none"/>
          <w:lang w:val="en-US" w:eastAsia="zh-CN"/>
        </w:rPr>
        <w:t>绩效结果应用</w:t>
      </w:r>
      <w:r>
        <w:rPr>
          <w:rFonts w:hint="eastAsia" w:ascii="仿宋_GB2312" w:hAnsi="仿宋_GB2312" w:eastAsia="仿宋_GB2312" w:cs="仿宋_GB2312"/>
          <w:b w:val="0"/>
          <w:bCs/>
          <w:sz w:val="28"/>
          <w:szCs w:val="28"/>
          <w:highlight w:val="none"/>
        </w:rPr>
        <w:t>情况分析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_Toc8561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19</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_Toc24125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4、自评质量情况</w:t>
      </w:r>
      <w:r>
        <w:rPr>
          <w:rFonts w:hint="eastAsia" w:ascii="仿宋_GB2312" w:hAnsi="仿宋_GB2312" w:eastAsia="仿宋_GB2312" w:cs="仿宋_GB2312"/>
          <w:b w:val="0"/>
          <w:bCs/>
          <w:sz w:val="28"/>
          <w:szCs w:val="28"/>
          <w:highlight w:val="none"/>
        </w:rPr>
        <w:t>分析</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_Toc24125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26"/>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_Toc28491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val="en-US" w:eastAsia="zh-CN"/>
        </w:rPr>
        <w:t>四</w:t>
      </w:r>
      <w:r>
        <w:rPr>
          <w:rFonts w:hint="eastAsia" w:ascii="仿宋_GB2312" w:hAnsi="仿宋_GB2312" w:eastAsia="仿宋_GB2312" w:cs="仿宋_GB2312"/>
          <w:b w:val="0"/>
          <w:bCs/>
          <w:sz w:val="28"/>
          <w:szCs w:val="28"/>
          <w:highlight w:val="none"/>
        </w:rPr>
        <w:t>、评价发现的主要问题</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_Toc28491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_Toc17725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eastAsia="zh-CN"/>
        </w:rPr>
        <w:t>（</w:t>
      </w:r>
      <w:r>
        <w:rPr>
          <w:rFonts w:hint="eastAsia" w:ascii="仿宋_GB2312" w:hAnsi="仿宋_GB2312" w:eastAsia="仿宋_GB2312" w:cs="仿宋_GB2312"/>
          <w:b w:val="0"/>
          <w:bCs/>
          <w:sz w:val="28"/>
          <w:szCs w:val="28"/>
          <w:highlight w:val="none"/>
          <w:lang w:val="en-US" w:eastAsia="zh-CN"/>
        </w:rPr>
        <w:t>一）财务管理方面</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_Toc17725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21</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pStyle w:val="19"/>
        <w:tabs>
          <w:tab w:val="right" w:leader="dot" w:pos="8786"/>
        </w:tabs>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highlight w:val="none"/>
        </w:rPr>
        <w:fldChar w:fldCharType="begin"/>
      </w:r>
      <w:r>
        <w:rPr>
          <w:rFonts w:hint="eastAsia" w:ascii="仿宋_GB2312" w:hAnsi="仿宋_GB2312" w:eastAsia="仿宋_GB2312" w:cs="仿宋_GB2312"/>
          <w:b w:val="0"/>
          <w:bCs/>
          <w:sz w:val="28"/>
          <w:szCs w:val="28"/>
          <w:highlight w:val="none"/>
        </w:rPr>
        <w:instrText xml:space="preserve"> HYPERLINK \l _Toc18883 </w:instrText>
      </w:r>
      <w:r>
        <w:rPr>
          <w:rFonts w:hint="eastAsia" w:ascii="仿宋_GB2312" w:hAnsi="仿宋_GB2312" w:eastAsia="仿宋_GB2312" w:cs="仿宋_GB2312"/>
          <w:b w:val="0"/>
          <w:bCs/>
          <w:sz w:val="28"/>
          <w:szCs w:val="28"/>
          <w:highlight w:val="none"/>
        </w:rPr>
        <w:fldChar w:fldCharType="separate"/>
      </w:r>
      <w:r>
        <w:rPr>
          <w:rFonts w:hint="eastAsia" w:ascii="仿宋_GB2312" w:hAnsi="仿宋_GB2312" w:eastAsia="仿宋_GB2312" w:cs="仿宋_GB2312"/>
          <w:b w:val="0"/>
          <w:bCs/>
          <w:sz w:val="28"/>
          <w:szCs w:val="28"/>
          <w:highlight w:val="none"/>
          <w:lang w:eastAsia="zh-CN"/>
        </w:rPr>
        <w:t>（</w:t>
      </w:r>
      <w:r>
        <w:rPr>
          <w:rFonts w:hint="eastAsia" w:ascii="仿宋_GB2312" w:hAnsi="仿宋_GB2312" w:eastAsia="仿宋_GB2312" w:cs="仿宋_GB2312"/>
          <w:b w:val="0"/>
          <w:bCs/>
          <w:sz w:val="28"/>
          <w:szCs w:val="28"/>
          <w:highlight w:val="none"/>
          <w:lang w:val="en-US" w:eastAsia="zh-CN"/>
        </w:rPr>
        <w:t>二）项目管理方面</w:t>
      </w:r>
      <w:r>
        <w:rPr>
          <w:rFonts w:hint="eastAsia" w:ascii="仿宋_GB2312" w:hAnsi="仿宋_GB2312" w:eastAsia="仿宋_GB2312" w:cs="仿宋_GB2312"/>
          <w:b w:val="0"/>
          <w:bCs/>
          <w:sz w:val="28"/>
          <w:szCs w:val="28"/>
        </w:rPr>
        <w:tab/>
      </w: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PAGEREF _Toc18883 \h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bCs/>
          <w:sz w:val="28"/>
          <w:szCs w:val="28"/>
        </w:rPr>
        <w:t>25</w:t>
      </w:r>
      <w:r>
        <w:rPr>
          <w:rFonts w:hint="eastAsia" w:ascii="仿宋_GB2312" w:hAnsi="仿宋_GB2312" w:eastAsia="仿宋_GB2312" w:cs="仿宋_GB2312"/>
          <w:b w:val="0"/>
          <w:bCs/>
          <w:sz w:val="28"/>
          <w:szCs w:val="28"/>
        </w:rPr>
        <w:fldChar w:fldCharType="end"/>
      </w:r>
      <w:r>
        <w:rPr>
          <w:rFonts w:hint="eastAsia" w:ascii="仿宋_GB2312" w:hAnsi="仿宋_GB2312" w:eastAsia="仿宋_GB2312" w:cs="仿宋_GB2312"/>
          <w:b w:val="0"/>
          <w:bCs/>
          <w:sz w:val="28"/>
          <w:szCs w:val="28"/>
          <w:highlight w:val="none"/>
        </w:rPr>
        <w:fldChar w:fldCharType="end"/>
      </w:r>
    </w:p>
    <w:p>
      <w:pPr>
        <w:keepNext w:val="0"/>
        <w:keepLines w:val="0"/>
        <w:pageBreakBefore w:val="0"/>
        <w:widowControl/>
        <w:tabs>
          <w:tab w:val="right" w:leader="dot" w:pos="8786"/>
        </w:tabs>
        <w:kinsoku/>
        <w:wordWrap/>
        <w:overflowPunct/>
        <w:topLinePunct w:val="0"/>
        <w:autoSpaceDE/>
        <w:autoSpaceDN/>
        <w:bidi w:val="0"/>
        <w:adjustRightInd/>
        <w:snapToGrid w:val="0"/>
        <w:spacing w:before="120" w:line="600" w:lineRule="atLeast"/>
        <w:ind w:firstLine="0" w:firstLineChars="0"/>
        <w:jc w:val="center"/>
        <w:textAlignment w:val="auto"/>
        <w:rPr>
          <w:rFonts w:hint="eastAsia" w:ascii="仿宋_GB2312" w:hAnsi="仿宋_GB2312" w:eastAsia="仿宋_GB2312" w:cs="仿宋_GB2312"/>
          <w:bCs w:val="0"/>
          <w:szCs w:val="28"/>
          <w:highlight w:val="none"/>
        </w:rPr>
      </w:pPr>
      <w:r>
        <w:rPr>
          <w:rFonts w:hint="eastAsia" w:ascii="仿宋_GB2312" w:hAnsi="仿宋_GB2312" w:eastAsia="仿宋_GB2312" w:cs="仿宋_GB2312"/>
          <w:bCs w:val="0"/>
          <w:szCs w:val="28"/>
          <w:highlight w:val="none"/>
        </w:rPr>
        <w:fldChar w:fldCharType="end"/>
      </w:r>
      <w:bookmarkStart w:id="0" w:name="_Toc15798"/>
      <w:bookmarkStart w:id="1" w:name="_Toc149"/>
    </w:p>
    <w:p>
      <w:pPr>
        <w:rPr>
          <w:rFonts w:hint="default"/>
          <w:highlight w:val="none"/>
        </w:rPr>
      </w:pPr>
      <w:r>
        <w:rPr>
          <w:rFonts w:hint="eastAsia" w:ascii="仿宋_GB2312" w:hAnsi="仿宋_GB2312" w:eastAsia="仿宋_GB2312" w:cs="仿宋_GB2312"/>
          <w:bCs w:val="0"/>
          <w:szCs w:val="28"/>
          <w:highlight w:val="none"/>
        </w:rPr>
        <w:br w:type="page"/>
      </w:r>
    </w:p>
    <w:p>
      <w:pPr>
        <w:pStyle w:val="2"/>
        <w:spacing w:before="156" w:after="156"/>
        <w:ind w:firstLine="640"/>
        <w:jc w:val="center"/>
        <w:rPr>
          <w:rFonts w:hint="default" w:ascii="Times New Roman" w:hAnsi="Times New Roman" w:eastAsia="微软雅黑" w:cs="Times New Roman"/>
          <w:sz w:val="32"/>
          <w:szCs w:val="32"/>
          <w:highlight w:val="none"/>
        </w:rPr>
      </w:pPr>
      <w:bookmarkStart w:id="2" w:name="_Toc16510"/>
      <w:bookmarkStart w:id="3" w:name="_Toc19561"/>
      <w:bookmarkStart w:id="4" w:name="_Toc5130"/>
      <w:r>
        <w:rPr>
          <w:rFonts w:hint="default" w:ascii="Times New Roman" w:hAnsi="Times New Roman" w:eastAsia="微软雅黑" w:cs="Times New Roman"/>
          <w:sz w:val="32"/>
          <w:highlight w:val="none"/>
        </w:rPr>
        <w:t>摘  要</w:t>
      </w:r>
      <w:bookmarkEnd w:id="0"/>
      <w:bookmarkEnd w:id="1"/>
      <w:bookmarkEnd w:id="2"/>
      <w:bookmarkEnd w:id="3"/>
      <w:bookmarkEnd w:id="4"/>
    </w:p>
    <w:p>
      <w:pPr>
        <w:numPr>
          <w:ilvl w:val="0"/>
          <w:numId w:val="1"/>
        </w:num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概述</w:t>
      </w:r>
    </w:p>
    <w:p>
      <w:pPr>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共阿坝县纪律检查委员会与阿坝县监察委员会合署办公，实行一套工作机构、两个机关名称的体制。单位属一级预算单位，为全额拨款行政单位，执行行政单位财务会计制度。内设机构为办公室、党风政风监督室、信访室、第一纪检监察室、第二纪检监察室、谈话室、案件审理室。县纪委监委统一向县直各部门（单位）派驻纪检监察组，由县纪委监委直接领导，统一管理。</w:t>
      </w:r>
    </w:p>
    <w:p>
      <w:pPr>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中共阿坝县委办公室印发〈中共阿坝县纪律检查委员会职能配置、内设机构和人员编制规定〉的通知》（阿县委办发〔2019〕19号），县纪委监委机关行政编制18名。县纪委监委领导班子职数9名。其中，县纪委常委7名（含书记）；县监委主在1名，由县纪委书记兼任；副主任2名，由纪委副书记兼任；监委委员4名，由县纪委常委兼任2名，不由纪委常委兼任2名。内设机构领导职数9名（按照有关规定，配备为副科级领导职务）。机关工勤人员事业编制3名。</w:t>
      </w:r>
    </w:p>
    <w:p>
      <w:pPr>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截止2022年底机关人事核定行政编制42人：其中公务员编制39人（包含纪委监委18人、派驻纪检组21人），工勤编制3人。目前在职职工39人，其中公务员36人，工勤人员3人。</w:t>
      </w:r>
    </w:p>
    <w:p>
      <w:pPr>
        <w:rPr>
          <w:rFonts w:hint="default" w:eastAsia="仿宋_GB2312" w:cs="Times New Roman"/>
          <w:color w:val="000000"/>
          <w:kern w:val="0"/>
          <w:sz w:val="32"/>
          <w:szCs w:val="32"/>
          <w:highlight w:val="none"/>
          <w:lang w:val="en-US" w:eastAsia="zh-CN" w:bidi="ar"/>
        </w:rPr>
      </w:pPr>
    </w:p>
    <w:p>
      <w:p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二、评价结论和绩效分析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64.14</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，百分制换算得分为84.39分</w:t>
      </w:r>
      <w:r>
        <w:rPr>
          <w:rFonts w:hint="default" w:ascii="Times New Roman" w:hAnsi="Times New Roman" w:eastAsia="仿宋_GB2312" w:cs="Times New Roman"/>
          <w:color w:val="000000"/>
          <w:kern w:val="0"/>
          <w:sz w:val="32"/>
          <w:szCs w:val="32"/>
          <w:highlight w:val="none"/>
          <w:lang w:val="en-US" w:eastAsia="zh-CN" w:bidi="ar"/>
        </w:rPr>
        <w:t>。</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6"/>
        <w:gridCol w:w="1251"/>
        <w:gridCol w:w="1489"/>
        <w:gridCol w:w="194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26"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44</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3</w:t>
            </w:r>
            <w:r>
              <w:rPr>
                <w:rFonts w:hint="eastAsia" w:eastAsia="仿宋_GB2312" w:cs="Times New Roman"/>
                <w:color w:val="000000"/>
                <w:kern w:val="0"/>
                <w:highlight w:val="none"/>
                <w:lang w:val="en-US" w:eastAsia="zh-CN" w:bidi="ar"/>
              </w:rPr>
              <w:t>2</w:t>
            </w:r>
            <w:r>
              <w:rPr>
                <w:rFonts w:hint="default" w:eastAsia="仿宋_GB2312" w:cs="Times New Roman"/>
                <w:color w:val="000000"/>
                <w:kern w:val="0"/>
                <w:highlight w:val="none"/>
                <w:lang w:val="en-US" w:eastAsia="zh-CN" w:bidi="ar"/>
              </w:rPr>
              <w:t>.54</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73.95</w:t>
            </w:r>
            <w:r>
              <w:rPr>
                <w:rFonts w:hint="default" w:eastAsia="仿宋_GB2312" w:cs="Times New Roman"/>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专项预算管理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19.6</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251"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100</w:t>
            </w:r>
          </w:p>
        </w:tc>
        <w:tc>
          <w:tcPr>
            <w:tcW w:w="1489"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76</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6</w:t>
            </w:r>
            <w:r>
              <w:rPr>
                <w:rFonts w:hint="eastAsia" w:eastAsia="仿宋_GB2312" w:cs="Times New Roman"/>
                <w:b/>
                <w:bCs/>
                <w:color w:val="000000"/>
                <w:kern w:val="0"/>
                <w:highlight w:val="none"/>
                <w:lang w:val="en-US" w:eastAsia="zh-CN" w:bidi="ar"/>
              </w:rPr>
              <w:t>4</w:t>
            </w:r>
            <w:r>
              <w:rPr>
                <w:rFonts w:hint="default" w:eastAsia="仿宋_GB2312" w:cs="Times New Roman"/>
                <w:b/>
                <w:bCs/>
                <w:color w:val="000000"/>
                <w:kern w:val="0"/>
                <w:highlight w:val="none"/>
                <w:lang w:val="en-US" w:eastAsia="zh-CN" w:bidi="ar"/>
              </w:rPr>
              <w:t>.14</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84.39</w:t>
            </w:r>
            <w:r>
              <w:rPr>
                <w:rFonts w:hint="default" w:eastAsia="仿宋_GB2312" w:cs="Times New Roman"/>
                <w:b/>
                <w:bCs/>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7" w:type="pct"/>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84.39</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84.39</w:t>
            </w:r>
            <w:r>
              <w:rPr>
                <w:rFonts w:hint="default" w:eastAsia="仿宋_GB2312" w:cs="Times New Roman"/>
                <w:b/>
                <w:bCs/>
                <w:color w:val="000000"/>
                <w:kern w:val="0"/>
                <w:highlight w:val="none"/>
                <w:lang w:val="en-US" w:eastAsia="zh-CN" w:bidi="ar"/>
              </w:rPr>
              <w:t>%</w:t>
            </w:r>
          </w:p>
        </w:tc>
      </w:tr>
    </w:tbl>
    <w:p>
      <w:pPr>
        <w:snapToGrid w:val="0"/>
        <w:spacing w:line="600" w:lineRule="atLeast"/>
        <w:ind w:left="0" w:leftChars="0" w:firstLine="0" w:firstLineChars="0"/>
        <w:jc w:val="left"/>
        <w:rPr>
          <w:rFonts w:hint="default" w:ascii="Times New Roman" w:hAnsi="Times New Roman" w:eastAsia="仿宋" w:cs="Times New Roman"/>
          <w:b/>
          <w:sz w:val="36"/>
          <w:szCs w:val="44"/>
          <w:highlight w:val="none"/>
          <w:lang w:eastAsia="zh-CN"/>
        </w:rPr>
        <w:sectPr>
          <w:headerReference r:id="rId8" w:type="default"/>
          <w:footerReference r:id="rId9"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p>
    <w:p>
      <w:pPr>
        <w:snapToGrid w:val="0"/>
        <w:spacing w:line="600" w:lineRule="atLeast"/>
        <w:ind w:left="0" w:leftChars="0" w:firstLine="0" w:firstLineChars="0"/>
        <w:jc w:val="left"/>
        <w:rPr>
          <w:rFonts w:hint="default" w:ascii="Times New Roman" w:hAnsi="Times New Roman" w:eastAsia="仿宋" w:cs="Times New Roman"/>
          <w:b/>
          <w:sz w:val="36"/>
          <w:szCs w:val="44"/>
          <w:highlight w:val="none"/>
          <w:lang w:eastAsia="zh-CN"/>
        </w:rPr>
      </w:pPr>
      <w:r>
        <w:rPr>
          <w:rFonts w:hint="eastAsia"/>
          <w:b/>
          <w:sz w:val="44"/>
          <w:szCs w:val="44"/>
          <w:u w:val="single"/>
          <w:shd w:val="clear" w:color="auto" w:fill="FFFFFF"/>
        </w:rPr>
        <w:drawing>
          <wp:inline distT="0" distB="0" distL="114300" distR="114300">
            <wp:extent cx="5481320" cy="1125220"/>
            <wp:effectExtent l="0" t="0" r="5080" b="2540"/>
            <wp:docPr id="1" name="图片 1" descr="113e0fc710a5a4f3d65bc20155a4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3e0fc710a5a4f3d65bc20155a406f"/>
                    <pic:cNvPicPr>
                      <a:picLocks noChangeAspect="1"/>
                    </pic:cNvPicPr>
                  </pic:nvPicPr>
                  <pic:blipFill>
                    <a:blip r:embed="rId13"/>
                    <a:stretch>
                      <a:fillRect/>
                    </a:stretch>
                  </pic:blipFill>
                  <pic:spPr>
                    <a:xfrm>
                      <a:off x="0" y="0"/>
                      <a:ext cx="5481320" cy="1125220"/>
                    </a:xfrm>
                    <a:prstGeom prst="rect">
                      <a:avLst/>
                    </a:prstGeom>
                    <a:noFill/>
                    <a:ln>
                      <a:noFill/>
                    </a:ln>
                  </pic:spPr>
                </pic:pic>
              </a:graphicData>
            </a:graphic>
          </wp:inline>
        </w:drawing>
      </w:r>
    </w:p>
    <w:p>
      <w:pPr>
        <w:snapToGrid w:val="0"/>
        <w:spacing w:line="600" w:lineRule="atLeast"/>
        <w:ind w:firstLine="723"/>
        <w:jc w:val="center"/>
        <w:rPr>
          <w:rFonts w:hint="default" w:ascii="Times New Roman" w:hAnsi="Times New Roman" w:eastAsia="黑体" w:cs="Times New Roman"/>
          <w:b/>
          <w:sz w:val="36"/>
          <w:szCs w:val="36"/>
          <w:highlight w:val="none"/>
          <w:lang w:val="en-US" w:eastAsia="zh-CN"/>
        </w:rPr>
      </w:pPr>
      <w:r>
        <w:rPr>
          <w:rFonts w:hint="default" w:ascii="Times New Roman" w:hAnsi="Times New Roman" w:eastAsia="仿宋" w:cs="Times New Roman"/>
          <w:b/>
          <w:sz w:val="36"/>
          <w:szCs w:val="44"/>
          <w:highlight w:val="none"/>
          <w:lang w:val="en-US" w:eastAsia="zh-CN"/>
        </w:rPr>
        <w:t xml:space="preserve">                 </w:t>
      </w:r>
      <w:r>
        <w:rPr>
          <w:rFonts w:hint="default" w:ascii="Times New Roman" w:hAnsi="Times New Roman" w:eastAsia="黑体" w:cs="Times New Roman"/>
          <w:b/>
          <w:sz w:val="32"/>
          <w:szCs w:val="32"/>
          <w:highlight w:val="none"/>
          <w:lang w:val="en-US" w:eastAsia="zh-CN"/>
        </w:rPr>
        <w:t>川融策绩评〔2023〕第</w:t>
      </w:r>
      <w:r>
        <w:rPr>
          <w:rFonts w:hint="eastAsia" w:eastAsia="黑体" w:cs="Times New Roman"/>
          <w:b/>
          <w:sz w:val="32"/>
          <w:szCs w:val="32"/>
          <w:highlight w:val="none"/>
          <w:lang w:val="en-US" w:eastAsia="zh-CN"/>
        </w:rPr>
        <w:t>××</w:t>
      </w:r>
      <w:r>
        <w:rPr>
          <w:rFonts w:hint="default" w:ascii="Times New Roman" w:hAnsi="Times New Roman" w:eastAsia="黑体" w:cs="Times New Roman"/>
          <w:b/>
          <w:sz w:val="32"/>
          <w:szCs w:val="32"/>
          <w:highlight w:val="none"/>
          <w:lang w:val="en-US" w:eastAsia="zh-CN"/>
        </w:rPr>
        <w:t>号</w:t>
      </w:r>
    </w:p>
    <w:p>
      <w:pPr>
        <w:ind w:firstLine="0" w:firstLineChars="0"/>
        <w:jc w:val="center"/>
        <w:rPr>
          <w:rFonts w:hint="default" w:ascii="Times New Roman" w:hAnsi="Times New Roman" w:cs="Times New Roman"/>
          <w:b/>
          <w:bCs/>
          <w:spacing w:val="-14"/>
          <w:sz w:val="36"/>
          <w:szCs w:val="36"/>
          <w:highlight w:val="none"/>
          <w:lang w:val="en-US" w:eastAsia="zh-CN"/>
        </w:rPr>
      </w:pPr>
    </w:p>
    <w:p>
      <w:pPr>
        <w:autoSpaceDE w:val="0"/>
        <w:autoSpaceDN w:val="0"/>
        <w:spacing w:line="600" w:lineRule="exact"/>
        <w:ind w:firstLine="0" w:firstLineChars="0"/>
        <w:jc w:val="center"/>
        <w:rPr>
          <w:rFonts w:hint="eastAsia"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中共阿坝县纪律检查委员会</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r>
        <w:rPr>
          <w:rFonts w:hint="eastAsia" w:ascii="Times New Roman" w:hAnsi="Times New Roman" w:eastAsia="方正小标宋简体" w:cs="Times New Roman"/>
          <w:kern w:val="0"/>
          <w:sz w:val="44"/>
          <w:szCs w:val="44"/>
          <w:lang w:val="en-US" w:eastAsia="zh-CN" w:bidi="zh-CN"/>
        </w:rPr>
        <w:t>2022年部门整体支出</w:t>
      </w:r>
      <w:r>
        <w:rPr>
          <w:rFonts w:hint="default" w:ascii="Times New Roman" w:hAnsi="Times New Roman" w:eastAsia="方正小标宋简体" w:cs="Times New Roman"/>
          <w:kern w:val="0"/>
          <w:sz w:val="44"/>
          <w:szCs w:val="44"/>
          <w:lang w:val="en-US" w:eastAsia="zh-CN" w:bidi="zh-CN"/>
        </w:rPr>
        <w:t>绩效评价报告</w:t>
      </w:r>
    </w:p>
    <w:p>
      <w:pPr>
        <w:pStyle w:val="24"/>
        <w:autoSpaceDE w:val="0"/>
        <w:autoSpaceDN w:val="0"/>
        <w:spacing w:line="600" w:lineRule="exact"/>
        <w:ind w:firstLine="0" w:firstLineChars="0"/>
        <w:jc w:val="center"/>
        <w:rPr>
          <w:rFonts w:hint="default" w:ascii="黑体" w:hAnsi="黑体" w:eastAsia="黑体" w:cs="Times New Roman"/>
          <w:b/>
          <w:sz w:val="32"/>
          <w:szCs w:val="32"/>
        </w:rPr>
      </w:pPr>
      <w:r>
        <w:rPr>
          <w:rFonts w:hint="eastAsia" w:ascii="Times New Roman" w:hAnsi="Times New Roman" w:eastAsia="方正小标宋简体" w:cs="Times New Roman"/>
          <w:kern w:val="0"/>
          <w:sz w:val="44"/>
          <w:szCs w:val="44"/>
          <w:lang w:val="en-US" w:eastAsia="zh-CN" w:bidi="zh-CN"/>
        </w:rPr>
        <w:t>（征求意见稿）</w:t>
      </w:r>
    </w:p>
    <w:p>
      <w:pPr>
        <w:autoSpaceDE w:val="0"/>
        <w:autoSpaceDN w:val="0"/>
        <w:spacing w:line="600" w:lineRule="exact"/>
        <w:ind w:firstLine="0" w:firstLineChars="0"/>
        <w:jc w:val="center"/>
        <w:rPr>
          <w:rFonts w:hint="default" w:ascii="Times New Roman" w:hAnsi="Times New Roman" w:eastAsia="方正小标宋简体" w:cs="Times New Roman"/>
          <w:kern w:val="0"/>
          <w:sz w:val="44"/>
          <w:szCs w:val="44"/>
          <w:lang w:val="en-US" w:eastAsia="zh-CN" w:bidi="zh-CN"/>
        </w:rPr>
      </w:pPr>
    </w:p>
    <w:p>
      <w:pPr>
        <w:spacing w:line="520" w:lineRule="exact"/>
        <w:ind w:firstLine="0" w:firstLineChars="0"/>
        <w:rPr>
          <w:rFonts w:hint="default" w:ascii="黑体" w:hAnsi="黑体" w:eastAsia="黑体" w:cs="黑体"/>
          <w:b/>
          <w:sz w:val="32"/>
          <w:szCs w:val="32"/>
          <w:lang w:val="zh-CN" w:eastAsia="zh-CN"/>
        </w:rPr>
      </w:pPr>
      <w:r>
        <w:rPr>
          <w:rFonts w:hint="eastAsia" w:ascii="黑体" w:hAnsi="黑体" w:eastAsia="黑体" w:cs="黑体"/>
          <w:b/>
          <w:sz w:val="32"/>
          <w:szCs w:val="32"/>
          <w:lang w:val="en-US" w:eastAsia="zh-CN"/>
        </w:rPr>
        <w:t>阿坝县财政局</w:t>
      </w:r>
      <w:r>
        <w:rPr>
          <w:rFonts w:hint="default" w:ascii="黑体" w:hAnsi="黑体" w:eastAsia="黑体" w:cs="黑体"/>
          <w:b/>
          <w:sz w:val="32"/>
          <w:szCs w:val="32"/>
          <w:lang w:val="zh-CN" w:eastAsia="zh-CN"/>
        </w:rPr>
        <w:t>：</w:t>
      </w:r>
    </w:p>
    <w:p>
      <w:pPr>
        <w:spacing w:line="600" w:lineRule="exact"/>
        <w:ind w:left="0" w:leftChars="0" w:firstLine="640" w:firstLineChars="200"/>
        <w:jc w:val="both"/>
        <w:rPr>
          <w:rFonts w:hint="default" w:ascii="Times New Roman" w:hAnsi="Times New Roman" w:eastAsia="仿宋_GB2312" w:cs="Times New Roman"/>
          <w:kern w:val="0"/>
          <w:sz w:val="32"/>
          <w:szCs w:val="32"/>
          <w:highlight w:val="none"/>
          <w:shd w:val="clear" w:color="auto" w:fill="FFFFFF"/>
        </w:rPr>
      </w:pPr>
      <w:r>
        <w:rPr>
          <w:rFonts w:hint="eastAsia" w:ascii="Times New Roman" w:hAnsi="Times New Roman" w:eastAsia="仿宋_GB2312" w:cs="Times New Roman"/>
          <w:color w:val="auto"/>
          <w:kern w:val="0"/>
          <w:sz w:val="32"/>
          <w:szCs w:val="32"/>
          <w:highlight w:val="none"/>
          <w:shd w:val="clear" w:color="auto" w:fill="FFFFFF"/>
          <w:lang w:val="en-US" w:eastAsia="zh-CN"/>
        </w:rPr>
        <w:t>我们接受委托，于</w:t>
      </w:r>
      <w:r>
        <w:rPr>
          <w:rFonts w:hint="default"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10</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22</w:t>
      </w:r>
      <w:r>
        <w:rPr>
          <w:rFonts w:hint="eastAsia" w:ascii="Times New Roman" w:hAnsi="Times New Roman" w:eastAsia="仿宋_GB2312" w:cs="Times New Roman"/>
          <w:color w:val="auto"/>
          <w:kern w:val="0"/>
          <w:sz w:val="32"/>
          <w:szCs w:val="32"/>
          <w:highlight w:val="none"/>
          <w:shd w:val="clear" w:color="auto" w:fill="FFFFFF"/>
          <w:lang w:val="en-US" w:eastAsia="zh-CN"/>
        </w:rPr>
        <w:t>日-202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11</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日对</w:t>
      </w:r>
      <w:r>
        <w:rPr>
          <w:rFonts w:hint="eastAsia" w:eastAsia="仿宋_GB2312" w:cs="Times New Roman"/>
          <w:color w:val="auto"/>
          <w:kern w:val="0"/>
          <w:sz w:val="32"/>
          <w:szCs w:val="32"/>
          <w:highlight w:val="none"/>
          <w:shd w:val="clear" w:color="auto" w:fill="FFFFFF"/>
          <w:lang w:val="en-US" w:eastAsia="zh-CN"/>
        </w:rPr>
        <w:t>“中共阿坝县纪律检查委员会2022年部门整体支出”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财政支出进行绩效评价。</w:t>
      </w:r>
      <w:r>
        <w:rPr>
          <w:rFonts w:hint="eastAsia" w:eastAsia="仿宋_GB2312" w:cs="Times New Roman"/>
          <w:color w:val="auto"/>
          <w:kern w:val="0"/>
          <w:sz w:val="32"/>
          <w:szCs w:val="32"/>
          <w:highlight w:val="none"/>
          <w:shd w:val="clear" w:color="auto" w:fill="FFFFFF"/>
          <w:lang w:val="en-US" w:eastAsia="zh-CN"/>
        </w:rPr>
        <w:t>中共阿坝县纪律检查委员会</w:t>
      </w:r>
      <w:r>
        <w:rPr>
          <w:rFonts w:hint="eastAsia" w:ascii="Times New Roman" w:hAnsi="Times New Roman" w:eastAsia="仿宋_GB2312" w:cs="Times New Roman"/>
          <w:color w:val="auto"/>
          <w:kern w:val="0"/>
          <w:sz w:val="32"/>
          <w:szCs w:val="32"/>
          <w:highlight w:val="none"/>
          <w:shd w:val="clear" w:color="auto" w:fill="FFFFFF"/>
          <w:lang w:val="en-US" w:eastAsia="zh-CN"/>
        </w:rPr>
        <w:t>作为被评价单位，提供了与本次</w:t>
      </w:r>
      <w:r>
        <w:rPr>
          <w:rFonts w:hint="eastAsia" w:eastAsia="仿宋_GB2312" w:cs="Times New Roman"/>
          <w:color w:val="auto"/>
          <w:kern w:val="0"/>
          <w:sz w:val="32"/>
          <w:szCs w:val="32"/>
          <w:highlight w:val="none"/>
          <w:shd w:val="clear" w:color="auto" w:fill="FFFFFF"/>
          <w:lang w:val="en-US" w:eastAsia="zh-CN"/>
        </w:rPr>
        <w:t>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绩效评价相关的资料，并对这些资料的真实性、合法性和完整性负责。我们的责任是依据被评价单位提供的评价基础资料，根据《国务院关于深化预算管理制度改革的决定》（国发〔2014〕45号）、《预算法》以及《四川省财政支出绩效评价管理办法》的规定，按照《中共四川省委 四川省人民政府关于全面实施预算绩效管理的实施意见》（川委发〔2019〕8号）、《四川省财政厅关于开展2023年财政重点绩效评价工作的通知》（川财绩〔2023〕9号）和《阿坝州财政局关于做好财政厅2023年政策和项目支出绩效评价工作的通知》（阿州财监绩〔2023〕21号）</w:t>
      </w:r>
      <w:r>
        <w:rPr>
          <w:rFonts w:hint="eastAsia" w:eastAsia="仿宋_GB2312" w:cs="Times New Roman"/>
          <w:color w:val="auto"/>
          <w:kern w:val="0"/>
          <w:sz w:val="32"/>
          <w:szCs w:val="32"/>
          <w:highlight w:val="none"/>
          <w:shd w:val="clear" w:color="auto" w:fill="FFFFFF"/>
          <w:lang w:val="en-US" w:eastAsia="zh-CN"/>
        </w:rPr>
        <w:t>《阿坝县财政局关于开展2023年部门、政策和项目支出绩效评价工作的通知》（阿县财监绩〔2023〕30号）</w:t>
      </w:r>
      <w:r>
        <w:rPr>
          <w:rFonts w:hint="eastAsia" w:ascii="Times New Roman" w:hAnsi="Times New Roman" w:eastAsia="仿宋_GB2312" w:cs="Times New Roman"/>
          <w:color w:val="auto"/>
          <w:kern w:val="0"/>
          <w:sz w:val="32"/>
          <w:szCs w:val="32"/>
          <w:highlight w:val="none"/>
          <w:shd w:val="clear" w:color="auto" w:fill="FFFFFF"/>
          <w:lang w:val="en-US" w:eastAsia="zh-CN"/>
        </w:rPr>
        <w:t>的相关要求，遵循科学性、规范性、客观性和公正性的原则，对</w:t>
      </w:r>
      <w:r>
        <w:rPr>
          <w:rFonts w:hint="eastAsia" w:eastAsia="仿宋_GB2312" w:cs="Times New Roman"/>
          <w:color w:val="auto"/>
          <w:kern w:val="0"/>
          <w:sz w:val="32"/>
          <w:szCs w:val="32"/>
          <w:highlight w:val="none"/>
          <w:shd w:val="clear" w:color="auto" w:fill="FFFFFF"/>
          <w:lang w:val="en-US" w:eastAsia="zh-CN"/>
        </w:rPr>
        <w:t>“中共阿坝县纪律检查委员会2022年部门整体支出”</w:t>
      </w:r>
      <w:r>
        <w:rPr>
          <w:rFonts w:hint="eastAsia" w:ascii="Times New Roman" w:hAnsi="Times New Roman" w:eastAsia="仿宋_GB2312" w:cs="Times New Roman"/>
          <w:color w:val="auto"/>
          <w:kern w:val="0"/>
          <w:sz w:val="32"/>
          <w:szCs w:val="32"/>
          <w:highlight w:val="none"/>
          <w:shd w:val="clear" w:color="auto" w:fill="FFFFFF"/>
          <w:lang w:val="en-US" w:eastAsia="zh-CN"/>
        </w:rPr>
        <w:t>财政支出绩效实施了评价，形成本评价报告。我们相信，我们的评价工作为发表意见提供了合理的基础。本次评价具体情况如下：</w:t>
      </w:r>
    </w:p>
    <w:p>
      <w:pPr>
        <w:pStyle w:val="2"/>
        <w:spacing w:before="156" w:after="156" w:line="600" w:lineRule="exact"/>
        <w:ind w:firstLine="602"/>
        <w:rPr>
          <w:rFonts w:hint="default" w:ascii="Times New Roman" w:hAnsi="Times New Roman" w:cs="Times New Roman"/>
          <w:sz w:val="30"/>
          <w:szCs w:val="30"/>
          <w:highlight w:val="none"/>
        </w:rPr>
      </w:pPr>
      <w:bookmarkStart w:id="5" w:name="_Toc16362"/>
      <w:bookmarkStart w:id="6" w:name="_Toc29599"/>
      <w:bookmarkStart w:id="7" w:name="_Toc8760"/>
      <w:bookmarkStart w:id="8" w:name="_Toc8512"/>
      <w:r>
        <w:rPr>
          <w:rFonts w:hint="default" w:ascii="Times New Roman" w:hAnsi="Times New Roman" w:cs="Times New Roman"/>
          <w:sz w:val="30"/>
          <w:szCs w:val="30"/>
          <w:highlight w:val="none"/>
        </w:rPr>
        <w:t>一、</w:t>
      </w:r>
      <w:bookmarkEnd w:id="5"/>
      <w:r>
        <w:rPr>
          <w:rFonts w:hint="default" w:ascii="Times New Roman" w:hAnsi="Times New Roman" w:cs="Times New Roman"/>
          <w:sz w:val="30"/>
          <w:szCs w:val="30"/>
          <w:highlight w:val="none"/>
        </w:rPr>
        <w:t>部门概况</w:t>
      </w:r>
      <w:bookmarkEnd w:id="6"/>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9" w:name="_Toc30759"/>
      <w:r>
        <w:rPr>
          <w:rFonts w:hint="default" w:ascii="Times New Roman" w:hAnsi="Times New Roman" w:eastAsia="楷体_GB2312" w:cs="Times New Roman"/>
          <w:color w:val="auto"/>
          <w:sz w:val="32"/>
          <w:highlight w:val="none"/>
        </w:rPr>
        <w:t>（一）部门机构设置、编制、职责</w:t>
      </w:r>
      <w:bookmarkEnd w:id="9"/>
    </w:p>
    <w:p>
      <w:pPr>
        <w:pStyle w:val="4"/>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highlight w:val="none"/>
        </w:rPr>
      </w:pPr>
      <w:bookmarkStart w:id="10" w:name="_Toc55586766"/>
      <w:bookmarkStart w:id="11" w:name="_Toc7718"/>
      <w:bookmarkStart w:id="12" w:name="_Toc11964"/>
      <w:r>
        <w:rPr>
          <w:rFonts w:hint="default"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rPr>
        <w:t>部门机构设置</w:t>
      </w:r>
      <w:bookmarkEnd w:id="10"/>
      <w:bookmarkEnd w:id="11"/>
      <w:bookmarkEnd w:id="12"/>
    </w:p>
    <w:p>
      <w:pPr>
        <w:spacing w:line="600" w:lineRule="exact"/>
        <w:ind w:left="0" w:leftChars="0" w:firstLine="640" w:firstLineChars="200"/>
        <w:jc w:val="both"/>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eastAsia" w:ascii="Times New Roman" w:hAnsi="Times New Roman" w:eastAsia="仿宋_GB2312" w:cs="Times New Roman"/>
          <w:color w:val="auto"/>
          <w:kern w:val="0"/>
          <w:sz w:val="32"/>
          <w:szCs w:val="32"/>
          <w:highlight w:val="none"/>
          <w:shd w:val="clear" w:color="auto" w:fill="FFFFFF"/>
          <w:lang w:val="en-US" w:eastAsia="zh-CN"/>
        </w:rPr>
        <w:t>中共阿坝县纪律检查委员会与阿坝县监察委员会合署办公，实行一套工作机构、两个机关名称的体制。单位属一级预算单位，为全额拨款行政单位，执行行政单位财务会计制度。内设机构为办公室、党风政风监督室、信访室、第一纪检监察室、第二纪检监察室、谈话室、案件审理室。县纪委监委统一向县直各部门（单位）派驻</w:t>
      </w:r>
      <w:r>
        <w:rPr>
          <w:rFonts w:hint="eastAsia" w:eastAsia="仿宋_GB2312" w:cs="Times New Roman"/>
          <w:color w:val="auto"/>
          <w:kern w:val="0"/>
          <w:sz w:val="32"/>
          <w:szCs w:val="32"/>
          <w:highlight w:val="none"/>
          <w:shd w:val="clear" w:color="auto" w:fill="FFFFFF"/>
          <w:lang w:val="en-US" w:eastAsia="zh-CN"/>
        </w:rPr>
        <w:t>纪检监察组</w:t>
      </w:r>
      <w:r>
        <w:rPr>
          <w:rFonts w:hint="eastAsia" w:ascii="Times New Roman" w:hAnsi="Times New Roman" w:eastAsia="仿宋_GB2312" w:cs="Times New Roman"/>
          <w:color w:val="auto"/>
          <w:kern w:val="0"/>
          <w:sz w:val="32"/>
          <w:szCs w:val="32"/>
          <w:highlight w:val="none"/>
          <w:shd w:val="clear" w:color="auto" w:fill="FFFFFF"/>
          <w:lang w:val="en-US" w:eastAsia="zh-CN"/>
        </w:rPr>
        <w:t>，由县纪委监委直接领导，统一管理。</w:t>
      </w:r>
    </w:p>
    <w:p>
      <w:pPr>
        <w:pStyle w:val="4"/>
        <w:spacing w:line="600" w:lineRule="exact"/>
        <w:ind w:firstLine="640"/>
        <w:rPr>
          <w:rFonts w:hint="default" w:ascii="Times New Roman" w:hAnsi="Times New Roman" w:eastAsia="仿宋_GB2312" w:cs="Times New Roman"/>
          <w:kern w:val="0"/>
          <w:sz w:val="32"/>
          <w:szCs w:val="32"/>
          <w:highlight w:val="none"/>
          <w:shd w:val="clear" w:color="auto" w:fill="FFFFFF"/>
        </w:rPr>
      </w:pPr>
      <w:bookmarkStart w:id="13" w:name="_Toc8184"/>
      <w:bookmarkStart w:id="14" w:name="_Toc30998"/>
      <w:bookmarkStart w:id="15" w:name="_Toc55586767"/>
      <w:r>
        <w:rPr>
          <w:rFonts w:hint="default" w:ascii="Times New Roman" w:hAnsi="Times New Roman" w:eastAsia="仿宋_GB2312" w:cs="Times New Roman"/>
          <w:highlight w:val="none"/>
          <w:lang w:val="en-US" w:eastAsia="zh-CN"/>
        </w:rPr>
        <w:t>2</w:t>
      </w:r>
      <w:r>
        <w:rPr>
          <w:rFonts w:hint="default" w:ascii="Times New Roman" w:hAnsi="Times New Roman" w:eastAsia="仿宋_GB2312" w:cs="Times New Roman"/>
          <w:highlight w:val="none"/>
        </w:rPr>
        <w:t>、部门编制</w:t>
      </w:r>
      <w:bookmarkEnd w:id="13"/>
      <w:bookmarkEnd w:id="14"/>
      <w:bookmarkEnd w:id="15"/>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28"/>
          <w:szCs w:val="28"/>
          <w:highlight w:val="none"/>
          <w:shd w:val="clear" w:color="auto" w:fill="FFFFFF"/>
          <w:lang w:val="en-US" w:eastAsia="zh-CN"/>
        </w:rPr>
      </w:pPr>
      <w:r>
        <w:rPr>
          <w:rFonts w:hint="default" w:ascii="Times New Roman" w:hAnsi="Times New Roman" w:eastAsia="仿宋_GB2312" w:cs="Times New Roman"/>
          <w:b/>
          <w:bCs/>
          <w:kern w:val="2"/>
          <w:sz w:val="32"/>
          <w:szCs w:val="32"/>
          <w:highlight w:val="none"/>
          <w:lang w:val="en-US" w:eastAsia="zh-CN" w:bidi="ar-SA"/>
        </w:rPr>
        <w:t>（1）人员配备</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w:t>
      </w:r>
      <w:r>
        <w:rPr>
          <w:rFonts w:hint="default" w:ascii="Times New Roman" w:hAnsi="Times New Roman" w:eastAsia="仿宋_GB2312" w:cs="Times New Roman"/>
          <w:sz w:val="32"/>
          <w:szCs w:val="32"/>
          <w:highlight w:val="none"/>
          <w:lang w:eastAsia="zh-CN"/>
        </w:rPr>
        <w:t>《中共</w:t>
      </w:r>
      <w:r>
        <w:rPr>
          <w:rFonts w:hint="eastAsia" w:eastAsia="仿宋_GB2312" w:cs="Times New Roman"/>
          <w:sz w:val="32"/>
          <w:szCs w:val="32"/>
          <w:highlight w:val="none"/>
          <w:lang w:eastAsia="zh-CN"/>
        </w:rPr>
        <w:t>阿坝县</w:t>
      </w:r>
      <w:r>
        <w:rPr>
          <w:rFonts w:hint="default" w:ascii="Times New Roman" w:hAnsi="Times New Roman" w:eastAsia="仿宋_GB2312" w:cs="Times New Roman"/>
          <w:sz w:val="32"/>
          <w:szCs w:val="32"/>
          <w:highlight w:val="none"/>
          <w:lang w:eastAsia="zh-CN"/>
        </w:rPr>
        <w:t>委</w:t>
      </w:r>
      <w:r>
        <w:rPr>
          <w:rFonts w:hint="eastAsia" w:eastAsia="仿宋_GB2312" w:cs="Times New Roman"/>
          <w:sz w:val="32"/>
          <w:szCs w:val="32"/>
          <w:highlight w:val="none"/>
          <w:lang w:val="en-US" w:eastAsia="zh-CN"/>
        </w:rPr>
        <w:t>办公室</w:t>
      </w:r>
      <w:r>
        <w:rPr>
          <w:rFonts w:hint="default" w:ascii="Times New Roman" w:hAnsi="Times New Roman" w:eastAsia="仿宋_GB2312" w:cs="Times New Roman"/>
          <w:sz w:val="32"/>
          <w:szCs w:val="32"/>
          <w:highlight w:val="none"/>
          <w:lang w:eastAsia="zh-CN"/>
        </w:rPr>
        <w:t>印发〈</w:t>
      </w:r>
      <w:r>
        <w:rPr>
          <w:rFonts w:hint="eastAsia" w:eastAsia="仿宋_GB2312" w:cs="Times New Roman"/>
          <w:sz w:val="32"/>
          <w:szCs w:val="32"/>
          <w:highlight w:val="none"/>
          <w:lang w:val="en-US" w:eastAsia="zh-CN"/>
        </w:rPr>
        <w:t>中共阿坝县纪律检查委员会职能配置、内设机构和人员编制规定</w:t>
      </w:r>
      <w:r>
        <w:rPr>
          <w:rFonts w:hint="default" w:ascii="Times New Roman" w:hAnsi="Times New Roman" w:eastAsia="仿宋_GB2312" w:cs="Times New Roman"/>
          <w:sz w:val="32"/>
          <w:szCs w:val="32"/>
          <w:highlight w:val="none"/>
          <w:lang w:eastAsia="zh-CN"/>
        </w:rPr>
        <w:t>〉的通知》（</w:t>
      </w:r>
      <w:r>
        <w:rPr>
          <w:rFonts w:hint="eastAsia" w:eastAsia="仿宋_GB2312" w:cs="Times New Roman"/>
          <w:sz w:val="32"/>
          <w:szCs w:val="32"/>
          <w:highlight w:val="none"/>
          <w:lang w:val="en-US" w:eastAsia="zh-CN"/>
        </w:rPr>
        <w:t>阿县委办发</w:t>
      </w:r>
      <w:r>
        <w:rPr>
          <w:rFonts w:hint="default" w:ascii="Times New Roman" w:hAnsi="Times New Roman" w:eastAsia="仿宋_GB2312" w:cs="Times New Roman"/>
          <w:sz w:val="32"/>
          <w:szCs w:val="32"/>
          <w:highlight w:val="none"/>
          <w:lang w:eastAsia="zh-CN"/>
        </w:rPr>
        <w:t>〔2019〕</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eastAsia="zh-CN"/>
        </w:rPr>
        <w:t>号）</w:t>
      </w:r>
      <w:r>
        <w:rPr>
          <w:rFonts w:hint="eastAsia" w:eastAsia="仿宋_GB2312" w:cs="Times New Roman"/>
          <w:color w:val="000000"/>
          <w:kern w:val="0"/>
          <w:sz w:val="32"/>
          <w:szCs w:val="32"/>
          <w:highlight w:val="none"/>
          <w:lang w:val="en-US" w:eastAsia="zh-CN" w:bidi="ar"/>
        </w:rPr>
        <w:t>，县纪委监委机关行政编制18名。县纪委监委领导班子职数9名。其中，县纪委常委7名（含书记）；县监委主在1名，由县纪委书记兼任；副主任2名，由纪委副书记兼任；监委委员4名，由县纪委常委兼任2名，不由纪委常委兼任2名。内设机构领导职数9名（按照有关规定，配备为副科级领导职务）。机关工勤人员事业编制3名。</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截止2022年底机关人事核定行政编制42人：其中公务员编制39人（包含纪委监委18人、派驻纪检组21人），工勤编制3人。目前在职职工39人，其中公务员36人，工勤人员3人。</w:t>
      </w:r>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default" w:ascii="Times New Roman" w:hAnsi="Times New Roman" w:eastAsia="仿宋_GB2312" w:cs="Times New Roman"/>
          <w:b/>
          <w:bCs/>
          <w:kern w:val="2"/>
          <w:sz w:val="32"/>
          <w:szCs w:val="32"/>
          <w:highlight w:val="none"/>
          <w:lang w:val="en-US" w:eastAsia="zh-CN" w:bidi="ar-SA"/>
        </w:rPr>
        <w:t>（2）人员结构</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在岗编制人员男性</w:t>
      </w:r>
      <w:r>
        <w:rPr>
          <w:rFonts w:hint="eastAsia" w:eastAsia="仿宋_GB2312" w:cs="Times New Roman"/>
          <w:color w:val="000000"/>
          <w:kern w:val="0"/>
          <w:sz w:val="32"/>
          <w:szCs w:val="32"/>
          <w:highlight w:val="none"/>
          <w:lang w:val="en-US" w:eastAsia="zh-CN" w:bidi="ar"/>
        </w:rPr>
        <w:t>18</w:t>
      </w:r>
      <w:r>
        <w:rPr>
          <w:rFonts w:hint="default" w:ascii="Times New Roman" w:hAnsi="Times New Roman" w:eastAsia="仿宋_GB2312" w:cs="Times New Roman"/>
          <w:color w:val="000000"/>
          <w:kern w:val="0"/>
          <w:sz w:val="32"/>
          <w:szCs w:val="32"/>
          <w:highlight w:val="none"/>
          <w:lang w:val="en-US" w:eastAsia="zh-CN" w:bidi="ar"/>
        </w:rPr>
        <w:t>人，女性</w:t>
      </w:r>
      <w:r>
        <w:rPr>
          <w:rFonts w:hint="eastAsia" w:eastAsia="仿宋_GB2312" w:cs="Times New Roman"/>
          <w:color w:val="000000"/>
          <w:kern w:val="0"/>
          <w:sz w:val="32"/>
          <w:szCs w:val="32"/>
          <w:highlight w:val="none"/>
          <w:lang w:val="en-US" w:eastAsia="zh-CN" w:bidi="ar"/>
        </w:rPr>
        <w:t>21</w:t>
      </w:r>
      <w:r>
        <w:rPr>
          <w:rFonts w:hint="default" w:ascii="Times New Roman" w:hAnsi="Times New Roman" w:eastAsia="仿宋_GB2312" w:cs="Times New Roman"/>
          <w:color w:val="000000"/>
          <w:kern w:val="0"/>
          <w:sz w:val="32"/>
          <w:szCs w:val="32"/>
          <w:highlight w:val="none"/>
          <w:lang w:val="en-US" w:eastAsia="zh-CN" w:bidi="ar"/>
        </w:rPr>
        <w:t>人，男女比例为</w:t>
      </w:r>
      <w:r>
        <w:rPr>
          <w:rFonts w:hint="eastAsia" w:eastAsia="仿宋_GB2312" w:cs="Times New Roman"/>
          <w:color w:val="000000"/>
          <w:kern w:val="0"/>
          <w:sz w:val="32"/>
          <w:szCs w:val="32"/>
          <w:highlight w:val="none"/>
          <w:lang w:val="en-US" w:eastAsia="zh-CN" w:bidi="ar"/>
        </w:rPr>
        <w:t>6：7</w:t>
      </w:r>
      <w:r>
        <w:rPr>
          <w:rFonts w:hint="default" w:ascii="Times New Roman" w:hAnsi="Times New Roman" w:eastAsia="仿宋_GB2312" w:cs="Times New Roman"/>
          <w:color w:val="000000"/>
          <w:kern w:val="0"/>
          <w:sz w:val="32"/>
          <w:szCs w:val="32"/>
          <w:highlight w:val="none"/>
          <w:lang w:val="en-US" w:eastAsia="zh-CN" w:bidi="ar"/>
        </w:rPr>
        <w:t>；平均年龄为</w:t>
      </w:r>
      <w:r>
        <w:rPr>
          <w:rFonts w:hint="eastAsia" w:eastAsia="仿宋_GB2312" w:cs="Times New Roman"/>
          <w:color w:val="000000"/>
          <w:kern w:val="0"/>
          <w:sz w:val="32"/>
          <w:szCs w:val="32"/>
          <w:highlight w:val="none"/>
          <w:lang w:val="en-US" w:eastAsia="zh-CN" w:bidi="ar"/>
        </w:rPr>
        <w:t>40</w:t>
      </w:r>
      <w:r>
        <w:rPr>
          <w:rFonts w:hint="default" w:ascii="Times New Roman" w:hAnsi="Times New Roman" w:eastAsia="仿宋_GB2312" w:cs="Times New Roman"/>
          <w:color w:val="000000"/>
          <w:kern w:val="0"/>
          <w:sz w:val="32"/>
          <w:szCs w:val="32"/>
          <w:highlight w:val="none"/>
          <w:lang w:val="en-US" w:eastAsia="zh-CN" w:bidi="ar"/>
        </w:rPr>
        <w:t>岁，其中</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人，占总数的</w:t>
      </w:r>
      <w:r>
        <w:rPr>
          <w:rFonts w:hint="eastAsia" w:eastAsia="仿宋_GB2312" w:cs="Times New Roman"/>
          <w:color w:val="000000"/>
          <w:kern w:val="0"/>
          <w:sz w:val="32"/>
          <w:szCs w:val="32"/>
          <w:highlight w:val="none"/>
          <w:lang w:val="en-US" w:eastAsia="zh-CN" w:bidi="ar"/>
        </w:rPr>
        <w:t>12.82</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9岁</w:t>
      </w:r>
      <w:r>
        <w:rPr>
          <w:rFonts w:hint="default" w:eastAsia="仿宋_GB2312" w:cs="Times New Roman"/>
          <w:color w:val="000000"/>
          <w:kern w:val="0"/>
          <w:sz w:val="32"/>
          <w:szCs w:val="32"/>
          <w:highlight w:val="none"/>
          <w:lang w:val="en-US" w:eastAsia="zh-CN" w:bidi="ar"/>
        </w:rPr>
        <w:t>共计</w:t>
      </w:r>
      <w:r>
        <w:rPr>
          <w:rFonts w:hint="eastAsia" w:eastAsia="仿宋_GB2312" w:cs="Times New Roman"/>
          <w:color w:val="000000"/>
          <w:kern w:val="0"/>
          <w:sz w:val="32"/>
          <w:szCs w:val="32"/>
          <w:highlight w:val="none"/>
          <w:lang w:val="en-US" w:eastAsia="zh-CN" w:bidi="ar"/>
        </w:rPr>
        <w:t>12</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30.77</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13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33.33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23.08</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（如图1-1所示）。</w:t>
      </w:r>
    </w:p>
    <w:p>
      <w:pPr>
        <w:spacing w:line="360" w:lineRule="auto"/>
        <w:jc w:val="center"/>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图1-1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年人员年龄结构图</w:t>
      </w:r>
    </w:p>
    <w:p>
      <w:pPr>
        <w:spacing w:line="360" w:lineRule="auto"/>
        <w:jc w:val="center"/>
        <w:rPr>
          <w:rFonts w:hint="eastAsia" w:ascii="Times New Roman" w:hAnsi="Times New Roman" w:eastAsia="仿宋_GB2312" w:cs="Times New Roman"/>
          <w:sz w:val="32"/>
          <w:szCs w:val="32"/>
          <w:highlight w:val="none"/>
          <w:lang w:eastAsia="zh-CN"/>
        </w:rPr>
      </w:pPr>
      <w:r>
        <w:rPr>
          <w:highlight w:val="none"/>
        </w:rPr>
        <w:drawing>
          <wp:inline distT="0" distB="0" distL="114300" distR="114300">
            <wp:extent cx="4145280" cy="2644140"/>
            <wp:effectExtent l="0" t="0" r="0" b="762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4145280" cy="26441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在岗编制人员平均工龄为</w:t>
      </w:r>
      <w:r>
        <w:rPr>
          <w:rFonts w:hint="eastAsia" w:eastAsia="仿宋_GB2312" w:cs="Times New Roman"/>
          <w:color w:val="000000"/>
          <w:kern w:val="0"/>
          <w:sz w:val="32"/>
          <w:szCs w:val="32"/>
          <w:highlight w:val="none"/>
          <w:lang w:val="en-US" w:eastAsia="zh-CN" w:bidi="ar"/>
        </w:rPr>
        <w:t>18</w:t>
      </w:r>
      <w:r>
        <w:rPr>
          <w:rFonts w:hint="default" w:ascii="Times New Roman" w:hAnsi="Times New Roman" w:eastAsia="仿宋_GB2312" w:cs="Times New Roman"/>
          <w:color w:val="000000"/>
          <w:kern w:val="0"/>
          <w:sz w:val="32"/>
          <w:szCs w:val="32"/>
          <w:highlight w:val="none"/>
          <w:lang w:val="en-US" w:eastAsia="zh-CN" w:bidi="ar"/>
        </w:rPr>
        <w:t>年，</w:t>
      </w:r>
      <w:r>
        <w:rPr>
          <w:rFonts w:hint="default" w:eastAsia="仿宋_GB2312" w:cs="Times New Roman"/>
          <w:color w:val="000000"/>
          <w:kern w:val="0"/>
          <w:sz w:val="32"/>
          <w:szCs w:val="32"/>
          <w:highlight w:val="none"/>
          <w:lang w:val="en-US" w:eastAsia="zh-CN" w:bidi="ar"/>
        </w:rPr>
        <w:t>其中</w:t>
      </w:r>
      <w:r>
        <w:rPr>
          <w:rFonts w:hint="default" w:ascii="Times New Roman" w:hAnsi="Times New Roman" w:eastAsia="仿宋_GB2312" w:cs="Times New Roman"/>
          <w:color w:val="000000"/>
          <w:kern w:val="0"/>
          <w:sz w:val="32"/>
          <w:szCs w:val="32"/>
          <w:highlight w:val="none"/>
          <w:lang w:val="en-US" w:eastAsia="zh-CN" w:bidi="ar"/>
        </w:rPr>
        <w:t>工龄为0-9年共计</w:t>
      </w:r>
      <w:r>
        <w:rPr>
          <w:rFonts w:hint="eastAsia" w:eastAsia="仿宋_GB2312" w:cs="Times New Roman"/>
          <w:color w:val="000000"/>
          <w:kern w:val="0"/>
          <w:sz w:val="32"/>
          <w:szCs w:val="32"/>
          <w:highlight w:val="none"/>
          <w:lang w:val="en-US" w:eastAsia="zh-CN" w:bidi="ar"/>
        </w:rPr>
        <w:t>10</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25.64</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10</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25.64</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12</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30.77</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7</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17.95</w:t>
      </w:r>
      <w:r>
        <w:rPr>
          <w:rFonts w:hint="default" w:ascii="Times New Roman" w:hAnsi="Times New Roman" w:eastAsia="仿宋_GB2312" w:cs="Times New Roman"/>
          <w:color w:val="000000"/>
          <w:kern w:val="0"/>
          <w:sz w:val="32"/>
          <w:szCs w:val="32"/>
          <w:highlight w:val="none"/>
          <w:lang w:val="en-US" w:eastAsia="zh-CN" w:bidi="ar"/>
        </w:rPr>
        <w:t>%（如图1-2所示）。</w:t>
      </w: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在岗编制人员学历分别为</w:t>
      </w:r>
      <w:r>
        <w:rPr>
          <w:rFonts w:hint="eastAsia" w:eastAsia="仿宋_GB2312" w:cs="Times New Roman"/>
          <w:color w:val="000000"/>
          <w:kern w:val="0"/>
          <w:sz w:val="32"/>
          <w:szCs w:val="32"/>
          <w:highlight w:val="none"/>
          <w:lang w:val="en-US" w:eastAsia="zh-CN" w:bidi="ar"/>
        </w:rPr>
        <w:t>高中、专科、本科、</w:t>
      </w:r>
      <w:bookmarkStart w:id="16" w:name="OLE_LINK1"/>
      <w:r>
        <w:rPr>
          <w:rFonts w:hint="eastAsia" w:eastAsia="仿宋_GB2312" w:cs="Times New Roman"/>
          <w:color w:val="000000"/>
          <w:kern w:val="0"/>
          <w:sz w:val="32"/>
          <w:szCs w:val="32"/>
          <w:highlight w:val="none"/>
          <w:lang w:val="en-US" w:eastAsia="zh-CN" w:bidi="ar"/>
        </w:rPr>
        <w:t>研究生</w:t>
      </w:r>
      <w:bookmarkEnd w:id="16"/>
      <w:r>
        <w:rPr>
          <w:rFonts w:hint="default" w:ascii="Times New Roman" w:hAnsi="Times New Roman" w:eastAsia="仿宋_GB2312" w:cs="Times New Roman"/>
          <w:color w:val="000000"/>
          <w:kern w:val="0"/>
          <w:sz w:val="32"/>
          <w:szCs w:val="32"/>
          <w:highlight w:val="none"/>
          <w:lang w:val="en-US" w:eastAsia="zh-CN" w:bidi="ar"/>
        </w:rPr>
        <w:t>，其中</w:t>
      </w:r>
      <w:r>
        <w:rPr>
          <w:rFonts w:hint="eastAsia" w:eastAsia="仿宋_GB2312" w:cs="Times New Roman"/>
          <w:color w:val="000000"/>
          <w:kern w:val="0"/>
          <w:sz w:val="32"/>
          <w:szCs w:val="32"/>
          <w:highlight w:val="none"/>
          <w:lang w:val="en-US" w:eastAsia="zh-CN" w:bidi="ar"/>
        </w:rPr>
        <w:t>高中1人，占比2.56%；专科14</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35.90</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；本科22</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56.41</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；研究生2人，占总人数5.13%</w:t>
      </w:r>
      <w:r>
        <w:rPr>
          <w:rFonts w:hint="default" w:ascii="Times New Roman" w:hAnsi="Times New Roman" w:eastAsia="仿宋_GB2312" w:cs="Times New Roman"/>
          <w:color w:val="000000"/>
          <w:kern w:val="0"/>
          <w:sz w:val="32"/>
          <w:szCs w:val="32"/>
          <w:highlight w:val="none"/>
          <w:lang w:val="en-US" w:eastAsia="zh-CN" w:bidi="ar"/>
        </w:rPr>
        <w:t>（如图1-3所示）。</w:t>
      </w:r>
    </w:p>
    <w:p>
      <w:pPr>
        <w:pStyle w:val="13"/>
        <w:rPr>
          <w:rFonts w:hint="default"/>
          <w:highlight w:val="none"/>
          <w:lang w:val="en-US" w:eastAsia="zh-CN"/>
        </w:rPr>
      </w:pPr>
    </w:p>
    <w:p>
      <w:pPr>
        <w:spacing w:line="360" w:lineRule="auto"/>
        <w:jc w:val="left"/>
        <w:rPr>
          <w:rFonts w:hint="default" w:ascii="Times New Roman" w:hAnsi="Times New Roman" w:eastAsia="仿宋_GB2312" w:cs="Times New Roman"/>
          <w:sz w:val="24"/>
          <w:szCs w:val="24"/>
          <w:highlight w:val="none"/>
          <w:lang w:val="en-US"/>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图1-2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年人员工龄结构图          图1-3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年人员学历结构图</w:t>
      </w:r>
    </w:p>
    <w:p>
      <w:pPr>
        <w:spacing w:line="360" w:lineRule="auto"/>
        <w:ind w:left="0" w:leftChars="0" w:firstLine="0" w:firstLineChars="0"/>
        <w:jc w:val="center"/>
        <w:rPr>
          <w:rFonts w:hint="eastAsia" w:ascii="Times New Roman" w:hAnsi="Times New Roman" w:eastAsia="宋体" w:cs="Times New Roman"/>
          <w:sz w:val="24"/>
          <w:szCs w:val="24"/>
          <w:highlight w:val="none"/>
          <w:lang w:val="en-US" w:eastAsia="zh-CN"/>
        </w:rPr>
      </w:pPr>
      <w:r>
        <w:rPr>
          <w:highlight w:val="none"/>
        </w:rPr>
        <w:drawing>
          <wp:inline distT="0" distB="0" distL="114300" distR="114300">
            <wp:extent cx="2355850" cy="1797685"/>
            <wp:effectExtent l="0" t="0" r="6350" b="63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5"/>
                    <a:stretch>
                      <a:fillRect/>
                    </a:stretch>
                  </pic:blipFill>
                  <pic:spPr>
                    <a:xfrm>
                      <a:off x="0" y="0"/>
                      <a:ext cx="2355850" cy="1797685"/>
                    </a:xfrm>
                    <a:prstGeom prst="rect">
                      <a:avLst/>
                    </a:prstGeom>
                    <a:noFill/>
                    <a:ln>
                      <a:noFill/>
                    </a:ln>
                  </pic:spPr>
                </pic:pic>
              </a:graphicData>
            </a:graphic>
          </wp:inline>
        </w:drawing>
      </w:r>
      <w:r>
        <w:rPr>
          <w:rFonts w:hint="eastAsia"/>
          <w:highlight w:val="none"/>
          <w:lang w:val="en-US" w:eastAsia="zh-CN"/>
        </w:rPr>
        <w:t xml:space="preserve">    </w:t>
      </w:r>
      <w:r>
        <w:rPr>
          <w:highlight w:val="none"/>
        </w:rPr>
        <w:drawing>
          <wp:inline distT="0" distB="0" distL="114300" distR="114300">
            <wp:extent cx="2667635" cy="1766570"/>
            <wp:effectExtent l="0" t="0" r="14605" b="127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6"/>
                    <a:stretch>
                      <a:fillRect/>
                    </a:stretch>
                  </pic:blipFill>
                  <pic:spPr>
                    <a:xfrm>
                      <a:off x="0" y="0"/>
                      <a:ext cx="2667635" cy="1766570"/>
                    </a:xfrm>
                    <a:prstGeom prst="rect">
                      <a:avLst/>
                    </a:prstGeom>
                    <a:noFill/>
                    <a:ln>
                      <a:noFill/>
                    </a:ln>
                  </pic:spPr>
                </pic:pic>
              </a:graphicData>
            </a:graphic>
          </wp:inline>
        </w:drawing>
      </w:r>
    </w:p>
    <w:p>
      <w:pPr>
        <w:pStyle w:val="4"/>
        <w:spacing w:line="600" w:lineRule="exact"/>
        <w:ind w:firstLine="640"/>
        <w:rPr>
          <w:rFonts w:hint="default" w:ascii="Times New Roman" w:hAnsi="Times New Roman" w:eastAsia="仿宋_GB2312" w:cs="Times New Roman"/>
          <w:highlight w:val="none"/>
          <w:lang w:val="en-US" w:eastAsia="zh-CN"/>
        </w:rPr>
      </w:pPr>
      <w:bookmarkStart w:id="17" w:name="_Toc2669"/>
      <w:bookmarkStart w:id="18" w:name="_Toc17151"/>
      <w:bookmarkStart w:id="19" w:name="_Toc55586768"/>
      <w:r>
        <w:rPr>
          <w:rFonts w:hint="default" w:ascii="Times New Roman" w:hAnsi="Times New Roman" w:eastAsia="仿宋_GB2312" w:cs="Times New Roman"/>
          <w:highlight w:val="none"/>
          <w:lang w:val="en-US" w:eastAsia="zh-CN"/>
        </w:rPr>
        <w:t>3、部门职能</w:t>
      </w:r>
      <w:bookmarkEnd w:id="17"/>
      <w:bookmarkEnd w:id="18"/>
      <w:bookmarkEnd w:id="19"/>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根据文件规定，中共阿坝县纪律检查委员会与阿坝县监察委员会、合署办公，实行一套工作机构、两个机关名称的体制，履行党的纪律检查、国家监察职能。纪委、监委、主要职责如下：主管全县党的纪律检查工作。负责贯彻落实州纪委和县委关于加强党风廉政建设的决定，维护党的章程和其他党内法规，检查党的路线、方针、政策和决议的执行情况，协助县委推动全面从严治党，加强党风建设和组织协调反腐败工作；负责检查并处理县直各部门、各单位，各乡镇党的组织和县管党员领导干部违反党的章程及其他党内法规的案件，决定或取消对这些案件中的党员的处分；受理党员的控告和申诉，必要时直接查处下级党的纪律检查机关管辖范围内的比较重要或复杂的案件；对本地区所有行使公权力的公职人员依法实施监察；履行监督、调查、处置职责，监督检查公职人员依法履职、秉公用权、廉洁从政以及道德操守情况，调查涉嫌贪污贿赂、滥用职权、玩忽职守、权力寻租、利益输送、徇私舞弊以及浪费国家资财等职务违法和职务犯罪行为并作出处置决定，对涉嫌职务犯罪的，移送检察机关依法提起公诉。为履行上述职权，监察委员会可以采取谈话、讯问、询问、查询、冻结、调取、查封、扣押、搜查、勘验检查、鉴定、留置等措施；负责作出关于维护党纪、政纪的决定，制定党风党纪和廉政教育规划，配合有关部门做好党的纪检工作和国家监察工作的方针、政策和法律法规的宣传工作，对党员及国家工作人员进行遵纪守法、为政清廉的教育；组织和指导全县纪检监察干部的培训工作；承办州纪委、监委和县委交办的其他任务。</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lang w:val="en-US"/>
        </w:rPr>
      </w:pPr>
      <w:bookmarkStart w:id="20" w:name="_Toc5411"/>
      <w:r>
        <w:rPr>
          <w:rFonts w:hint="default" w:ascii="Times New Roman" w:hAnsi="Times New Roman" w:eastAsia="楷体_GB2312" w:cs="Times New Roman"/>
          <w:color w:val="auto"/>
          <w:sz w:val="32"/>
          <w:highlight w:val="none"/>
          <w:lang w:val="en-US" w:eastAsia="zh-CN"/>
        </w:rPr>
        <w:t>（二）部门预算</w:t>
      </w:r>
      <w:bookmarkEnd w:id="20"/>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21" w:name="_Toc1175"/>
      <w:bookmarkStart w:id="22" w:name="_Toc55586770"/>
      <w:bookmarkStart w:id="23" w:name="_Toc2371"/>
      <w:r>
        <w:rPr>
          <w:rFonts w:hint="default" w:ascii="Times New Roman" w:hAnsi="Times New Roman" w:eastAsia="仿宋_GB2312" w:cs="Times New Roman"/>
          <w:highlight w:val="none"/>
        </w:rPr>
        <w:t>1、</w:t>
      </w:r>
      <w:r>
        <w:rPr>
          <w:rFonts w:hint="default" w:ascii="Times New Roman" w:hAnsi="Times New Roman" w:eastAsia="仿宋_GB2312" w:cs="Times New Roman"/>
          <w:b/>
          <w:bCs/>
          <w:color w:val="000000"/>
          <w:kern w:val="0"/>
          <w:sz w:val="32"/>
          <w:szCs w:val="32"/>
          <w:highlight w:val="none"/>
          <w:lang w:val="en-US" w:eastAsia="zh-CN" w:bidi="ar"/>
        </w:rPr>
        <w:t>近三年</w:t>
      </w:r>
      <w:r>
        <w:rPr>
          <w:rFonts w:hint="eastAsia" w:eastAsia="仿宋_GB2312" w:cs="Times New Roman"/>
          <w:highlight w:val="none"/>
          <w:lang w:eastAsia="zh-CN"/>
        </w:rPr>
        <w:t>中共阿坝县纪律检查委员会</w:t>
      </w:r>
      <w:r>
        <w:rPr>
          <w:rFonts w:hint="default" w:ascii="Times New Roman" w:hAnsi="Times New Roman" w:eastAsia="仿宋_GB2312" w:cs="Times New Roman"/>
          <w:highlight w:val="none"/>
        </w:rPr>
        <w:t>整体支出预算及使用情况</w:t>
      </w:r>
      <w:bookmarkEnd w:id="21"/>
      <w:bookmarkEnd w:id="22"/>
      <w:bookmarkEnd w:id="23"/>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近三年部门整体运行资金需求呈</w:t>
      </w:r>
      <w:r>
        <w:rPr>
          <w:rFonts w:hint="eastAsia" w:eastAsia="仿宋_GB2312" w:cs="Times New Roman"/>
          <w:color w:val="000000"/>
          <w:kern w:val="0"/>
          <w:sz w:val="32"/>
          <w:szCs w:val="32"/>
          <w:highlight w:val="none"/>
          <w:lang w:val="en-US" w:eastAsia="zh-CN" w:bidi="ar"/>
        </w:rPr>
        <w:t>上升</w:t>
      </w:r>
      <w:r>
        <w:rPr>
          <w:rFonts w:hint="default" w:ascii="Times New Roman" w:hAnsi="Times New Roman" w:eastAsia="仿宋_GB2312" w:cs="Times New Roman"/>
          <w:color w:val="000000"/>
          <w:kern w:val="0"/>
          <w:sz w:val="32"/>
          <w:szCs w:val="32"/>
          <w:highlight w:val="none"/>
          <w:lang w:val="en-US" w:eastAsia="zh-CN" w:bidi="ar"/>
        </w:rPr>
        <w:t>趋势，预算数年均</w:t>
      </w:r>
      <w:r>
        <w:rPr>
          <w:rFonts w:hint="eastAsia" w:eastAsia="仿宋_GB2312" w:cs="Times New Roman"/>
          <w:color w:val="000000"/>
          <w:kern w:val="0"/>
          <w:sz w:val="32"/>
          <w:szCs w:val="32"/>
          <w:highlight w:val="none"/>
          <w:lang w:val="en-US" w:eastAsia="zh-CN" w:bidi="ar"/>
        </w:rPr>
        <w:t>增长</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8.26</w:t>
      </w:r>
      <w:r>
        <w:rPr>
          <w:rFonts w:hint="default" w:ascii="Times New Roman" w:hAnsi="Times New Roman" w:eastAsia="仿宋_GB2312" w:cs="Times New Roman"/>
          <w:color w:val="000000"/>
          <w:kern w:val="0"/>
          <w:sz w:val="32"/>
          <w:szCs w:val="32"/>
          <w:highlight w:val="none"/>
          <w:lang w:val="en-US" w:eastAsia="zh-CN" w:bidi="ar"/>
        </w:rPr>
        <w:t>%，支出数年均</w:t>
      </w:r>
      <w:r>
        <w:rPr>
          <w:rFonts w:hint="eastAsia" w:eastAsia="仿宋_GB2312" w:cs="Times New Roman"/>
          <w:color w:val="000000"/>
          <w:kern w:val="0"/>
          <w:sz w:val="32"/>
          <w:szCs w:val="32"/>
          <w:highlight w:val="none"/>
          <w:lang w:val="en-US" w:eastAsia="zh-CN" w:bidi="ar"/>
        </w:rPr>
        <w:t>增长</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8.55</w:t>
      </w:r>
      <w:r>
        <w:rPr>
          <w:rFonts w:hint="default" w:ascii="Times New Roman" w:hAnsi="Times New Roman" w:eastAsia="仿宋_GB2312" w:cs="Times New Roman"/>
          <w:color w:val="000000"/>
          <w:kern w:val="0"/>
          <w:sz w:val="32"/>
          <w:szCs w:val="32"/>
          <w:highlight w:val="none"/>
          <w:lang w:val="en-US" w:eastAsia="zh-CN" w:bidi="ar"/>
        </w:rPr>
        <w:t>%，预算执行率年平均为</w:t>
      </w:r>
      <w:r>
        <w:rPr>
          <w:rFonts w:hint="eastAsia" w:eastAsia="仿宋_GB2312" w:cs="Times New Roman"/>
          <w:color w:val="000000"/>
          <w:kern w:val="0"/>
          <w:sz w:val="32"/>
          <w:szCs w:val="32"/>
          <w:highlight w:val="none"/>
          <w:lang w:val="en-US" w:eastAsia="zh-CN" w:bidi="ar"/>
        </w:rPr>
        <w:t>99.90</w:t>
      </w:r>
      <w:r>
        <w:rPr>
          <w:rFonts w:hint="default" w:ascii="Times New Roman" w:hAnsi="Times New Roman" w:eastAsia="仿宋_GB2312" w:cs="Times New Roman"/>
          <w:color w:val="000000"/>
          <w:kern w:val="0"/>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2020-2022年中共阿坝县纪律检查委员会</w:t>
      </w:r>
      <w:r>
        <w:rPr>
          <w:rFonts w:hint="default" w:ascii="Times New Roman" w:hAnsi="Times New Roman" w:eastAsia="仿宋_GB2312" w:cs="Times New Roman"/>
          <w:color w:val="000000"/>
          <w:kern w:val="0"/>
          <w:sz w:val="32"/>
          <w:szCs w:val="32"/>
          <w:highlight w:val="none"/>
          <w:lang w:val="en-US" w:eastAsia="zh-CN" w:bidi="ar"/>
        </w:rPr>
        <w:t>整体支出基本支出及项目支出的预算执行情况变化如下：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722" w:firstLineChars="300"/>
        <w:jc w:val="center"/>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年部门整体支出</w:t>
      </w:r>
      <w:r>
        <w:rPr>
          <w:rFonts w:hint="default" w:ascii="Times New Roman" w:hAnsi="Times New Roman" w:eastAsia="仿宋_GB2312" w:cs="Times New Roman"/>
          <w:b/>
          <w:bCs/>
          <w:color w:val="000000"/>
          <w:kern w:val="0"/>
          <w:highlight w:val="none"/>
          <w:shd w:val="clear" w:color="auto" w:fill="FFFFFF"/>
        </w:rPr>
        <w:t>预算及执行情况</w:t>
      </w:r>
    </w:p>
    <w:tbl>
      <w:tblPr>
        <w:tblStyle w:val="40"/>
        <w:tblW w:w="4998"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336"/>
        <w:gridCol w:w="2877"/>
        <w:gridCol w:w="2877"/>
        <w:gridCol w:w="190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jc w:val="center"/>
        </w:trPr>
        <w:tc>
          <w:tcPr>
            <w:tcW w:w="742"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年份</w:t>
            </w:r>
          </w:p>
        </w:tc>
        <w:tc>
          <w:tcPr>
            <w:tcW w:w="159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预算安排（</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59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实际支出（</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059"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742"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2020年</w:t>
            </w:r>
          </w:p>
        </w:tc>
        <w:tc>
          <w:tcPr>
            <w:tcW w:w="1598" w:type="pct"/>
            <w:vAlign w:val="bottom"/>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1,048.08</w:t>
            </w:r>
          </w:p>
        </w:tc>
        <w:tc>
          <w:tcPr>
            <w:tcW w:w="1598" w:type="pct"/>
            <w:vAlign w:val="bottom"/>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 xml:space="preserve">1,045.08 </w:t>
            </w:r>
          </w:p>
        </w:tc>
        <w:tc>
          <w:tcPr>
            <w:tcW w:w="1059"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99.71%</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742"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2021年</w:t>
            </w:r>
          </w:p>
        </w:tc>
        <w:tc>
          <w:tcPr>
            <w:tcW w:w="1598" w:type="pct"/>
            <w:vAlign w:val="bottom"/>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 xml:space="preserve">1,074.91 </w:t>
            </w:r>
          </w:p>
        </w:tc>
        <w:tc>
          <w:tcPr>
            <w:tcW w:w="1598" w:type="pct"/>
            <w:vAlign w:val="bottom"/>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 xml:space="preserve">1,074.91 </w:t>
            </w:r>
          </w:p>
        </w:tc>
        <w:tc>
          <w:tcPr>
            <w:tcW w:w="1059"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742"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2022年</w:t>
            </w:r>
          </w:p>
        </w:tc>
        <w:tc>
          <w:tcPr>
            <w:tcW w:w="1598" w:type="pct"/>
            <w:vAlign w:val="bottom"/>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 xml:space="preserve">1,136.15 </w:t>
            </w:r>
          </w:p>
        </w:tc>
        <w:tc>
          <w:tcPr>
            <w:tcW w:w="1598" w:type="pct"/>
            <w:vAlign w:val="bottom"/>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 xml:space="preserve">1,136.15 </w:t>
            </w:r>
          </w:p>
        </w:tc>
        <w:tc>
          <w:tcPr>
            <w:tcW w:w="1059" w:type="pct"/>
            <w:vAlign w:val="center"/>
          </w:tcPr>
          <w:p>
            <w:pPr>
              <w:spacing w:line="360" w:lineRule="auto"/>
              <w:ind w:firstLine="0" w:firstLineChars="0"/>
              <w:jc w:val="cente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pPr>
            <w:r>
              <w:rPr>
                <w:rFonts w:hint="default" w:ascii="Times New Roman" w:hAnsi="Times New Roman" w:eastAsia="仿宋_GB2312" w:cs="Times New Roman"/>
                <w:b w:val="0"/>
                <w:bCs w:val="0"/>
                <w:color w:val="000000"/>
                <w:kern w:val="0"/>
                <w:sz w:val="24"/>
                <w:szCs w:val="24"/>
                <w:highlight w:val="none"/>
                <w:shd w:val="clear" w:color="auto" w:fill="FFFFFF"/>
                <w:lang w:val="en-US" w:eastAsia="zh-CN"/>
              </w:rPr>
              <w:t>100.00%</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lang w:val="en-US" w:eastAsia="zh-CN"/>
        </w:rPr>
        <w:t xml:space="preserve">图2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w:t>
      </w:r>
      <w:r>
        <w:rPr>
          <w:rFonts w:hint="default" w:ascii="Times New Roman" w:hAnsi="Times New Roman" w:eastAsia="仿宋_GB2312" w:cs="Times New Roman"/>
          <w:b/>
          <w:bCs/>
          <w:color w:val="000000"/>
          <w:kern w:val="0"/>
          <w:highlight w:val="none"/>
          <w:shd w:val="clear" w:color="auto" w:fill="FFFFFF"/>
        </w:rPr>
        <w:t>预算及执行情况图</w:t>
      </w:r>
    </w:p>
    <w:p>
      <w:pPr>
        <w:pStyle w:val="15"/>
        <w:ind w:left="0" w:leftChars="0" w:firstLine="0" w:firstLineChars="0"/>
        <w:jc w:val="center"/>
        <w:rPr>
          <w:rFonts w:hint="eastAsia" w:eastAsia="宋体"/>
          <w:highlight w:val="none"/>
          <w:lang w:eastAsia="zh-CN"/>
        </w:rPr>
      </w:pPr>
      <w:r>
        <w:rPr>
          <w:highlight w:val="none"/>
        </w:rPr>
        <w:drawing>
          <wp:inline distT="0" distB="0" distL="114300" distR="114300">
            <wp:extent cx="5574030" cy="2948305"/>
            <wp:effectExtent l="0" t="0" r="3810" b="825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7"/>
                    <a:stretch>
                      <a:fillRect/>
                    </a:stretch>
                  </pic:blipFill>
                  <pic:spPr>
                    <a:xfrm>
                      <a:off x="0" y="0"/>
                      <a:ext cx="5574030" cy="2948305"/>
                    </a:xfrm>
                    <a:prstGeom prst="rect">
                      <a:avLst/>
                    </a:prstGeom>
                    <a:noFill/>
                    <a:ln>
                      <a:noFill/>
                    </a:ln>
                  </pic:spPr>
                </pic:pic>
              </a:graphicData>
            </a:graphic>
          </wp:inline>
        </w:drawing>
      </w:r>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24" w:name="_Toc5877"/>
      <w:bookmarkStart w:id="25" w:name="_Toc55586771"/>
      <w:bookmarkStart w:id="26" w:name="_Toc16071"/>
      <w:r>
        <w:rPr>
          <w:rFonts w:hint="default" w:ascii="Times New Roman" w:hAnsi="Times New Roman" w:eastAsia="仿宋_GB2312" w:cs="Times New Roman"/>
          <w:highlight w:val="none"/>
        </w:rPr>
        <w:t>2、20</w:t>
      </w:r>
      <w:r>
        <w:rPr>
          <w:rFonts w:hint="default" w:ascii="Times New Roman" w:hAnsi="Times New Roman" w:eastAsia="仿宋_GB2312" w:cs="Times New Roman"/>
          <w:highlight w:val="none"/>
          <w:lang w:val="en-US" w:eastAsia="zh-CN"/>
        </w:rPr>
        <w:t>2</w:t>
      </w:r>
      <w:r>
        <w:rPr>
          <w:rFonts w:hint="eastAsia" w:eastAsia="仿宋_GB2312" w:cs="Times New Roman"/>
          <w:highlight w:val="none"/>
          <w:lang w:val="en-US" w:eastAsia="zh-CN"/>
        </w:rPr>
        <w:t>2</w:t>
      </w:r>
      <w:r>
        <w:rPr>
          <w:rFonts w:hint="default" w:ascii="Times New Roman" w:hAnsi="Times New Roman" w:eastAsia="仿宋_GB2312" w:cs="Times New Roman"/>
          <w:highlight w:val="none"/>
        </w:rPr>
        <w:t>年</w:t>
      </w:r>
      <w:r>
        <w:rPr>
          <w:rFonts w:hint="eastAsia" w:eastAsia="仿宋_GB2312" w:cs="Times New Roman"/>
          <w:highlight w:val="none"/>
          <w:lang w:eastAsia="zh-CN"/>
        </w:rPr>
        <w:t>中共阿坝县纪律检查委员会</w:t>
      </w:r>
      <w:r>
        <w:rPr>
          <w:rFonts w:hint="default" w:ascii="Times New Roman" w:hAnsi="Times New Roman" w:eastAsia="仿宋_GB2312" w:cs="Times New Roman"/>
          <w:highlight w:val="none"/>
        </w:rPr>
        <w:t>预算及支出情况</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（1）预算资金来源</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年初预算数为</w:t>
      </w:r>
      <w:r>
        <w:rPr>
          <w:rFonts w:hint="eastAsia" w:eastAsia="仿宋_GB2312" w:cs="Times New Roman"/>
          <w:color w:val="000000"/>
          <w:kern w:val="0"/>
          <w:sz w:val="32"/>
          <w:szCs w:val="32"/>
          <w:highlight w:val="none"/>
          <w:lang w:val="en-US" w:eastAsia="zh-CN" w:bidi="ar"/>
        </w:rPr>
        <w:t>728.36</w:t>
      </w:r>
      <w:r>
        <w:rPr>
          <w:rFonts w:hint="default" w:ascii="Times New Roman" w:hAnsi="Times New Roman" w:eastAsia="仿宋_GB2312" w:cs="Times New Roman"/>
          <w:color w:val="000000"/>
          <w:kern w:val="0"/>
          <w:sz w:val="32"/>
          <w:szCs w:val="32"/>
          <w:highlight w:val="none"/>
          <w:lang w:val="en-US" w:eastAsia="zh-CN" w:bidi="ar"/>
        </w:rPr>
        <w:t>万元，资金来源于财政拨款。</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（2）预算调整</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执行过程中调整</w:t>
      </w:r>
      <w:r>
        <w:rPr>
          <w:rFonts w:hint="eastAsia" w:eastAsia="仿宋_GB2312" w:cs="Times New Roman"/>
          <w:color w:val="000000"/>
          <w:kern w:val="0"/>
          <w:sz w:val="32"/>
          <w:szCs w:val="32"/>
          <w:highlight w:val="none"/>
          <w:lang w:val="en-US" w:eastAsia="zh-CN" w:bidi="ar"/>
        </w:rPr>
        <w:t>增加</w:t>
      </w:r>
      <w:r>
        <w:rPr>
          <w:rFonts w:hint="default" w:ascii="Times New Roman" w:hAnsi="Times New Roman" w:eastAsia="仿宋_GB2312" w:cs="Times New Roman"/>
          <w:color w:val="000000"/>
          <w:kern w:val="0"/>
          <w:sz w:val="32"/>
          <w:szCs w:val="32"/>
          <w:highlight w:val="none"/>
          <w:lang w:val="en-US" w:eastAsia="zh-CN" w:bidi="ar"/>
        </w:rPr>
        <w:t>基本支出预算</w:t>
      </w:r>
      <w:r>
        <w:rPr>
          <w:rFonts w:hint="eastAsia" w:eastAsia="仿宋_GB2312" w:cs="Times New Roman"/>
          <w:color w:val="000000"/>
          <w:kern w:val="0"/>
          <w:sz w:val="32"/>
          <w:szCs w:val="32"/>
          <w:highlight w:val="none"/>
          <w:lang w:val="en-US" w:eastAsia="zh-CN" w:bidi="ar"/>
        </w:rPr>
        <w:t>364.32</w:t>
      </w:r>
      <w:r>
        <w:rPr>
          <w:rFonts w:hint="default"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调整</w:t>
      </w:r>
      <w:r>
        <w:rPr>
          <w:rFonts w:hint="eastAsia" w:eastAsia="仿宋_GB2312" w:cs="Times New Roman"/>
          <w:color w:val="000000"/>
          <w:kern w:val="0"/>
          <w:sz w:val="32"/>
          <w:szCs w:val="32"/>
          <w:highlight w:val="none"/>
          <w:lang w:val="en-US" w:eastAsia="zh-CN" w:bidi="ar"/>
        </w:rPr>
        <w:t>增加项目</w:t>
      </w:r>
      <w:r>
        <w:rPr>
          <w:rFonts w:hint="default" w:ascii="Times New Roman" w:hAnsi="Times New Roman" w:eastAsia="仿宋_GB2312" w:cs="Times New Roman"/>
          <w:color w:val="000000"/>
          <w:kern w:val="0"/>
          <w:sz w:val="32"/>
          <w:szCs w:val="32"/>
          <w:highlight w:val="none"/>
          <w:lang w:val="en-US" w:eastAsia="zh-CN" w:bidi="ar"/>
        </w:rPr>
        <w:t>支出预算</w:t>
      </w:r>
      <w:r>
        <w:rPr>
          <w:rFonts w:hint="eastAsia" w:eastAsia="仿宋_GB2312" w:cs="Times New Roman"/>
          <w:color w:val="000000"/>
          <w:kern w:val="0"/>
          <w:sz w:val="32"/>
          <w:szCs w:val="32"/>
          <w:highlight w:val="none"/>
          <w:lang w:val="en-US" w:eastAsia="zh-CN" w:bidi="ar"/>
        </w:rPr>
        <w:t>43.47</w:t>
      </w:r>
      <w:r>
        <w:rPr>
          <w:rFonts w:hint="default" w:ascii="Times New Roman" w:hAnsi="Times New Roman" w:eastAsia="仿宋_GB2312" w:cs="Times New Roman"/>
          <w:color w:val="000000"/>
          <w:kern w:val="0"/>
          <w:sz w:val="32"/>
          <w:szCs w:val="32"/>
          <w:highlight w:val="none"/>
          <w:lang w:val="en-US" w:eastAsia="zh-CN" w:bidi="ar"/>
        </w:rPr>
        <w:t>万元。</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3</w:t>
      </w:r>
      <w:r>
        <w:rPr>
          <w:rFonts w:hint="default" w:ascii="Times New Roman" w:hAnsi="Times New Roman" w:eastAsia="仿宋_GB2312" w:cs="Times New Roman"/>
          <w:b/>
          <w:bCs/>
          <w:color w:val="000000"/>
          <w:kern w:val="0"/>
          <w:highlight w:val="none"/>
          <w:lang w:bidi="ar"/>
        </w:rPr>
        <w:t xml:space="preserve"> 预算调整表</w:t>
      </w:r>
    </w:p>
    <w:tbl>
      <w:tblPr>
        <w:tblStyle w:val="40"/>
        <w:tblW w:w="8931"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89"/>
        <w:gridCol w:w="1917"/>
        <w:gridCol w:w="1929"/>
        <w:gridCol w:w="1929"/>
        <w:gridCol w:w="196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trPr>
        <w:tc>
          <w:tcPr>
            <w:tcW w:w="118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color w:val="000000"/>
                <w:kern w:val="0"/>
                <w:highlight w:val="none"/>
                <w:lang w:bidi="ar"/>
              </w:rPr>
              <w:t>项目</w:t>
            </w:r>
          </w:p>
        </w:tc>
        <w:tc>
          <w:tcPr>
            <w:tcW w:w="191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年初预算数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6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调整后占比（%）</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基本支出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 xml:space="preserve">728.36 </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 xml:space="preserve">364.32 </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 xml:space="preserve">1,092.68 </w:t>
            </w:r>
          </w:p>
        </w:tc>
        <w:tc>
          <w:tcPr>
            <w:tcW w:w="1967"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96.17%</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项目支出</w:t>
            </w:r>
          </w:p>
        </w:tc>
        <w:tc>
          <w:tcPr>
            <w:tcW w:w="1917"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0</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43.47</w:t>
            </w:r>
          </w:p>
        </w:tc>
        <w:tc>
          <w:tcPr>
            <w:tcW w:w="1929" w:type="dxa"/>
            <w:shd w:val="clear" w:color="auto" w:fill="auto"/>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43.47</w:t>
            </w:r>
          </w:p>
        </w:tc>
        <w:tc>
          <w:tcPr>
            <w:tcW w:w="1967"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3.83%</w:t>
            </w:r>
          </w:p>
        </w:tc>
      </w:tr>
    </w:tbl>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（3）实际资金支出情况</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整体支出调整后预算为</w:t>
      </w:r>
      <w:r>
        <w:rPr>
          <w:rFonts w:hint="eastAsia" w:eastAsia="仿宋_GB2312" w:cs="Times New Roman"/>
          <w:color w:val="000000"/>
          <w:kern w:val="0"/>
          <w:sz w:val="32"/>
          <w:szCs w:val="32"/>
          <w:highlight w:val="none"/>
          <w:lang w:val="en-US" w:eastAsia="zh-CN" w:bidi="ar"/>
        </w:rPr>
        <w:t>1,136.15</w:t>
      </w:r>
      <w:r>
        <w:rPr>
          <w:rFonts w:hint="default" w:ascii="Times New Roman" w:hAnsi="Times New Roman" w:eastAsia="仿宋_GB2312" w:cs="Times New Roman"/>
          <w:color w:val="000000"/>
          <w:kern w:val="0"/>
          <w:sz w:val="32"/>
          <w:szCs w:val="32"/>
          <w:highlight w:val="none"/>
          <w:lang w:val="en-US" w:eastAsia="zh-CN" w:bidi="ar"/>
        </w:rPr>
        <w:t>万元，实际支出为</w:t>
      </w:r>
      <w:r>
        <w:rPr>
          <w:rFonts w:hint="eastAsia" w:eastAsia="仿宋_GB2312" w:cs="Times New Roman"/>
          <w:color w:val="000000"/>
          <w:kern w:val="0"/>
          <w:sz w:val="32"/>
          <w:szCs w:val="32"/>
          <w:highlight w:val="none"/>
          <w:lang w:val="en-US" w:eastAsia="zh-CN" w:bidi="ar"/>
        </w:rPr>
        <w:t>1,136.15</w:t>
      </w:r>
      <w:r>
        <w:rPr>
          <w:rFonts w:hint="default" w:ascii="Times New Roman" w:hAnsi="Times New Roman" w:eastAsia="仿宋_GB2312" w:cs="Times New Roman"/>
          <w:color w:val="000000"/>
          <w:kern w:val="0"/>
          <w:sz w:val="32"/>
          <w:szCs w:val="32"/>
          <w:highlight w:val="none"/>
          <w:lang w:val="en-US" w:eastAsia="zh-CN" w:bidi="ar"/>
        </w:rPr>
        <w:t>万元，预算执行率为</w:t>
      </w:r>
      <w:r>
        <w:rPr>
          <w:rFonts w:hint="eastAsia" w:eastAsia="仿宋_GB2312" w:cs="Times New Roman"/>
          <w:color w:val="000000"/>
          <w:kern w:val="0"/>
          <w:sz w:val="32"/>
          <w:szCs w:val="32"/>
          <w:highlight w:val="none"/>
          <w:lang w:val="en-US" w:eastAsia="zh-CN" w:bidi="ar"/>
        </w:rPr>
        <w:t>100</w:t>
      </w:r>
      <w:r>
        <w:rPr>
          <w:rFonts w:hint="default" w:ascii="Times New Roman" w:hAnsi="Times New Roman" w:eastAsia="仿宋_GB2312" w:cs="Times New Roman"/>
          <w:color w:val="000000"/>
          <w:kern w:val="0"/>
          <w:sz w:val="32"/>
          <w:szCs w:val="32"/>
          <w:highlight w:val="none"/>
          <w:lang w:val="en-US" w:eastAsia="zh-CN" w:bidi="ar"/>
        </w:rPr>
        <w:t>%。</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表4</w:t>
      </w:r>
      <w:r>
        <w:rPr>
          <w:rFonts w:hint="default" w:ascii="Times New Roman" w:hAnsi="Times New Roman" w:eastAsia="仿宋_GB2312" w:cs="Times New Roman"/>
          <w:b/>
          <w:bCs/>
          <w:color w:val="000000"/>
          <w:kern w:val="0"/>
          <w:highlight w:val="none"/>
          <w:lang w:bidi="ar"/>
        </w:rPr>
        <w:t xml:space="preserve"> 20</w:t>
      </w:r>
      <w:r>
        <w:rPr>
          <w:rFonts w:hint="default" w:ascii="Times New Roman" w:hAnsi="Times New Roman" w:eastAsia="仿宋_GB2312" w:cs="Times New Roman"/>
          <w:b/>
          <w:bCs/>
          <w:color w:val="000000"/>
          <w:kern w:val="0"/>
          <w:highlight w:val="none"/>
          <w:lang w:val="en-US" w:eastAsia="zh-CN" w:bidi="ar"/>
        </w:rPr>
        <w:t>2</w:t>
      </w:r>
      <w:r>
        <w:rPr>
          <w:rFonts w:hint="eastAsia" w:eastAsia="仿宋_GB2312" w:cs="Times New Roman"/>
          <w:b/>
          <w:bCs/>
          <w:color w:val="000000"/>
          <w:kern w:val="0"/>
          <w:highlight w:val="none"/>
          <w:lang w:val="en-US" w:eastAsia="zh-CN" w:bidi="ar"/>
        </w:rPr>
        <w:t>2</w:t>
      </w:r>
      <w:r>
        <w:rPr>
          <w:rFonts w:hint="default" w:ascii="Times New Roman" w:hAnsi="Times New Roman" w:eastAsia="仿宋_GB2312" w:cs="Times New Roman"/>
          <w:b/>
          <w:bCs/>
          <w:color w:val="000000"/>
          <w:kern w:val="0"/>
          <w:highlight w:val="none"/>
          <w:lang w:bidi="ar"/>
        </w:rPr>
        <w:t>年实际资金支出情况表</w:t>
      </w:r>
    </w:p>
    <w:tbl>
      <w:tblPr>
        <w:tblStyle w:val="40"/>
        <w:tblW w:w="4919"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599"/>
        <w:gridCol w:w="2444"/>
        <w:gridCol w:w="2385"/>
        <w:gridCol w:w="242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jc w:val="center"/>
        </w:trPr>
        <w:tc>
          <w:tcPr>
            <w:tcW w:w="903"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项目</w:t>
            </w:r>
          </w:p>
        </w:tc>
        <w:tc>
          <w:tcPr>
            <w:tcW w:w="1379"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46"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实际支出数（</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70"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基本支出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color w:val="000000"/>
                <w:kern w:val="0"/>
                <w:highlight w:val="none"/>
                <w:lang w:val="en-US" w:eastAsia="zh-CN" w:bidi="ar"/>
              </w:rPr>
              <w:t xml:space="preserve">1,092.68 </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color w:val="000000"/>
                <w:kern w:val="0"/>
                <w:highlight w:val="none"/>
                <w:lang w:val="en-US" w:eastAsia="zh-CN" w:bidi="ar"/>
              </w:rPr>
              <w:t xml:space="preserve">1,092.68 </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项目支出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color w:val="000000"/>
                <w:kern w:val="0"/>
                <w:highlight w:val="none"/>
                <w:lang w:val="en-US" w:eastAsia="zh-CN" w:bidi="ar"/>
              </w:rPr>
              <w:t>43.47</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default" w:ascii="Times New Roman" w:hAnsi="Times New Roman" w:eastAsia="仿宋_GB2312" w:cs="Times New Roman"/>
                <w:color w:val="000000"/>
                <w:kern w:val="0"/>
                <w:highlight w:val="none"/>
                <w:lang w:val="en-US" w:eastAsia="zh-CN" w:bidi="ar"/>
              </w:rPr>
              <w:t>43.47</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bl>
    <w:p>
      <w:pPr>
        <w:pStyle w:val="66"/>
        <w:spacing w:before="156" w:after="156" w:line="600" w:lineRule="exact"/>
        <w:ind w:firstLine="640"/>
        <w:rPr>
          <w:rFonts w:hint="default" w:ascii="Times New Roman" w:hAnsi="Times New Roman" w:eastAsia="楷体_GB2312" w:cs="Times New Roman"/>
          <w:color w:val="auto"/>
          <w:sz w:val="32"/>
          <w:highlight w:val="none"/>
          <w:lang w:val="en-US" w:eastAsia="zh-CN"/>
        </w:rPr>
      </w:pPr>
      <w:bookmarkStart w:id="27" w:name="_Toc15488"/>
      <w:bookmarkStart w:id="28" w:name="_Toc17589"/>
      <w:r>
        <w:rPr>
          <w:rFonts w:hint="default" w:ascii="Times New Roman" w:hAnsi="Times New Roman" w:eastAsia="楷体_GB2312" w:cs="Times New Roman"/>
          <w:color w:val="auto"/>
          <w:sz w:val="32"/>
          <w:highlight w:val="none"/>
          <w:lang w:val="en-US" w:eastAsia="zh-CN"/>
        </w:rPr>
        <w:t>（三）部门固定资产</w:t>
      </w:r>
      <w:bookmarkEnd w:id="2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年12月31日，</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固定资产系统记载数为</w:t>
      </w:r>
      <w:r>
        <w:rPr>
          <w:rFonts w:hint="eastAsia" w:eastAsia="仿宋_GB2312" w:cs="Times New Roman"/>
          <w:color w:val="000000"/>
          <w:kern w:val="0"/>
          <w:sz w:val="32"/>
          <w:szCs w:val="32"/>
          <w:highlight w:val="none"/>
          <w:lang w:val="en-US" w:eastAsia="zh-CN" w:bidi="ar"/>
        </w:rPr>
        <w:t>291.20</w:t>
      </w:r>
      <w:r>
        <w:rPr>
          <w:rFonts w:hint="default" w:ascii="Times New Roman" w:hAnsi="Times New Roman" w:eastAsia="仿宋_GB2312" w:cs="Times New Roman"/>
          <w:color w:val="000000"/>
          <w:kern w:val="0"/>
          <w:sz w:val="32"/>
          <w:szCs w:val="32"/>
          <w:highlight w:val="none"/>
          <w:lang w:val="en-US" w:eastAsia="zh-CN" w:bidi="ar"/>
        </w:rPr>
        <w:t>万元，固定资产账簿记载数据为</w:t>
      </w:r>
      <w:r>
        <w:rPr>
          <w:rFonts w:hint="eastAsia" w:eastAsia="仿宋_GB2312" w:cs="Times New Roman"/>
          <w:color w:val="000000"/>
          <w:kern w:val="0"/>
          <w:sz w:val="32"/>
          <w:szCs w:val="32"/>
          <w:highlight w:val="none"/>
          <w:lang w:val="en-US" w:eastAsia="zh-CN" w:bidi="ar"/>
        </w:rPr>
        <w:t>291.20</w:t>
      </w:r>
      <w:r>
        <w:rPr>
          <w:rFonts w:hint="default" w:ascii="Times New Roman" w:hAnsi="Times New Roman" w:eastAsia="仿宋_GB2312" w:cs="Times New Roman"/>
          <w:color w:val="000000"/>
          <w:kern w:val="0"/>
          <w:sz w:val="32"/>
          <w:szCs w:val="32"/>
          <w:highlight w:val="none"/>
          <w:lang w:val="en-US" w:eastAsia="zh-CN" w:bidi="ar"/>
        </w:rPr>
        <w:t>万元，固定资产系统记载数与固定资产账簿记载数一致</w:t>
      </w:r>
      <w:r>
        <w:rPr>
          <w:rFonts w:hint="eastAsia"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pacing w:line="600" w:lineRule="exact"/>
        <w:ind w:firstLine="48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5 </w:t>
      </w:r>
      <w:r>
        <w:rPr>
          <w:rFonts w:hint="default" w:ascii="Times New Roman" w:hAnsi="Times New Roman" w:eastAsia="仿宋_GB2312" w:cs="Times New Roman"/>
          <w:b/>
          <w:bCs/>
          <w:color w:val="000000"/>
          <w:kern w:val="0"/>
          <w:highlight w:val="none"/>
          <w:shd w:val="clear" w:color="auto" w:fill="FFFFFF"/>
        </w:rPr>
        <w:t>20</w:t>
      </w:r>
      <w:r>
        <w:rPr>
          <w:rFonts w:hint="default" w:ascii="Times New Roman" w:hAnsi="Times New Roman"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val="en-US" w:eastAsia="zh-CN"/>
        </w:rPr>
        <w:t>2</w:t>
      </w:r>
      <w:r>
        <w:rPr>
          <w:rFonts w:hint="default" w:ascii="Times New Roman" w:hAnsi="Times New Roman" w:eastAsia="仿宋_GB2312" w:cs="Times New Roman"/>
          <w:b/>
          <w:bCs/>
          <w:color w:val="000000"/>
          <w:kern w:val="0"/>
          <w:highlight w:val="none"/>
          <w:shd w:val="clear" w:color="auto" w:fill="FFFFFF"/>
        </w:rPr>
        <w:t>年固定资产增减变动情况表</w:t>
      </w:r>
    </w:p>
    <w:tbl>
      <w:tblPr>
        <w:tblStyle w:val="40"/>
        <w:tblW w:w="9126"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13"/>
        <w:gridCol w:w="1600"/>
        <w:gridCol w:w="1687"/>
        <w:gridCol w:w="1838"/>
        <w:gridCol w:w="168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blHeader/>
        </w:trPr>
        <w:tc>
          <w:tcPr>
            <w:tcW w:w="2313"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类别</w:t>
            </w:r>
          </w:p>
        </w:tc>
        <w:tc>
          <w:tcPr>
            <w:tcW w:w="1600"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期初数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7"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本期增加</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83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本期减少</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期末数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固定资产系统数据</w:t>
            </w:r>
          </w:p>
        </w:tc>
        <w:tc>
          <w:tcPr>
            <w:tcW w:w="1600"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280.97</w:t>
            </w:r>
          </w:p>
        </w:tc>
        <w:tc>
          <w:tcPr>
            <w:tcW w:w="1687"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34.66</w:t>
            </w:r>
          </w:p>
        </w:tc>
        <w:tc>
          <w:tcPr>
            <w:tcW w:w="1838"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24.43</w:t>
            </w:r>
          </w:p>
        </w:tc>
        <w:tc>
          <w:tcPr>
            <w:tcW w:w="1688"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291.2</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总账数据</w:t>
            </w:r>
          </w:p>
        </w:tc>
        <w:tc>
          <w:tcPr>
            <w:tcW w:w="1600"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280.97</w:t>
            </w:r>
          </w:p>
        </w:tc>
        <w:tc>
          <w:tcPr>
            <w:tcW w:w="1687"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34.66</w:t>
            </w:r>
          </w:p>
        </w:tc>
        <w:tc>
          <w:tcPr>
            <w:tcW w:w="1838"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24.43</w:t>
            </w:r>
          </w:p>
        </w:tc>
        <w:tc>
          <w:tcPr>
            <w:tcW w:w="1688" w:type="dxa"/>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291.2</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rPr>
      </w:pPr>
      <w:bookmarkStart w:id="29" w:name="_Toc11450"/>
      <w:r>
        <w:rPr>
          <w:rFonts w:hint="default" w:ascii="Times New Roman" w:hAnsi="Times New Roman" w:eastAsia="楷体_GB2312" w:cs="Times New Roman"/>
          <w:color w:val="auto"/>
          <w:sz w:val="32"/>
          <w:highlight w:val="none"/>
        </w:rPr>
        <w:t>（四）部门管理</w:t>
      </w:r>
      <w:bookmarkEnd w:id="28"/>
      <w:bookmarkEnd w:id="29"/>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30" w:name="_Toc11237"/>
      <w:bookmarkStart w:id="31" w:name="_Toc55586776"/>
      <w:bookmarkStart w:id="32" w:name="_Toc4939"/>
      <w:bookmarkStart w:id="33" w:name="_Toc55586777"/>
      <w:r>
        <w:rPr>
          <w:rFonts w:hint="default" w:ascii="Times New Roman" w:hAnsi="Times New Roman" w:eastAsia="仿宋_GB2312" w:cs="Times New Roman"/>
          <w:highlight w:val="none"/>
        </w:rPr>
        <w:t>1、决策管理</w:t>
      </w:r>
      <w:bookmarkEnd w:id="30"/>
      <w:bookmarkEnd w:id="31"/>
      <w:bookmarkEnd w:id="32"/>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为健全和完善民主集中制，规范单位会议重大事项、重要干部任免及人事问题、重要项目安排和大额资金使用等决策行为，中共阿坝县纪律检查委员会制定了《“三重一大”决策制度》，凡属“三重一大”事项，除遇重大突发事件和紧急情况外，应由单位以会议形式集体讨论决定，不得以传阅、会签或者个别征求意见等方式代替集体决策。“三重一大”包括研究决定单位意识形态、思想政治工作、保密工作，年度工作计划目标及重大部署，制定、修改重要工作制度、程序等，重要干部任免及人事问题，重要项目安排及大额资金使用等内容。办公室会议讨论决定，班子成员应对决策建议逐个明确表示同意、不同意或缓议。</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34" w:name="_Toc8078"/>
      <w:bookmarkStart w:id="35" w:name="_Toc4984"/>
      <w:r>
        <w:rPr>
          <w:rFonts w:hint="default" w:ascii="Times New Roman" w:hAnsi="Times New Roman" w:eastAsia="仿宋_GB2312" w:cs="Times New Roman"/>
          <w:highlight w:val="none"/>
        </w:rPr>
        <w:t>2、财务管理</w:t>
      </w:r>
      <w:bookmarkEnd w:id="33"/>
      <w:bookmarkEnd w:id="34"/>
      <w:bookmarkEnd w:id="35"/>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共阿坝县纪律检查委员会年度预算由财务室根据预算编制的各项政策、标准、方法进行编制，确保人员、项目等基础信息真实，各项收支计划的数据真实完整，填写准确，报送及时。单位在接收县财政局下发的年度预算编制的通知后，召开预算编制布置会，在财政要求的时间内会计编制《年度预算表》，通过办公室负责人、分管财务领导审核、办公室会议决议并编写《会议纪要》，筛选通过后报县财政局审核。财政预算拨款，由财务室按财政要求入账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（2）收支管理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按照中共阿坝县纪律检查委员会财务管理要求，经费报销由经手人、办公室负责人对发票和事项的真实性、合法性负责。经办人确保其提供的票据、公函、通知相关的支出文件、收货单、合同、政府采购审批手续和结算清单等原始附件的真实、准确。财务人员对报账手续和资料的完整性、规范性负责。所有收入活动必须纳入单位财务管理中，并按照财务会计制度的要求进行会计记录。不得将财政性资金或者其他公款以个人名义私存私放、设立账外账，杜绝各种设立“小金库”行为</w:t>
      </w:r>
      <w:r>
        <w:rPr>
          <w:rFonts w:hint="default" w:ascii="Times New Roman" w:hAnsi="Times New Roman" w:eastAsia="仿宋_GB2312" w:cs="Times New Roman"/>
          <w:color w:val="000000"/>
          <w:kern w:val="0"/>
          <w:sz w:val="32"/>
          <w:szCs w:val="32"/>
          <w:highlight w:val="none"/>
          <w:lang w:val="en-US" w:eastAsia="zh-CN" w:bidi="ar"/>
        </w:rPr>
        <w:t>。</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36" w:name="_Toc18895"/>
      <w:bookmarkStart w:id="37" w:name="_Toc10"/>
      <w:bookmarkStart w:id="38" w:name="_Toc55586778"/>
      <w:r>
        <w:rPr>
          <w:rFonts w:hint="default" w:ascii="Times New Roman" w:hAnsi="Times New Roman" w:eastAsia="仿宋_GB2312" w:cs="Times New Roman"/>
          <w:highlight w:val="none"/>
        </w:rPr>
        <w:t>3、资产管理</w:t>
      </w:r>
      <w:bookmarkEnd w:id="36"/>
      <w:bookmarkEnd w:id="37"/>
      <w:bookmarkEnd w:id="38"/>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按照中共阿坝县纪律检查委员会财务管理要求，管理固定资产实物台账的管理人员和会计核实确定固定资产超过使用年限不能使用的要及时造册，按固定资产处理程序经会计审核报常委会审批后，报县国资管理中心审批，待县国有资产管理中心批复后，对相关固定资产进行账务处理，即进行资产外部调拨、毁损报废处置。要进行清理核销，防止账实不符。</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使用期限在一年以上，一般设备单价在1000元以上，专用设备单价在1500元以上的，单价不足以上单位金额，但批量购入超过以上单位金额的同时计入固定资产。各室填报申报单→交办公室汇总→报纪委常委会审批→办公室组织采购→办公室依属性进行实物登记台账管理（分低值易耗品或固定资产）→各室签收领用。经办人填单报销，财务会计入经费支出账，固定资产账。做到账实相符，防止国有资产流失。</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每年年初对固定资产进行一次全面清理。主要评价固定资产的实有数与账面数是否相等，保管、使用、维护等情况是否正常。对盘盈的固定资产应及时入帐；对盘亏的固定资产，属于不可抗拒原因造成的，应当及时办理核销。属于责任事故或违纪违法行为造成的，由当事人承担相应的经济赔偿责任。</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资产赠予、报废、接收赠予的固定资产，须经办公室办理相关的固定资产审批手续，以作相应的固定资产增减财务处理。资产处置变价和残值收入，要严格按照资产处置制度执行。</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 w:cs="Times New Roman"/>
          <w:color w:val="auto"/>
          <w:sz w:val="32"/>
          <w:highlight w:val="none"/>
          <w:lang w:val="en-US" w:eastAsia="zh-CN"/>
        </w:rPr>
      </w:pPr>
      <w:bookmarkStart w:id="39" w:name="_Toc28955"/>
      <w:r>
        <w:rPr>
          <w:rFonts w:hint="default" w:ascii="Times New Roman" w:hAnsi="Times New Roman" w:eastAsia="楷体_GB2312" w:cs="Times New Roman"/>
          <w:color w:val="auto"/>
          <w:sz w:val="32"/>
          <w:highlight w:val="none"/>
        </w:rPr>
        <w:t>（五）</w:t>
      </w:r>
      <w:r>
        <w:rPr>
          <w:rFonts w:hint="eastAsia" w:ascii="Times New Roman" w:hAnsi="Times New Roman" w:eastAsia="楷体_GB2312" w:cs="Times New Roman"/>
          <w:color w:val="auto"/>
          <w:sz w:val="32"/>
          <w:highlight w:val="none"/>
          <w:lang w:eastAsia="zh-CN"/>
        </w:rPr>
        <w:t>中共阿坝县纪律检查委员会</w:t>
      </w:r>
      <w:r>
        <w:rPr>
          <w:rFonts w:hint="default" w:ascii="Times New Roman" w:hAnsi="Times New Roman" w:eastAsia="楷体_GB2312" w:cs="Times New Roman"/>
          <w:color w:val="auto"/>
          <w:sz w:val="32"/>
          <w:highlight w:val="none"/>
        </w:rPr>
        <w:t>202</w:t>
      </w:r>
      <w:r>
        <w:rPr>
          <w:rFonts w:hint="eastAsia" w:ascii="Times New Roman" w:hAnsi="Times New Roman" w:eastAsia="楷体_GB2312" w:cs="Times New Roman"/>
          <w:color w:val="auto"/>
          <w:sz w:val="32"/>
          <w:highlight w:val="none"/>
          <w:lang w:val="en-US" w:eastAsia="zh-CN"/>
        </w:rPr>
        <w:t>2</w:t>
      </w:r>
      <w:r>
        <w:rPr>
          <w:rFonts w:hint="default" w:ascii="Times New Roman" w:hAnsi="Times New Roman" w:eastAsia="楷体_GB2312" w:cs="Times New Roman"/>
          <w:color w:val="auto"/>
          <w:sz w:val="32"/>
          <w:highlight w:val="none"/>
        </w:rPr>
        <w:t>年</w:t>
      </w:r>
      <w:r>
        <w:rPr>
          <w:rFonts w:hint="eastAsia" w:ascii="Times New Roman" w:hAnsi="Times New Roman" w:eastAsia="楷体_GB2312" w:cs="Times New Roman"/>
          <w:b/>
          <w:bCs/>
          <w:color w:val="auto"/>
          <w:kern w:val="2"/>
          <w:sz w:val="32"/>
          <w:szCs w:val="32"/>
          <w:highlight w:val="none"/>
          <w:lang w:val="en-US" w:eastAsia="zh-CN" w:bidi="ar-SA"/>
        </w:rPr>
        <w:t>重点工作</w:t>
      </w:r>
      <w:bookmarkEnd w:id="39"/>
    </w:p>
    <w:bookmarkEnd w:id="7"/>
    <w:bookmarkEnd w:id="8"/>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楷体_GB2312" w:cs="Times New Roman"/>
          <w:b/>
          <w:bCs/>
          <w:color w:val="auto"/>
          <w:kern w:val="2"/>
          <w:sz w:val="32"/>
          <w:szCs w:val="32"/>
          <w:highlight w:val="none"/>
          <w:lang w:val="en-US" w:eastAsia="zh-CN" w:bidi="ar-SA"/>
        </w:rPr>
        <w:t>中共阿坝县纪律检查委员会</w:t>
      </w:r>
      <w:r>
        <w:rPr>
          <w:rFonts w:hint="eastAsia" w:ascii="Times New Roman" w:hAnsi="Times New Roman" w:eastAsia="楷体_GB2312" w:cs="Times New Roman"/>
          <w:b/>
          <w:bCs/>
          <w:color w:val="auto"/>
          <w:kern w:val="2"/>
          <w:sz w:val="32"/>
          <w:szCs w:val="32"/>
          <w:highlight w:val="none"/>
          <w:lang w:val="en-US" w:eastAsia="zh-CN" w:bidi="ar-SA"/>
        </w:rPr>
        <w:t>202</w:t>
      </w:r>
      <w:r>
        <w:rPr>
          <w:rFonts w:hint="eastAsia" w:eastAsia="楷体_GB2312" w:cs="Times New Roman"/>
          <w:b/>
          <w:bCs/>
          <w:color w:val="auto"/>
          <w:kern w:val="2"/>
          <w:sz w:val="32"/>
          <w:szCs w:val="32"/>
          <w:highlight w:val="none"/>
          <w:lang w:val="en-US" w:eastAsia="zh-CN" w:bidi="ar-SA"/>
        </w:rPr>
        <w:t>2</w:t>
      </w:r>
      <w:r>
        <w:rPr>
          <w:rFonts w:hint="eastAsia" w:ascii="Times New Roman" w:hAnsi="Times New Roman" w:eastAsia="楷体_GB2312" w:cs="Times New Roman"/>
          <w:b/>
          <w:bCs/>
          <w:color w:val="auto"/>
          <w:kern w:val="2"/>
          <w:sz w:val="32"/>
          <w:szCs w:val="32"/>
          <w:highlight w:val="none"/>
          <w:lang w:val="en-US" w:eastAsia="zh-CN" w:bidi="ar-SA"/>
        </w:rPr>
        <w:t>年重点工作：</w:t>
      </w:r>
      <w:r>
        <w:rPr>
          <w:rFonts w:hint="eastAsia" w:ascii="Times New Roman" w:hAnsi="Times New Roman" w:eastAsia="仿宋_GB2312" w:cs="Times New Roman"/>
          <w:color w:val="000000"/>
          <w:kern w:val="0"/>
          <w:sz w:val="32"/>
          <w:szCs w:val="32"/>
          <w:highlight w:val="none"/>
          <w:lang w:val="en-US" w:eastAsia="zh-CN" w:bidi="ar"/>
        </w:rPr>
        <w:t>被评价单位的具体完成工作内容涉密不予公开。202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年重点工作大致概括为</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县纪委监委坚持以习近平新时代中国特色社会主义思想为指导</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从严落实管党治党政治责任</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坚定不移全面推进廉洁阿坝建设</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坚决有力净化修复政治生态</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全面从严治党向纵深推进。在阿坝州纪委和阿坝县委的坚强领导下</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全县纪检监察组织增强“四个意识”、坚定“四个自信”、做到“两个维护”</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在防控疫情斗争、决胜全面建成小康社会等大战大考中忠诚履职尽责</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充分发挥监督保障执行、促进完善发展作用</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坚定稳妥、稳中求进推进正风肃纪反腐</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为推动新时代阿坝县新发展提供了坚强保障。重点抓好以下工作：突出政治监督，坚决扛起“两个维护”重大政治责任</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坚决维护民利，深入整治群众身边腐败和不正之风</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聚焦主责主业，充分发挥监督保障作用</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加大惩治力度，坚持把高压反腐贯彻始终</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深化政治巡察，利剑作用得到充分彰显</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加强自身建设，着力把干部队伍打造过硬。</w:t>
      </w: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40" w:name="_Toc3964"/>
      <w:r>
        <w:rPr>
          <w:rFonts w:hint="default" w:ascii="Times New Roman" w:hAnsi="Times New Roman" w:cs="Times New Roman"/>
          <w:sz w:val="30"/>
          <w:szCs w:val="30"/>
          <w:highlight w:val="none"/>
        </w:rPr>
        <w:t>二、评价思路和实施过程</w:t>
      </w:r>
      <w:bookmarkEnd w:id="40"/>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本次评价对象是</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。在获取</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三定方案、职责、工作计划、财务基础数据等基础资料的基础上，形成以指标体系、社会调研为核心的工作方案。收集全部所需资料，通过对相关资料的分析，利用指标体系对202</w:t>
      </w:r>
      <w:r>
        <w:rPr>
          <w:rFonts w:hint="eastAsia" w:eastAsia="仿宋_GB2312" w:cs="Times New Roman"/>
          <w:color w:val="000000"/>
          <w:kern w:val="0"/>
          <w:sz w:val="32"/>
          <w:szCs w:val="32"/>
          <w:highlight w:val="none"/>
          <w:lang w:val="en-US" w:eastAsia="zh-CN" w:bidi="ar"/>
        </w:rPr>
        <w:t>2年中共阿坝县纪律检查委员会</w:t>
      </w:r>
      <w:r>
        <w:rPr>
          <w:rFonts w:hint="default" w:ascii="Times New Roman" w:hAnsi="Times New Roman" w:eastAsia="仿宋_GB2312" w:cs="Times New Roman"/>
          <w:color w:val="000000"/>
          <w:kern w:val="0"/>
          <w:sz w:val="32"/>
          <w:szCs w:val="32"/>
          <w:highlight w:val="none"/>
          <w:lang w:val="en-US" w:eastAsia="zh-CN" w:bidi="ar"/>
        </w:rPr>
        <w:t>整体支出情况进行绩效评价。</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41" w:name="_Toc7980"/>
      <w:bookmarkStart w:id="42" w:name="_Toc32353"/>
      <w:bookmarkStart w:id="43" w:name="_Toc9279"/>
      <w:bookmarkStart w:id="44" w:name="_Toc27989"/>
      <w:r>
        <w:rPr>
          <w:rFonts w:hint="default" w:ascii="Times New Roman" w:hAnsi="Times New Roman" w:eastAsia="楷体_GB2312" w:cs="Times New Roman"/>
          <w:color w:val="auto"/>
          <w:sz w:val="32"/>
          <w:highlight w:val="none"/>
        </w:rPr>
        <w:t>（一）评价目的</w:t>
      </w:r>
      <w:bookmarkEnd w:id="41"/>
      <w:bookmarkEnd w:id="42"/>
      <w:bookmarkEnd w:id="43"/>
      <w:bookmarkEnd w:id="44"/>
    </w:p>
    <w:p>
      <w:pPr>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分析部门</w:t>
      </w:r>
      <w:r>
        <w:rPr>
          <w:rFonts w:hint="default" w:ascii="Times New Roman" w:hAnsi="Times New Roman" w:eastAsia="仿宋_GB2312" w:cs="Times New Roman"/>
          <w:color w:val="000000"/>
          <w:kern w:val="0"/>
          <w:sz w:val="32"/>
          <w:szCs w:val="32"/>
          <w:highlight w:val="none"/>
          <w:lang w:val="en-US" w:eastAsia="zh-CN" w:bidi="ar"/>
        </w:rPr>
        <w:t>资源配置的合理性、目标计划完成与履职情况，总结经验做法，找出资金使用和管理中的薄弱环节，提出改进建议，提高财政资金的使用效率。</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45" w:name="_Toc25711"/>
      <w:bookmarkStart w:id="46" w:name="_Toc10108"/>
      <w:bookmarkStart w:id="47" w:name="_Toc22691"/>
      <w:bookmarkStart w:id="48" w:name="_Toc20532"/>
      <w:bookmarkStart w:id="49" w:name="_Toc6928"/>
      <w:r>
        <w:rPr>
          <w:rFonts w:hint="default" w:ascii="Times New Roman" w:hAnsi="Times New Roman" w:eastAsia="楷体_GB2312" w:cs="Times New Roman"/>
          <w:color w:val="auto"/>
          <w:sz w:val="32"/>
          <w:highlight w:val="none"/>
        </w:rPr>
        <w:t>（二）</w:t>
      </w:r>
      <w:bookmarkEnd w:id="45"/>
      <w:bookmarkEnd w:id="46"/>
      <w:bookmarkEnd w:id="47"/>
      <w:r>
        <w:rPr>
          <w:rFonts w:hint="default" w:ascii="Times New Roman" w:hAnsi="Times New Roman" w:eastAsia="楷体_GB2312" w:cs="Times New Roman"/>
          <w:color w:val="auto"/>
          <w:sz w:val="32"/>
          <w:highlight w:val="none"/>
        </w:rPr>
        <w:t>评价方法</w:t>
      </w:r>
      <w:bookmarkEnd w:id="48"/>
      <w:bookmarkEnd w:id="49"/>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（1）对比法</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是指通过对绩效目标与实际</w:t>
      </w:r>
      <w:r>
        <w:rPr>
          <w:rFonts w:hint="eastAsia" w:eastAsia="仿宋_GB2312" w:cs="Times New Roman"/>
          <w:color w:val="000000"/>
          <w:kern w:val="0"/>
          <w:sz w:val="32"/>
          <w:szCs w:val="32"/>
          <w:highlight w:val="none"/>
          <w:lang w:val="en-US" w:eastAsia="zh-CN" w:bidi="ar"/>
        </w:rPr>
        <w:t>完成结果</w:t>
      </w:r>
      <w:r>
        <w:rPr>
          <w:rFonts w:hint="default" w:ascii="Times New Roman" w:hAnsi="Times New Roman" w:eastAsia="仿宋_GB2312" w:cs="Times New Roman"/>
          <w:color w:val="000000"/>
          <w:kern w:val="0"/>
          <w:sz w:val="32"/>
          <w:szCs w:val="32"/>
          <w:highlight w:val="none"/>
          <w:lang w:val="en-US" w:eastAsia="zh-CN" w:bidi="ar"/>
        </w:rPr>
        <w:t>的对比，对绩效指标完成情况进行比较，综合分析绩效目标实现程度。项目小组根据收集的</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相关资料，结合</w:t>
      </w:r>
      <w:r>
        <w:rPr>
          <w:rFonts w:hint="eastAsia" w:eastAsia="仿宋_GB2312" w:cs="Times New Roman"/>
          <w:color w:val="000000"/>
          <w:kern w:val="0"/>
          <w:sz w:val="32"/>
          <w:szCs w:val="32"/>
          <w:highlight w:val="none"/>
          <w:lang w:val="en-US" w:eastAsia="zh-CN" w:bidi="ar"/>
        </w:rPr>
        <w:t>现场查看</w:t>
      </w:r>
      <w:r>
        <w:rPr>
          <w:rFonts w:hint="default" w:ascii="Times New Roman" w:hAnsi="Times New Roman" w:eastAsia="仿宋_GB2312" w:cs="Times New Roman"/>
          <w:color w:val="000000"/>
          <w:kern w:val="0"/>
          <w:sz w:val="32"/>
          <w:szCs w:val="32"/>
          <w:highlight w:val="none"/>
          <w:lang w:val="en-US" w:eastAsia="zh-CN" w:bidi="ar"/>
        </w:rPr>
        <w:t>，了解</w:t>
      </w:r>
      <w:r>
        <w:rPr>
          <w:rFonts w:hint="eastAsia" w:eastAsia="仿宋_GB2312" w:cs="Times New Roman"/>
          <w:color w:val="000000"/>
          <w:kern w:val="0"/>
          <w:sz w:val="32"/>
          <w:szCs w:val="32"/>
          <w:highlight w:val="none"/>
          <w:lang w:val="en-US" w:eastAsia="zh-CN" w:bidi="ar"/>
        </w:rPr>
        <w:t>部门预算执行</w:t>
      </w:r>
      <w:r>
        <w:rPr>
          <w:rFonts w:hint="default" w:ascii="Times New Roman" w:hAnsi="Times New Roman" w:eastAsia="仿宋_GB2312" w:cs="Times New Roman"/>
          <w:color w:val="000000"/>
          <w:kern w:val="0"/>
          <w:sz w:val="32"/>
          <w:szCs w:val="32"/>
          <w:highlight w:val="none"/>
          <w:lang w:val="en-US" w:eastAsia="zh-CN" w:bidi="ar"/>
        </w:rPr>
        <w:t>实际情况，与绩效目标进行对比，评价绩效目标的实现程度；同时项目小组将收集</w:t>
      </w:r>
      <w:r>
        <w:rPr>
          <w:rFonts w:hint="eastAsia" w:eastAsia="仿宋_GB2312" w:cs="Times New Roman"/>
          <w:color w:val="000000"/>
          <w:kern w:val="0"/>
          <w:sz w:val="32"/>
          <w:szCs w:val="32"/>
          <w:highlight w:val="none"/>
          <w:lang w:val="en-US" w:eastAsia="zh-CN" w:bidi="ar"/>
        </w:rPr>
        <w:t>部门预算</w:t>
      </w:r>
      <w:r>
        <w:rPr>
          <w:rFonts w:hint="default" w:ascii="Times New Roman" w:hAnsi="Times New Roman" w:eastAsia="仿宋_GB2312" w:cs="Times New Roman"/>
          <w:color w:val="000000"/>
          <w:kern w:val="0"/>
          <w:sz w:val="32"/>
          <w:szCs w:val="32"/>
          <w:highlight w:val="none"/>
          <w:lang w:val="en-US" w:eastAsia="zh-CN" w:bidi="ar"/>
        </w:rPr>
        <w:t>三年的</w:t>
      </w:r>
      <w:r>
        <w:rPr>
          <w:rFonts w:hint="eastAsia" w:eastAsia="仿宋_GB2312" w:cs="Times New Roman"/>
          <w:color w:val="000000"/>
          <w:kern w:val="0"/>
          <w:sz w:val="32"/>
          <w:szCs w:val="32"/>
          <w:highlight w:val="none"/>
          <w:lang w:val="en-US" w:eastAsia="zh-CN" w:bidi="ar"/>
        </w:rPr>
        <w:t>执行</w:t>
      </w:r>
      <w:r>
        <w:rPr>
          <w:rFonts w:hint="default" w:ascii="Times New Roman" w:hAnsi="Times New Roman" w:eastAsia="仿宋_GB2312" w:cs="Times New Roman"/>
          <w:color w:val="000000"/>
          <w:kern w:val="0"/>
          <w:sz w:val="32"/>
          <w:szCs w:val="32"/>
          <w:highlight w:val="none"/>
          <w:lang w:val="en-US" w:eastAsia="zh-CN" w:bidi="ar"/>
        </w:rPr>
        <w:t>数据，分析其完成情况并进行比较，评价其目标实现程度。</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（2）数据采集法</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color w:val="000000"/>
          <w:kern w:val="0"/>
          <w:sz w:val="32"/>
          <w:szCs w:val="32"/>
          <w:highlight w:val="none"/>
          <w:lang w:val="en-US" w:eastAsia="zh-CN" w:bidi="ar"/>
        </w:rPr>
        <w:t>是指采用各种专业（或专门）指标的计算方法，通过</w:t>
      </w:r>
      <w:r>
        <w:rPr>
          <w:rFonts w:hint="eastAsia" w:eastAsia="仿宋_GB2312" w:cs="Times New Roman"/>
          <w:color w:val="000000"/>
          <w:kern w:val="0"/>
          <w:sz w:val="32"/>
          <w:szCs w:val="32"/>
          <w:highlight w:val="none"/>
          <w:lang w:val="en-US" w:eastAsia="zh-CN" w:bidi="ar"/>
        </w:rPr>
        <w:t>部门预算资金</w:t>
      </w:r>
      <w:r>
        <w:rPr>
          <w:rFonts w:hint="default" w:ascii="Times New Roman" w:hAnsi="Times New Roman" w:eastAsia="仿宋_GB2312" w:cs="Times New Roman"/>
          <w:color w:val="000000"/>
          <w:kern w:val="0"/>
          <w:sz w:val="32"/>
          <w:szCs w:val="32"/>
          <w:highlight w:val="none"/>
          <w:lang w:val="en-US" w:eastAsia="zh-CN" w:bidi="ar"/>
        </w:rPr>
        <w:t>支出的相关数据，采用统计或核算等方式计算实际完成或达到的结果，评价绩效目标实现程度。项目小组根据相关文件依据，设计符合项目特点的评价指标体系，然后采集数据按照计算公式进行计算分析，并根据计算结果分析</w:t>
      </w:r>
      <w:r>
        <w:rPr>
          <w:rFonts w:hint="eastAsia" w:eastAsia="仿宋_GB2312" w:cs="Times New Roman"/>
          <w:color w:val="000000"/>
          <w:kern w:val="0"/>
          <w:sz w:val="32"/>
          <w:szCs w:val="32"/>
          <w:highlight w:val="none"/>
          <w:lang w:val="en-US" w:eastAsia="zh-CN" w:bidi="ar"/>
        </w:rPr>
        <w:t>部门整体</w:t>
      </w:r>
      <w:r>
        <w:rPr>
          <w:rFonts w:hint="default" w:ascii="Times New Roman" w:hAnsi="Times New Roman" w:eastAsia="仿宋_GB2312" w:cs="Times New Roman"/>
          <w:color w:val="000000"/>
          <w:kern w:val="0"/>
          <w:sz w:val="32"/>
          <w:szCs w:val="32"/>
          <w:highlight w:val="none"/>
          <w:lang w:val="en-US" w:eastAsia="zh-CN" w:bidi="ar"/>
        </w:rPr>
        <w:t>绩效目标实现程度</w:t>
      </w:r>
      <w:r>
        <w:rPr>
          <w:rFonts w:hint="default" w:ascii="Times New Roman" w:hAnsi="Times New Roman" w:eastAsia="仿宋_GB2312" w:cs="Times New Roman"/>
          <w:kern w:val="0"/>
          <w:sz w:val="32"/>
          <w:szCs w:val="32"/>
          <w:highlight w:val="none"/>
          <w:shd w:val="clear" w:color="auto" w:fill="FFFFFF"/>
        </w:rPr>
        <w:t>。</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50" w:name="_Toc29947"/>
      <w:bookmarkStart w:id="51" w:name="_Toc8135"/>
      <w:r>
        <w:rPr>
          <w:rFonts w:hint="default" w:ascii="Times New Roman" w:hAnsi="Times New Roman" w:eastAsia="楷体_GB2312" w:cs="Times New Roman"/>
          <w:color w:val="auto"/>
          <w:sz w:val="32"/>
          <w:highlight w:val="none"/>
        </w:rPr>
        <w:t>（三）数据采集方法及过程</w:t>
      </w:r>
      <w:bookmarkEnd w:id="50"/>
      <w:bookmarkEnd w:id="51"/>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highlight w:val="none"/>
          <w:lang w:val="en-US" w:eastAsia="zh-CN"/>
        </w:rPr>
      </w:pPr>
      <w:r>
        <w:rPr>
          <w:rFonts w:hint="default" w:ascii="Times New Roman" w:hAnsi="Times New Roman" w:eastAsia="仿宋_GB2312" w:cs="Times New Roman"/>
          <w:kern w:val="0"/>
          <w:sz w:val="32"/>
          <w:szCs w:val="32"/>
          <w:highlight w:val="none"/>
          <w:shd w:val="clear" w:color="auto" w:fill="FFFFFF"/>
        </w:rPr>
        <w:t>本次绩效评价数据包括定性</w:t>
      </w:r>
      <w:r>
        <w:rPr>
          <w:rFonts w:hint="default" w:ascii="Times New Roman" w:hAnsi="Times New Roman" w:eastAsia="仿宋_GB2312" w:cs="Times New Roman"/>
          <w:color w:val="000000"/>
          <w:kern w:val="0"/>
          <w:sz w:val="32"/>
          <w:szCs w:val="32"/>
          <w:highlight w:val="none"/>
          <w:lang w:val="en-US" w:eastAsia="zh-CN" w:bidi="ar"/>
        </w:rPr>
        <w:t>和定量两种数据，定性数据主要通过实地考察方式来采集，定量数据的采集主要通过实地采集数据。</w:t>
      </w:r>
    </w:p>
    <w:p>
      <w:pPr>
        <w:pStyle w:val="2"/>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52" w:name="_Toc16421"/>
      <w:bookmarkStart w:id="53" w:name="_Toc6126"/>
      <w:r>
        <w:rPr>
          <w:rFonts w:hint="default" w:ascii="Times New Roman" w:hAnsi="Times New Roman" w:cs="Times New Roman"/>
          <w:sz w:val="30"/>
          <w:szCs w:val="30"/>
          <w:highlight w:val="none"/>
        </w:rPr>
        <w:t>三、评价结论及绩效分析</w:t>
      </w:r>
      <w:bookmarkEnd w:id="52"/>
      <w:bookmarkEnd w:id="53"/>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54" w:name="_Toc21884"/>
      <w:r>
        <w:rPr>
          <w:rFonts w:hint="default" w:ascii="Times New Roman" w:hAnsi="Times New Roman" w:eastAsia="楷体_GB2312" w:cs="Times New Roman"/>
          <w:color w:val="auto"/>
          <w:sz w:val="32"/>
          <w:highlight w:val="none"/>
        </w:rPr>
        <w:t>（一）评价结论</w:t>
      </w:r>
      <w:bookmarkEnd w:id="5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lang w:val="en-US" w:eastAsia="zh-CN" w:bidi="ar"/>
        </w:rPr>
      </w:pPr>
      <w:bookmarkStart w:id="55" w:name="_Toc22480"/>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64.14</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，百分制换算得分为84.39分</w:t>
      </w:r>
      <w:r>
        <w:rPr>
          <w:rFonts w:hint="default" w:ascii="Times New Roman" w:hAnsi="Times New Roman" w:eastAsia="仿宋_GB2312" w:cs="Times New Roman"/>
          <w:color w:val="000000"/>
          <w:kern w:val="0"/>
          <w:sz w:val="32"/>
          <w:szCs w:val="32"/>
          <w:highlight w:val="none"/>
          <w:lang w:val="en-US" w:eastAsia="zh-CN" w:bidi="ar"/>
        </w:rPr>
        <w:t>。</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6"/>
        <w:gridCol w:w="1251"/>
        <w:gridCol w:w="1489"/>
        <w:gridCol w:w="194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69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26"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080"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721"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44</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3</w:t>
            </w:r>
            <w:r>
              <w:rPr>
                <w:rFonts w:hint="eastAsia" w:eastAsia="仿宋_GB2312" w:cs="Times New Roman"/>
                <w:color w:val="000000"/>
                <w:kern w:val="0"/>
                <w:highlight w:val="none"/>
                <w:lang w:val="en-US" w:eastAsia="zh-CN" w:bidi="ar"/>
              </w:rPr>
              <w:t>2</w:t>
            </w:r>
            <w:r>
              <w:rPr>
                <w:rFonts w:hint="default" w:eastAsia="仿宋_GB2312" w:cs="Times New Roman"/>
                <w:color w:val="000000"/>
                <w:kern w:val="0"/>
                <w:highlight w:val="none"/>
                <w:lang w:val="en-US" w:eastAsia="zh-CN" w:bidi="ar"/>
              </w:rPr>
              <w:t>.54</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73.95</w:t>
            </w:r>
            <w:r>
              <w:rPr>
                <w:rFonts w:hint="default" w:eastAsia="仿宋_GB2312" w:cs="Times New Roman"/>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专项预算管理</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19.6</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2</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5" w:type="pc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251"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489"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9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w:t>
            </w:r>
          </w:p>
        </w:tc>
        <w:tc>
          <w:tcPr>
            <w:tcW w:w="129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675" w:type="pct"/>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251"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100</w:t>
            </w:r>
          </w:p>
        </w:tc>
        <w:tc>
          <w:tcPr>
            <w:tcW w:w="1489"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76</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6</w:t>
            </w:r>
            <w:r>
              <w:rPr>
                <w:rFonts w:hint="eastAsia" w:eastAsia="仿宋_GB2312" w:cs="Times New Roman"/>
                <w:b/>
                <w:bCs/>
                <w:color w:val="000000"/>
                <w:kern w:val="0"/>
                <w:highlight w:val="none"/>
                <w:lang w:val="en-US" w:eastAsia="zh-CN" w:bidi="ar"/>
              </w:rPr>
              <w:t>4</w:t>
            </w:r>
            <w:r>
              <w:rPr>
                <w:rFonts w:hint="default" w:eastAsia="仿宋_GB2312" w:cs="Times New Roman"/>
                <w:b/>
                <w:bCs/>
                <w:color w:val="000000"/>
                <w:kern w:val="0"/>
                <w:highlight w:val="none"/>
                <w:lang w:val="en-US" w:eastAsia="zh-CN" w:bidi="ar"/>
              </w:rPr>
              <w:t>.14</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84.39</w:t>
            </w:r>
            <w:r>
              <w:rPr>
                <w:rFonts w:hint="default" w:eastAsia="仿宋_GB2312" w:cs="Times New Roman"/>
                <w:b/>
                <w:bCs/>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7" w:type="pct"/>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94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84.39</w:t>
            </w:r>
          </w:p>
        </w:tc>
        <w:tc>
          <w:tcPr>
            <w:tcW w:w="129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84.39</w:t>
            </w:r>
            <w:r>
              <w:rPr>
                <w:rFonts w:hint="default" w:eastAsia="仿宋_GB2312" w:cs="Times New Roman"/>
                <w:b/>
                <w:bCs/>
                <w:color w:val="000000"/>
                <w:kern w:val="0"/>
                <w:highlight w:val="none"/>
                <w:lang w:val="en-US" w:eastAsia="zh-CN" w:bidi="ar"/>
              </w:rPr>
              <w:t>%</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textAlignment w:val="auto"/>
        <w:rPr>
          <w:rFonts w:hint="default" w:ascii="Times New Roman" w:hAnsi="Times New Roman" w:eastAsia="楷体_GB2312" w:cs="Times New Roman"/>
          <w:color w:val="auto"/>
          <w:sz w:val="32"/>
          <w:highlight w:val="none"/>
        </w:rPr>
      </w:pPr>
      <w:bookmarkStart w:id="56" w:name="_Toc1811"/>
      <w:r>
        <w:rPr>
          <w:rFonts w:hint="default" w:ascii="Times New Roman" w:hAnsi="Times New Roman" w:eastAsia="楷体_GB2312" w:cs="Times New Roman"/>
          <w:color w:val="auto"/>
          <w:sz w:val="32"/>
          <w:highlight w:val="none"/>
        </w:rPr>
        <w:t>（二）绩效分析</w:t>
      </w:r>
      <w:bookmarkEnd w:id="55"/>
      <w:bookmarkEnd w:id="56"/>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57" w:name="_Toc55586789"/>
      <w:bookmarkStart w:id="58" w:name="_Toc31201"/>
      <w:bookmarkStart w:id="59" w:name="_Toc24227"/>
      <w:r>
        <w:rPr>
          <w:rFonts w:hint="default" w:ascii="Times New Roman" w:hAnsi="Times New Roman" w:eastAsia="仿宋_GB2312" w:cs="Times New Roman"/>
          <w:highlight w:val="none"/>
        </w:rPr>
        <w:t>1、部门预算管理情况分析</w:t>
      </w:r>
      <w:bookmarkEnd w:id="57"/>
      <w:bookmarkEnd w:id="58"/>
      <w:bookmarkEnd w:id="59"/>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该指标权重为</w:t>
      </w:r>
      <w:r>
        <w:rPr>
          <w:rFonts w:hint="eastAsia" w:eastAsia="仿宋_GB2312" w:cs="Times New Roman"/>
          <w:kern w:val="0"/>
          <w:sz w:val="32"/>
          <w:szCs w:val="32"/>
          <w:highlight w:val="none"/>
          <w:shd w:val="clear" w:color="auto" w:fill="FFFFFF"/>
          <w:lang w:val="en-US" w:eastAsia="zh-CN"/>
        </w:rPr>
        <w:t>6</w:t>
      </w:r>
      <w:r>
        <w:rPr>
          <w:rFonts w:hint="default" w:ascii="Times New Roman" w:hAnsi="Times New Roman" w:eastAsia="仿宋_GB2312" w:cs="Times New Roman"/>
          <w:kern w:val="0"/>
          <w:sz w:val="32"/>
          <w:szCs w:val="32"/>
          <w:highlight w:val="none"/>
          <w:shd w:val="clear" w:color="auto" w:fill="FFFFFF"/>
          <w:lang w:val="en-US" w:eastAsia="zh-CN"/>
        </w:rPr>
        <w:t>0</w:t>
      </w:r>
      <w:r>
        <w:rPr>
          <w:rFonts w:hint="default" w:ascii="Times New Roman" w:hAnsi="Times New Roman" w:eastAsia="仿宋_GB2312" w:cs="Times New Roman"/>
          <w:kern w:val="0"/>
          <w:sz w:val="32"/>
          <w:szCs w:val="32"/>
          <w:highlight w:val="none"/>
          <w:shd w:val="clear" w:color="auto" w:fill="FFFFFF"/>
        </w:rPr>
        <w:t>分，</w:t>
      </w:r>
      <w:r>
        <w:rPr>
          <w:rFonts w:hint="default" w:ascii="Times New Roman" w:hAnsi="Times New Roman" w:eastAsia="仿宋_GB2312" w:cs="Times New Roman"/>
          <w:kern w:val="0"/>
          <w:sz w:val="32"/>
          <w:szCs w:val="32"/>
          <w:highlight w:val="none"/>
          <w:shd w:val="clear" w:color="auto" w:fill="FFFFFF"/>
          <w:lang w:val="en-US" w:eastAsia="zh-CN"/>
        </w:rPr>
        <w:t>评价</w:t>
      </w:r>
      <w:r>
        <w:rPr>
          <w:rFonts w:hint="default" w:ascii="Times New Roman" w:hAnsi="Times New Roman" w:eastAsia="仿宋_GB2312" w:cs="Times New Roman"/>
          <w:color w:val="000000"/>
          <w:kern w:val="0"/>
          <w:sz w:val="32"/>
          <w:szCs w:val="32"/>
          <w:highlight w:val="none"/>
          <w:lang w:val="en-US" w:eastAsia="zh-CN" w:bidi="ar"/>
        </w:rPr>
        <w:t>权重</w:t>
      </w:r>
      <w:r>
        <w:rPr>
          <w:rFonts w:hint="eastAsia" w:eastAsia="仿宋_GB2312" w:cs="Times New Roman"/>
          <w:color w:val="000000"/>
          <w:kern w:val="0"/>
          <w:sz w:val="32"/>
          <w:szCs w:val="32"/>
          <w:highlight w:val="none"/>
          <w:lang w:val="en-US" w:eastAsia="zh-CN" w:bidi="ar"/>
        </w:rPr>
        <w:t>44</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32.54</w:t>
      </w:r>
      <w:r>
        <w:rPr>
          <w:rFonts w:hint="default" w:ascii="Times New Roman" w:hAnsi="Times New Roman" w:eastAsia="仿宋_GB2312" w:cs="Times New Roman"/>
          <w:color w:val="000000"/>
          <w:kern w:val="0"/>
          <w:sz w:val="32"/>
          <w:szCs w:val="32"/>
          <w:highlight w:val="none"/>
          <w:lang w:val="en-US" w:eastAsia="zh-CN" w:bidi="ar"/>
        </w:rPr>
        <w:t>分。用于考察评价部门绩效目标是否要素完整、细化量化并集体决策</w:t>
      </w:r>
      <w:r>
        <w:rPr>
          <w:rFonts w:hint="eastAsia" w:eastAsia="仿宋_GB2312" w:cs="Times New Roman"/>
          <w:color w:val="000000"/>
          <w:kern w:val="0"/>
          <w:sz w:val="32"/>
          <w:szCs w:val="32"/>
          <w:highlight w:val="none"/>
          <w:lang w:val="en-US" w:eastAsia="zh-CN" w:bidi="ar"/>
        </w:rPr>
        <w:t>情况；评价部门绩效目标实际实现程度与预期目标的偏离度；部门公用经费及非定额公用支出控制情况；评价部门在2022年6、9、11月的预算执行情况；评价部门预算项目年终预算执行情况；根据审计监督、财政评价结果反映部门上一年度部门预算管理是否合规</w:t>
      </w:r>
      <w:r>
        <w:rPr>
          <w:rFonts w:hint="default" w:ascii="Times New Roman" w:hAnsi="Times New Roman" w:eastAsia="仿宋_GB2312" w:cs="Times New Roman"/>
          <w:color w:val="000000"/>
          <w:kern w:val="0"/>
          <w:sz w:val="32"/>
          <w:szCs w:val="32"/>
          <w:highlight w:val="none"/>
          <w:lang w:val="en-US" w:eastAsia="zh-CN" w:bidi="ar"/>
        </w:rPr>
        <w:t>等。</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color w:val="000000"/>
          <w:kern w:val="0"/>
          <w:sz w:val="32"/>
          <w:szCs w:val="32"/>
          <w:highlight w:val="none"/>
          <w:lang w:val="en-US" w:eastAsia="zh-CN" w:bidi="ar"/>
        </w:rPr>
        <w:t>各分项指标得分和绩效</w:t>
      </w:r>
      <w:r>
        <w:rPr>
          <w:rFonts w:hint="default" w:ascii="Times New Roman" w:hAnsi="Times New Roman" w:eastAsia="仿宋_GB2312" w:cs="Times New Roman"/>
          <w:kern w:val="0"/>
          <w:sz w:val="32"/>
          <w:szCs w:val="32"/>
          <w:highlight w:val="none"/>
          <w:shd w:val="clear" w:color="auto" w:fill="FFFFFF"/>
        </w:rPr>
        <w:t>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7</w:t>
      </w:r>
      <w:r>
        <w:rPr>
          <w:rFonts w:hint="default" w:ascii="Times New Roman" w:hAnsi="Times New Roman" w:eastAsia="仿宋_GB2312" w:cs="Times New Roman"/>
          <w:b/>
          <w:bCs/>
          <w:color w:val="000000"/>
          <w:kern w:val="0"/>
          <w:highlight w:val="none"/>
          <w:lang w:bidi="ar"/>
        </w:rPr>
        <w:t xml:space="preserve"> </w:t>
      </w:r>
      <w:r>
        <w:rPr>
          <w:rFonts w:hint="default" w:ascii="Times New Roman" w:hAnsi="Times New Roman" w:eastAsia="仿宋_GB2312" w:cs="Times New Roman"/>
          <w:b/>
          <w:bCs/>
          <w:color w:val="000000"/>
          <w:kern w:val="0"/>
          <w:highlight w:val="none"/>
          <w:lang w:val="en-US" w:eastAsia="zh-CN" w:bidi="ar"/>
        </w:rPr>
        <w:t>部门预算管理</w:t>
      </w:r>
      <w:r>
        <w:rPr>
          <w:rFonts w:hint="default" w:ascii="Times New Roman" w:hAnsi="Times New Roman" w:eastAsia="仿宋_GB2312" w:cs="Times New Roman"/>
          <w:b/>
          <w:bCs/>
          <w:color w:val="000000"/>
          <w:kern w:val="0"/>
          <w:highlight w:val="none"/>
          <w:lang w:bidi="ar"/>
        </w:rPr>
        <w:t>情况得分表</w:t>
      </w:r>
    </w:p>
    <w:tbl>
      <w:tblPr>
        <w:tblStyle w:val="41"/>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400"/>
        <w:gridCol w:w="1978"/>
        <w:gridCol w:w="855"/>
        <w:gridCol w:w="934"/>
        <w:gridCol w:w="1118"/>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1"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4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97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restar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r>
              <w:rPr>
                <w:rFonts w:hint="default" w:ascii="Times New Roman" w:hAnsi="Times New Roman" w:eastAsia="仿宋_GB2312" w:cs="Times New Roman"/>
                <w:color w:val="000000"/>
                <w:kern w:val="0"/>
                <w:highlight w:val="none"/>
                <w:lang w:val="en-US" w:eastAsia="zh-CN" w:bidi="ar"/>
              </w:rPr>
              <w:t>部门预算管理</w:t>
            </w:r>
            <w:r>
              <w:rPr>
                <w:rFonts w:hint="default" w:ascii="Times New Roman" w:hAnsi="Times New Roman" w:eastAsia="仿宋_GB2312" w:cs="Times New Roman"/>
                <w:color w:val="000000"/>
                <w:kern w:val="0"/>
                <w:highlight w:val="none"/>
                <w:lang w:bidi="ar"/>
              </w:rPr>
              <w:t>（</w:t>
            </w:r>
            <w:r>
              <w:rPr>
                <w:rFonts w:hint="eastAsia" w:eastAsia="仿宋_GB2312" w:cs="Times New Roman"/>
                <w:color w:val="000000"/>
                <w:kern w:val="0"/>
                <w:highlight w:val="none"/>
                <w:lang w:val="en-US" w:eastAsia="zh-CN" w:bidi="ar"/>
              </w:rPr>
              <w:t>6</w:t>
            </w:r>
            <w:r>
              <w:rPr>
                <w:rFonts w:hint="default" w:ascii="Times New Roman" w:hAnsi="Times New Roman" w:eastAsia="仿宋_GB2312" w:cs="Times New Roman"/>
                <w:color w:val="000000"/>
                <w:kern w:val="0"/>
                <w:highlight w:val="none"/>
                <w:lang w:bidi="ar"/>
              </w:rPr>
              <w:t>0）</w:t>
            </w: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预算编制（24分）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目标制定</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50</w:t>
            </w:r>
            <w:r>
              <w:rPr>
                <w:rFonts w:hint="default" w:eastAsia="仿宋_GB2312" w:cs="Times New Roman"/>
                <w:color w:val="000000"/>
                <w:kern w:val="0"/>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目标实现</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编制准确</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w:t>
            </w:r>
          </w:p>
        </w:tc>
        <w:tc>
          <w:tcPr>
            <w:tcW w:w="1118"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预算执行（20分）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支出控制</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0</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动态调整</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w:t>
            </w:r>
          </w:p>
        </w:tc>
        <w:tc>
          <w:tcPr>
            <w:tcW w:w="1118"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执行进度</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4.54</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完成结果（16分）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预算完成</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违规记录</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9"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855"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60</w:t>
            </w:r>
          </w:p>
        </w:tc>
        <w:tc>
          <w:tcPr>
            <w:tcW w:w="934"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44</w:t>
            </w:r>
          </w:p>
        </w:tc>
        <w:tc>
          <w:tcPr>
            <w:tcW w:w="1118"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3</w:t>
            </w:r>
            <w:r>
              <w:rPr>
                <w:rFonts w:hint="eastAsia" w:eastAsia="仿宋_GB2312" w:cs="Times New Roman"/>
                <w:b/>
                <w:bCs/>
                <w:color w:val="000000"/>
                <w:kern w:val="0"/>
                <w:highlight w:val="none"/>
                <w:lang w:val="en-US" w:eastAsia="zh-CN" w:bidi="ar"/>
              </w:rPr>
              <w:t>2</w:t>
            </w:r>
            <w:r>
              <w:rPr>
                <w:rFonts w:hint="default" w:eastAsia="仿宋_GB2312" w:cs="Times New Roman"/>
                <w:b/>
                <w:bCs/>
                <w:color w:val="000000"/>
                <w:kern w:val="0"/>
                <w:highlight w:val="none"/>
                <w:lang w:val="en-US" w:eastAsia="zh-CN" w:bidi="ar"/>
              </w:rPr>
              <w:t>.54</w:t>
            </w:r>
          </w:p>
        </w:tc>
        <w:tc>
          <w:tcPr>
            <w:tcW w:w="1113"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73.95</w:t>
            </w:r>
            <w:r>
              <w:rPr>
                <w:rFonts w:hint="default" w:eastAsia="仿宋_GB2312" w:cs="Times New Roman"/>
                <w:b/>
                <w:bCs/>
                <w:color w:val="000000"/>
                <w:kern w:val="0"/>
                <w:highlight w:val="none"/>
                <w:lang w:val="en-US" w:eastAsia="zh-CN" w:bidi="ar"/>
              </w:rPr>
              <w:t>%</w:t>
            </w:r>
          </w:p>
        </w:tc>
      </w:tr>
    </w:tbl>
    <w:p>
      <w:pPr>
        <w:pStyle w:val="24"/>
        <w:rPr>
          <w:rFonts w:hint="default" w:ascii="Times New Roman" w:hAnsi="Times New Roman" w:cs="Times New Roman"/>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（1）</w:t>
      </w:r>
      <w:r>
        <w:rPr>
          <w:rFonts w:hint="eastAsia" w:eastAsia="仿宋_GB2312" w:cs="Times New Roman"/>
          <w:b/>
          <w:bCs/>
          <w:kern w:val="0"/>
          <w:sz w:val="32"/>
          <w:szCs w:val="32"/>
          <w:highlight w:val="none"/>
          <w:shd w:val="clear" w:color="auto" w:fill="FFFFFF"/>
          <w:lang w:val="en-US" w:eastAsia="zh-CN"/>
        </w:rPr>
        <w:t>预算编制</w:t>
      </w:r>
      <w:r>
        <w:rPr>
          <w:rFonts w:hint="default" w:ascii="Times New Roman" w:hAnsi="Times New Roman" w:eastAsia="仿宋_GB2312" w:cs="Times New Roman"/>
          <w:b/>
          <w:bCs/>
          <w:kern w:val="0"/>
          <w:sz w:val="32"/>
          <w:szCs w:val="32"/>
          <w:highlight w:val="none"/>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——目标制定指标分析（权重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4</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中共阿坝县纪律检查委员会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绩效目标设置情况：</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绩效目标编制要素方面，</w:t>
      </w:r>
      <w:r>
        <w:rPr>
          <w:rFonts w:hint="eastAsia" w:eastAsia="仿宋_GB2312" w:cs="Times New Roman"/>
          <w:color w:val="000000"/>
          <w:kern w:val="0"/>
          <w:sz w:val="32"/>
          <w:szCs w:val="32"/>
          <w:highlight w:val="none"/>
          <w:lang w:val="en-US" w:eastAsia="zh-CN" w:bidi="ar"/>
        </w:rPr>
        <w:t>中共阿坝县纪律检查委员会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绩效目标编制要素</w:t>
      </w:r>
      <w:r>
        <w:rPr>
          <w:rFonts w:hint="eastAsia" w:eastAsia="仿宋_GB2312" w:cs="Times New Roman"/>
          <w:color w:val="000000"/>
          <w:kern w:val="0"/>
          <w:sz w:val="32"/>
          <w:szCs w:val="32"/>
          <w:highlight w:val="none"/>
          <w:lang w:val="en-US" w:eastAsia="zh-CN" w:bidi="ar"/>
        </w:rPr>
        <w:t>不齐</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已</w:t>
      </w:r>
      <w:r>
        <w:rPr>
          <w:rFonts w:hint="eastAsia" w:ascii="Times New Roman" w:hAnsi="Times New Roman" w:eastAsia="仿宋_GB2312" w:cs="Times New Roman"/>
          <w:color w:val="000000"/>
          <w:kern w:val="0"/>
          <w:sz w:val="32"/>
          <w:szCs w:val="32"/>
          <w:highlight w:val="none"/>
          <w:lang w:val="en-US" w:eastAsia="zh-CN" w:bidi="ar"/>
        </w:rPr>
        <w:t>填写</w:t>
      </w:r>
      <w:r>
        <w:rPr>
          <w:rFonts w:hint="eastAsia" w:eastAsia="仿宋_GB2312" w:cs="Times New Roman"/>
          <w:color w:val="000000"/>
          <w:kern w:val="0"/>
          <w:sz w:val="32"/>
          <w:szCs w:val="32"/>
          <w:highlight w:val="none"/>
          <w:lang w:val="en-US" w:eastAsia="zh-CN" w:bidi="ar"/>
        </w:rPr>
        <w:t>数量指标社会效益指标、满意度指标，但未设置</w:t>
      </w:r>
      <w:r>
        <w:rPr>
          <w:rFonts w:hint="eastAsia" w:ascii="Times New Roman" w:hAnsi="Times New Roman" w:eastAsia="仿宋_GB2312" w:cs="Times New Roman"/>
          <w:color w:val="000000"/>
          <w:kern w:val="0"/>
          <w:sz w:val="32"/>
          <w:szCs w:val="32"/>
          <w:highlight w:val="none"/>
          <w:lang w:val="en-US" w:eastAsia="zh-CN" w:bidi="ar"/>
        </w:rPr>
        <w:t>时效指标、质量指标、成本指标等产出指标，</w:t>
      </w:r>
      <w:r>
        <w:rPr>
          <w:rFonts w:hint="eastAsia" w:eastAsia="仿宋_GB2312" w:cs="Times New Roman"/>
          <w:color w:val="000000"/>
          <w:kern w:val="0"/>
          <w:sz w:val="32"/>
          <w:szCs w:val="32"/>
          <w:highlight w:val="none"/>
          <w:lang w:val="en-US" w:eastAsia="zh-CN" w:bidi="ar"/>
        </w:rPr>
        <w:t>不符合《四川省财政支出绩效评价管理办法》第十五条“绩效目标包括以下主要内容：（一）预期产出，包括提供的公共产品和服务的数量；（二）预期效果，包括经济效益、社会效益、环境效益和可持续影响等；（三）绩效指标，是对预期产出和预期效果的细化和量化，主要包括完成指标、效果指标和满意度指标等；（四）绩效指标值，是绩效指标的具体表现，通常用可衡量的标准、数值、比率等来表示，确定指标值时主要依据或参考历史标准、行业标准、计划标准等绩效标准；（五）其他需要编制的内容。”</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绩效指标细化量化方面，</w:t>
      </w:r>
      <w:r>
        <w:rPr>
          <w:rFonts w:hint="eastAsia" w:eastAsia="仿宋_GB2312" w:cs="Times New Roman"/>
          <w:color w:val="000000"/>
          <w:kern w:val="0"/>
          <w:sz w:val="32"/>
          <w:szCs w:val="32"/>
          <w:highlight w:val="none"/>
          <w:lang w:val="en-US" w:eastAsia="zh-CN" w:bidi="ar"/>
        </w:rPr>
        <w:t>中共阿坝县纪律检查委员会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数量质量、效益指标、满意度指标的绩效指标值未一一对应设置，如：数量指标“受理问题线索、案件办理数量”的指标设置为“≥100元/年”。不符合《四川省财政支出绩效评价管理办法》“第十六条 绩效目标要符合以下要求：细化量化。绩效目标应当从数量、质量、成本、时效以及经济效益、社会效益、生态效益、可持续影响、满意度等方面进行细化，尽量进行定量表述。不能量化表述的，可采用定性表述，但应具有可衡量性。”的规定。</w:t>
      </w:r>
    </w:p>
    <w:p>
      <w:pPr>
        <w:rPr>
          <w:rFonts w:hint="default" w:ascii="Times New Roman" w:hAnsi="Times New Roman" w:eastAsia="仿宋_GB2312" w:cs="Times New Roman"/>
          <w:b/>
          <w:bCs/>
          <w:color w:val="000000"/>
          <w:kern w:val="0"/>
          <w:sz w:val="24"/>
          <w:szCs w:val="24"/>
          <w:highlight w:val="none"/>
          <w:lang w:val="en-US" w:eastAsia="zh-CN" w:bidi="ar"/>
        </w:rPr>
      </w:pPr>
      <w:r>
        <w:rPr>
          <w:rFonts w:hint="eastAsia" w:eastAsia="仿宋_GB2312" w:cs="Times New Roman"/>
          <w:color w:val="000000"/>
          <w:kern w:val="0"/>
          <w:sz w:val="32"/>
          <w:szCs w:val="32"/>
          <w:highlight w:val="none"/>
          <w:lang w:val="en-US" w:eastAsia="zh-CN" w:bidi="ar"/>
        </w:rPr>
        <w:t>中共阿坝县纪律检查委员会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如下表：</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表8</w:t>
      </w:r>
      <w:r>
        <w:rPr>
          <w:rFonts w:hint="eastAsia" w:eastAsia="仿宋_GB2312" w:cs="Times New Roman"/>
          <w:b/>
          <w:bCs/>
          <w:color w:val="000000"/>
          <w:kern w:val="0"/>
          <w:sz w:val="24"/>
          <w:szCs w:val="24"/>
          <w:highlight w:val="none"/>
          <w:lang w:val="en-US" w:eastAsia="zh-CN" w:bidi="ar"/>
        </w:rPr>
        <w:t xml:space="preserve"> </w:t>
      </w:r>
      <w:r>
        <w:rPr>
          <w:rFonts w:hint="default" w:ascii="Times New Roman" w:hAnsi="Times New Roman" w:eastAsia="仿宋_GB2312" w:cs="Times New Roman"/>
          <w:b/>
          <w:bCs/>
          <w:color w:val="000000"/>
          <w:kern w:val="0"/>
          <w:sz w:val="24"/>
          <w:szCs w:val="24"/>
          <w:highlight w:val="none"/>
          <w:lang w:val="en-US" w:eastAsia="zh-CN" w:bidi="ar"/>
        </w:rPr>
        <w:t xml:space="preserve"> </w:t>
      </w:r>
      <w:r>
        <w:rPr>
          <w:rFonts w:hint="eastAsia" w:eastAsia="仿宋_GB2312" w:cs="Times New Roman"/>
          <w:b/>
          <w:bCs/>
          <w:color w:val="000000"/>
          <w:kern w:val="0"/>
          <w:sz w:val="24"/>
          <w:szCs w:val="24"/>
          <w:highlight w:val="none"/>
          <w:lang w:val="en-US" w:eastAsia="zh-CN" w:bidi="ar"/>
        </w:rPr>
        <w:t>中共阿坝县纪律检查委员会</w:t>
      </w:r>
      <w:r>
        <w:rPr>
          <w:rFonts w:hint="eastAsia" w:ascii="Times New Roman" w:hAnsi="Times New Roman" w:eastAsia="仿宋_GB2312" w:cs="Times New Roman"/>
          <w:b/>
          <w:bCs/>
          <w:color w:val="000000"/>
          <w:kern w:val="0"/>
          <w:sz w:val="24"/>
          <w:szCs w:val="24"/>
          <w:highlight w:val="none"/>
          <w:lang w:val="en-US" w:eastAsia="zh-CN" w:bidi="ar"/>
        </w:rPr>
        <w:t>202</w:t>
      </w:r>
      <w:r>
        <w:rPr>
          <w:rFonts w:hint="eastAsia" w:eastAsia="仿宋_GB2312" w:cs="Times New Roman"/>
          <w:b/>
          <w:bCs/>
          <w:color w:val="000000"/>
          <w:kern w:val="0"/>
          <w:sz w:val="24"/>
          <w:szCs w:val="24"/>
          <w:highlight w:val="none"/>
          <w:lang w:val="en-US" w:eastAsia="zh-CN" w:bidi="ar"/>
        </w:rPr>
        <w:t>2</w:t>
      </w:r>
      <w:r>
        <w:rPr>
          <w:rFonts w:hint="eastAsia" w:ascii="Times New Roman" w:hAnsi="Times New Roman" w:eastAsia="仿宋_GB2312" w:cs="Times New Roman"/>
          <w:b/>
          <w:bCs/>
          <w:color w:val="000000"/>
          <w:kern w:val="0"/>
          <w:sz w:val="24"/>
          <w:szCs w:val="24"/>
          <w:highlight w:val="none"/>
          <w:lang w:val="en-US" w:eastAsia="zh-CN" w:bidi="ar"/>
        </w:rPr>
        <w:t>年部门整体支出绩效目标</w:t>
      </w:r>
      <w:r>
        <w:rPr>
          <w:rFonts w:hint="default" w:ascii="Times New Roman" w:hAnsi="Times New Roman" w:eastAsia="仿宋_GB2312" w:cs="Times New Roman"/>
          <w:b/>
          <w:bCs/>
          <w:color w:val="000000"/>
          <w:kern w:val="0"/>
          <w:sz w:val="24"/>
          <w:szCs w:val="24"/>
          <w:highlight w:val="none"/>
          <w:lang w:val="en-US" w:eastAsia="zh-CN" w:bidi="ar"/>
        </w:rPr>
        <w:t>表</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2"/>
        <w:gridCol w:w="961"/>
        <w:gridCol w:w="1076"/>
        <w:gridCol w:w="1500"/>
        <w:gridCol w:w="222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 w:hRule="atLeast"/>
          <w:tblHeader/>
          <w:jc w:val="center"/>
        </w:trPr>
        <w:tc>
          <w:tcPr>
            <w:tcW w:w="1667"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项目名称</w:t>
            </w:r>
          </w:p>
        </w:tc>
        <w:tc>
          <w:tcPr>
            <w:tcW w:w="3332"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202</w:t>
            </w:r>
            <w:r>
              <w:rPr>
                <w:rFonts w:hint="eastAsia" w:eastAsia="仿宋_GB2312" w:cs="Times New Roman"/>
                <w:b/>
                <w:bCs/>
                <w:color w:val="000000"/>
                <w:kern w:val="0"/>
                <w:sz w:val="24"/>
                <w:szCs w:val="24"/>
                <w:highlight w:val="none"/>
                <w:lang w:val="en-US" w:eastAsia="zh-CN" w:bidi="ar"/>
              </w:rPr>
              <w:t>2</w:t>
            </w:r>
            <w:r>
              <w:rPr>
                <w:rFonts w:hint="eastAsia" w:ascii="Times New Roman" w:hAnsi="Times New Roman" w:eastAsia="仿宋_GB2312" w:cs="Times New Roman"/>
                <w:b/>
                <w:bCs/>
                <w:color w:val="000000"/>
                <w:kern w:val="0"/>
                <w:sz w:val="24"/>
                <w:szCs w:val="24"/>
                <w:highlight w:val="none"/>
                <w:lang w:val="en-US" w:eastAsia="zh-CN" w:bidi="ar"/>
              </w:rPr>
              <w:t>年</w:t>
            </w:r>
            <w:r>
              <w:rPr>
                <w:rFonts w:hint="eastAsia" w:eastAsia="仿宋_GB2312" w:cs="Times New Roman"/>
                <w:b/>
                <w:bCs/>
                <w:color w:val="000000"/>
                <w:kern w:val="0"/>
                <w:sz w:val="24"/>
                <w:szCs w:val="24"/>
                <w:highlight w:val="none"/>
                <w:lang w:val="en-US" w:eastAsia="zh-CN" w:bidi="ar"/>
              </w:rPr>
              <w:t>部门整体支出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1667"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预算单位</w:t>
            </w:r>
          </w:p>
        </w:tc>
        <w:tc>
          <w:tcPr>
            <w:tcW w:w="3332" w:type="pct"/>
            <w:gridSpan w:val="3"/>
            <w:shd w:val="clear" w:color="auto" w:fill="BEBEBE" w:themeFill="background1" w:themeFillShade="BF"/>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eastAsia="仿宋_GB2312" w:cs="Times New Roman"/>
                <w:b/>
                <w:bCs/>
                <w:color w:val="000000"/>
                <w:kern w:val="0"/>
                <w:sz w:val="24"/>
                <w:szCs w:val="24"/>
                <w:highlight w:val="none"/>
                <w:lang w:val="en-US" w:eastAsia="zh-CN" w:bidi="ar"/>
              </w:rPr>
              <w:t>中共阿坝县纪律检查委员会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 w:hRule="atLeast"/>
          <w:jc w:val="center"/>
        </w:trPr>
        <w:tc>
          <w:tcPr>
            <w:tcW w:w="511" w:type="pct"/>
            <w:vMerge w:val="restar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预算执行情况</w:t>
            </w:r>
            <w:r>
              <w:rPr>
                <w:rFonts w:hint="eastAsia" w:eastAsia="仿宋_GB2312" w:cs="Times New Roman"/>
                <w:color w:val="000000"/>
                <w:kern w:val="0"/>
                <w:sz w:val="24"/>
                <w:szCs w:val="24"/>
                <w:highlight w:val="none"/>
                <w:lang w:val="en-US" w:eastAsia="zh-CN" w:bidi="ar"/>
              </w:rPr>
              <w:t>（</w:t>
            </w:r>
            <w:r>
              <w:rPr>
                <w:rFonts w:hint="eastAsia" w:ascii="Times New Roman" w:hAnsi="Times New Roman" w:eastAsia="仿宋_GB2312" w:cs="Times New Roman"/>
                <w:color w:val="000000"/>
                <w:kern w:val="0"/>
                <w:sz w:val="24"/>
                <w:szCs w:val="24"/>
                <w:highlight w:val="none"/>
                <w:lang w:val="en-US" w:eastAsia="zh-CN" w:bidi="ar"/>
              </w:rPr>
              <w:t>万元</w:t>
            </w:r>
            <w:r>
              <w:rPr>
                <w:rFonts w:hint="eastAsia" w:eastAsia="仿宋_GB2312" w:cs="Times New Roman"/>
                <w:color w:val="000000"/>
                <w:kern w:val="0"/>
                <w:sz w:val="24"/>
                <w:szCs w:val="24"/>
                <w:highlight w:val="none"/>
                <w:lang w:val="en-US" w:eastAsia="zh-CN" w:bidi="ar"/>
              </w:rPr>
              <w:t>）</w:t>
            </w:r>
          </w:p>
        </w:tc>
        <w:tc>
          <w:tcPr>
            <w:tcW w:w="1155"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预算数</w:t>
            </w:r>
            <w:r>
              <w:rPr>
                <w:rFonts w:hint="eastAsia" w:eastAsia="仿宋_GB2312" w:cs="Times New Roman"/>
                <w:color w:val="000000"/>
                <w:kern w:val="0"/>
                <w:sz w:val="24"/>
                <w:szCs w:val="24"/>
                <w:highlight w:val="none"/>
                <w:lang w:val="en-US" w:eastAsia="zh-CN" w:bidi="ar"/>
              </w:rPr>
              <w:t>：</w:t>
            </w:r>
          </w:p>
        </w:tc>
        <w:tc>
          <w:tcPr>
            <w:tcW w:w="851" w:type="pct"/>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 xml:space="preserve">1,136.15 </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执行数</w:t>
            </w:r>
            <w:r>
              <w:rPr>
                <w:rFonts w:hint="eastAsia" w:eastAsia="仿宋_GB2312" w:cs="Times New Roman"/>
                <w:color w:val="000000"/>
                <w:kern w:val="0"/>
                <w:sz w:val="24"/>
                <w:szCs w:val="24"/>
                <w:highlight w:val="none"/>
                <w:lang w:val="en-US" w:eastAsia="zh-CN" w:bidi="ar"/>
              </w:rPr>
              <w:t>：</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1,136.15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1155"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其中-财政拨款</w:t>
            </w:r>
            <w:r>
              <w:rPr>
                <w:rFonts w:hint="eastAsia" w:eastAsia="仿宋_GB2312" w:cs="Times New Roman"/>
                <w:color w:val="000000"/>
                <w:kern w:val="0"/>
                <w:sz w:val="24"/>
                <w:szCs w:val="24"/>
                <w:highlight w:val="none"/>
                <w:lang w:val="en-US" w:eastAsia="zh-CN" w:bidi="ar"/>
              </w:rPr>
              <w:t>：</w:t>
            </w:r>
          </w:p>
        </w:tc>
        <w:tc>
          <w:tcPr>
            <w:tcW w:w="851" w:type="pct"/>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480" w:firstLineChars="20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1,136.15</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其中-财政拨款</w:t>
            </w:r>
            <w:r>
              <w:rPr>
                <w:rFonts w:hint="eastAsia" w:eastAsia="仿宋_GB2312" w:cs="Times New Roman"/>
                <w:color w:val="000000"/>
                <w:kern w:val="0"/>
                <w:sz w:val="24"/>
                <w:szCs w:val="24"/>
                <w:highlight w:val="none"/>
                <w:lang w:val="en-US" w:eastAsia="zh-CN" w:bidi="ar"/>
              </w:rPr>
              <w:t>：</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1,136.15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1" w:type="pct"/>
            <w:vMerge w:val="restar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年度目标完成情况</w:t>
            </w:r>
          </w:p>
        </w:tc>
        <w:tc>
          <w:tcPr>
            <w:tcW w:w="2007" w:type="pct"/>
            <w:gridSpan w:val="3"/>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预期目标</w:t>
            </w:r>
          </w:p>
        </w:tc>
        <w:tc>
          <w:tcPr>
            <w:tcW w:w="2480"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实际完成目标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2007" w:type="pct"/>
            <w:gridSpan w:val="3"/>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坚决执行党章要求，从严治党。贯彻党风廉政长效机制，营造风清气正政治环境。正风肃纪监督检查，扎实开展夯基筑坝工作。</w:t>
            </w:r>
          </w:p>
        </w:tc>
        <w:tc>
          <w:tcPr>
            <w:tcW w:w="2480" w:type="pct"/>
            <w:gridSpan w:val="2"/>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实现纪律检查全覆盖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1" w:type="pct"/>
            <w:vMerge w:val="restar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绩效指标完成情况</w:t>
            </w: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一级指标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二级指标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三级指标</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预期指标值</w:t>
            </w:r>
            <w:r>
              <w:rPr>
                <w:rFonts w:hint="eastAsia" w:eastAsia="仿宋_GB2312" w:cs="Times New Roman"/>
                <w:color w:val="000000"/>
                <w:kern w:val="0"/>
                <w:sz w:val="24"/>
                <w:szCs w:val="24"/>
                <w:highlight w:val="none"/>
                <w:lang w:val="en-US" w:eastAsia="zh-CN" w:bidi="ar"/>
              </w:rPr>
              <w:t>（</w:t>
            </w:r>
            <w:r>
              <w:rPr>
                <w:rFonts w:hint="eastAsia" w:ascii="Times New Roman" w:hAnsi="Times New Roman" w:eastAsia="仿宋_GB2312" w:cs="Times New Roman"/>
                <w:color w:val="000000"/>
                <w:kern w:val="0"/>
                <w:sz w:val="24"/>
                <w:szCs w:val="24"/>
                <w:highlight w:val="none"/>
                <w:lang w:val="en-US" w:eastAsia="zh-CN" w:bidi="ar"/>
              </w:rPr>
              <w:t>包含数字及文字描述</w:t>
            </w:r>
            <w:r>
              <w:rPr>
                <w:rFonts w:hint="eastAsia" w:eastAsia="仿宋_GB2312" w:cs="Times New Roman"/>
                <w:color w:val="000000"/>
                <w:kern w:val="0"/>
                <w:sz w:val="24"/>
                <w:szCs w:val="24"/>
                <w:highlight w:val="none"/>
                <w:lang w:val="en-US" w:eastAsia="zh-CN" w:bidi="ar"/>
              </w:rPr>
              <w:t>）</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实际完成指标值</w:t>
            </w:r>
            <w:r>
              <w:rPr>
                <w:rFonts w:hint="eastAsia" w:eastAsia="仿宋_GB2312" w:cs="Times New Roman"/>
                <w:color w:val="000000"/>
                <w:kern w:val="0"/>
                <w:sz w:val="24"/>
                <w:szCs w:val="24"/>
                <w:highlight w:val="none"/>
                <w:lang w:val="en-US" w:eastAsia="zh-CN" w:bidi="ar"/>
              </w:rPr>
              <w:t>（</w:t>
            </w:r>
            <w:r>
              <w:rPr>
                <w:rFonts w:hint="eastAsia" w:ascii="Times New Roman" w:hAnsi="Times New Roman" w:eastAsia="仿宋_GB2312" w:cs="Times New Roman"/>
                <w:color w:val="000000"/>
                <w:kern w:val="0"/>
                <w:sz w:val="24"/>
                <w:szCs w:val="24"/>
                <w:highlight w:val="none"/>
                <w:lang w:val="en-US" w:eastAsia="zh-CN" w:bidi="ar"/>
              </w:rPr>
              <w:t>包含数字及文字描述</w:t>
            </w:r>
            <w:r>
              <w:rPr>
                <w:rFonts w:hint="eastAsia" w:eastAsia="仿宋_GB2312" w:cs="Times New Roman"/>
                <w:color w:val="000000"/>
                <w:kern w:val="0"/>
                <w:sz w:val="24"/>
                <w:szCs w:val="24"/>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1"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项目完成指标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数量指标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受理问题线索70件次，案件办理42件以上</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≥100元/年</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9"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效益指标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社会效益指标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加强党风廉政建设，提升社会评价</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≥100元/年</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jc w:val="center"/>
        </w:trPr>
        <w:tc>
          <w:tcPr>
            <w:tcW w:w="511" w:type="pct"/>
            <w:vMerge w:val="continue"/>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c>
          <w:tcPr>
            <w:tcW w:w="545"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满意度指标</w:t>
            </w:r>
          </w:p>
        </w:tc>
        <w:tc>
          <w:tcPr>
            <w:tcW w:w="610"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满意度指标</w:t>
            </w:r>
          </w:p>
        </w:tc>
        <w:tc>
          <w:tcPr>
            <w:tcW w:w="85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服务对象满意度</w:t>
            </w:r>
          </w:p>
        </w:tc>
        <w:tc>
          <w:tcPr>
            <w:tcW w:w="1259"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≥100元/年</w:t>
            </w:r>
          </w:p>
        </w:tc>
        <w:tc>
          <w:tcPr>
            <w:tcW w:w="1221" w:type="pct"/>
            <w:tcMar>
              <w:top w:w="15" w:type="dxa"/>
              <w:left w:w="15" w:type="dxa"/>
              <w:right w:w="15" w:type="dxa"/>
            </w:tcMar>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综上所述，根据中共阿坝县纪律检查委员会</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部门整体支出</w:t>
      </w:r>
      <w:r>
        <w:rPr>
          <w:rFonts w:hint="eastAsia" w:ascii="Times New Roman" w:hAnsi="Times New Roman" w:eastAsia="仿宋_GB2312" w:cs="Times New Roman"/>
          <w:color w:val="000000"/>
          <w:kern w:val="0"/>
          <w:sz w:val="32"/>
          <w:szCs w:val="32"/>
          <w:highlight w:val="none"/>
          <w:lang w:val="en-US" w:eastAsia="zh-CN" w:bidi="ar"/>
        </w:rPr>
        <w:t>绩效目标</w:t>
      </w:r>
      <w:r>
        <w:rPr>
          <w:rFonts w:hint="eastAsia" w:eastAsia="仿宋_GB2312" w:cs="Times New Roman"/>
          <w:color w:val="000000"/>
          <w:kern w:val="0"/>
          <w:sz w:val="32"/>
          <w:szCs w:val="32"/>
          <w:highlight w:val="none"/>
          <w:lang w:val="en-US" w:eastAsia="zh-CN" w:bidi="ar"/>
        </w:rPr>
        <w:t>设置情况，指标得分为2分。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——目标实现指标分析（权重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2022年中共阿坝县纪律检查委员会编制部门项目数量指标共计5个，目标实现程度如下：</w:t>
      </w:r>
    </w:p>
    <w:tbl>
      <w:tblPr>
        <w:tblStyle w:val="40"/>
        <w:tblW w:w="916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1"/>
        <w:gridCol w:w="2114"/>
        <w:gridCol w:w="2616"/>
        <w:gridCol w:w="1620"/>
        <w:gridCol w:w="1297"/>
        <w:gridCol w:w="7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blHeader/>
        </w:trPr>
        <w:tc>
          <w:tcPr>
            <w:tcW w:w="771"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序号</w:t>
            </w:r>
          </w:p>
        </w:tc>
        <w:tc>
          <w:tcPr>
            <w:tcW w:w="2114"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项目名称</w:t>
            </w:r>
          </w:p>
        </w:tc>
        <w:tc>
          <w:tcPr>
            <w:tcW w:w="2616"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绩效目标数量</w:t>
            </w:r>
          </w:p>
        </w:tc>
        <w:tc>
          <w:tcPr>
            <w:tcW w:w="1620"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实际完成绩效目标数量</w:t>
            </w:r>
          </w:p>
        </w:tc>
        <w:tc>
          <w:tcPr>
            <w:tcW w:w="1297"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目标实现率（%）</w:t>
            </w:r>
          </w:p>
        </w:tc>
        <w:tc>
          <w:tcPr>
            <w:tcW w:w="751" w:type="dxa"/>
            <w:tcBorders>
              <w:top w:val="single" w:color="000000" w:sz="8" w:space="0"/>
              <w:left w:val="single" w:color="000000" w:sz="8" w:space="0"/>
              <w:bottom w:val="single" w:color="000000" w:sz="8" w:space="0"/>
              <w:right w:val="single" w:color="000000" w:sz="8" w:space="0"/>
            </w:tcBorders>
            <w:shd w:val="clear" w:color="auto" w:fill="BEBEBE" w:themeFill="background1" w:themeFillShade="BF"/>
            <w:vAlign w:val="center"/>
          </w:tcPr>
          <w:p>
            <w:pPr>
              <w:keepNext w:val="0"/>
              <w:keepLines w:val="0"/>
              <w:widowControl/>
              <w:suppressLineNumbers w:val="0"/>
              <w:ind w:left="0" w:leftChars="0" w:firstLine="0" w:firstLineChars="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4"/>
                <w:szCs w:val="24"/>
                <w:highlight w:val="none"/>
                <w:lang w:val="en-US" w:eastAsia="zh-CN" w:bidi="ar"/>
              </w:rPr>
            </w:pPr>
            <w:r>
              <w:rPr>
                <w:rFonts w:hint="eastAsia" w:ascii="Times New Roman" w:hAnsi="Times New Roman" w:eastAsia="仿宋_GB2312" w:cs="Times New Roman"/>
                <w:b w:val="0"/>
                <w:bCs w:val="0"/>
                <w:color w:val="000000"/>
                <w:kern w:val="0"/>
                <w:sz w:val="24"/>
                <w:szCs w:val="24"/>
                <w:highlight w:val="none"/>
                <w:lang w:val="en-US" w:eastAsia="zh-CN" w:bidi="ar"/>
              </w:rPr>
              <w:t>1</w:t>
            </w:r>
          </w:p>
        </w:tc>
        <w:tc>
          <w:tcPr>
            <w:tcW w:w="2114"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村务监督委员会成员工资</w:t>
            </w:r>
          </w:p>
        </w:tc>
        <w:tc>
          <w:tcPr>
            <w:tcW w:w="2616"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251名村委监委会干部工资</w:t>
            </w:r>
          </w:p>
        </w:tc>
        <w:tc>
          <w:tcPr>
            <w:tcW w:w="162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251名</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2</w:t>
            </w:r>
          </w:p>
        </w:tc>
        <w:tc>
          <w:tcPr>
            <w:tcW w:w="2114"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村务监督委员会硬件设备经费</w:t>
            </w:r>
          </w:p>
        </w:tc>
        <w:tc>
          <w:tcPr>
            <w:tcW w:w="2616"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81个行政村监察委员会的挂牌、聘书、公章等。</w:t>
            </w:r>
          </w:p>
        </w:tc>
        <w:tc>
          <w:tcPr>
            <w:tcW w:w="162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81个</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3</w:t>
            </w:r>
          </w:p>
        </w:tc>
        <w:tc>
          <w:tcPr>
            <w:tcW w:w="2114"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中央纪委转移支付资金</w:t>
            </w:r>
          </w:p>
        </w:tc>
        <w:tc>
          <w:tcPr>
            <w:tcW w:w="2616"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保障单位全年工作经费</w:t>
            </w:r>
          </w:p>
        </w:tc>
        <w:tc>
          <w:tcPr>
            <w:tcW w:w="162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1年</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4</w:t>
            </w:r>
          </w:p>
        </w:tc>
        <w:tc>
          <w:tcPr>
            <w:tcW w:w="2114"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公务用车维修资金</w:t>
            </w:r>
          </w:p>
        </w:tc>
        <w:tc>
          <w:tcPr>
            <w:tcW w:w="2616"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公车1辆（川U03929）维修经费</w:t>
            </w:r>
          </w:p>
        </w:tc>
        <w:tc>
          <w:tcPr>
            <w:tcW w:w="162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1辆</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b w:val="0"/>
                <w:bCs w:val="0"/>
                <w:color w:val="000000"/>
                <w:kern w:val="0"/>
                <w:sz w:val="24"/>
                <w:szCs w:val="24"/>
                <w:highlight w:val="none"/>
                <w:lang w:val="en-US" w:eastAsia="zh-CN" w:bidi="ar"/>
              </w:rPr>
            </w:pPr>
            <w:r>
              <w:rPr>
                <w:rFonts w:hint="eastAsia" w:eastAsia="仿宋_GB2312" w:cs="Times New Roman"/>
                <w:b w:val="0"/>
                <w:bCs w:val="0"/>
                <w:color w:val="000000"/>
                <w:kern w:val="0"/>
                <w:sz w:val="24"/>
                <w:szCs w:val="24"/>
                <w:highlight w:val="none"/>
                <w:lang w:val="en-US" w:eastAsia="zh-CN" w:bidi="ar"/>
              </w:rPr>
              <w:t>5</w:t>
            </w:r>
          </w:p>
        </w:tc>
        <w:tc>
          <w:tcPr>
            <w:tcW w:w="2114"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谈话室建设</w:t>
            </w:r>
          </w:p>
        </w:tc>
        <w:tc>
          <w:tcPr>
            <w:tcW w:w="2616"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完成15间谈话室建设</w:t>
            </w:r>
          </w:p>
        </w:tc>
        <w:tc>
          <w:tcPr>
            <w:tcW w:w="162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15间</w:t>
            </w:r>
          </w:p>
        </w:tc>
        <w:tc>
          <w:tcPr>
            <w:tcW w:w="1297"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sz w:val="24"/>
                <w:szCs w:val="24"/>
                <w:highlight w:val="none"/>
                <w:lang w:val="en-US" w:eastAsia="zh-CN" w:bidi="ar"/>
              </w:rPr>
              <w:t>100%</w:t>
            </w:r>
          </w:p>
        </w:tc>
        <w:tc>
          <w:tcPr>
            <w:tcW w:w="75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综上，</w:t>
      </w:r>
      <w:r>
        <w:rPr>
          <w:rFonts w:hint="eastAsia" w:eastAsia="仿宋_GB2312" w:cs="Times New Roman"/>
          <w:color w:val="000000"/>
          <w:kern w:val="0"/>
          <w:sz w:val="32"/>
          <w:szCs w:val="32"/>
          <w:highlight w:val="none"/>
          <w:lang w:val="en-US" w:eastAsia="zh-CN" w:bidi="ar"/>
        </w:rPr>
        <w:t>中共阿坝县纪律检查委员会</w:t>
      </w:r>
      <w:r>
        <w:rPr>
          <w:rFonts w:hint="default"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年编制的绩效目标评价实现率为100%，共</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个绩效目标达到预期值。该项指标得分=达到预期值的数量指标个数/全部数量指标个数（即评价选取的项目绩效目标包含的所有数量指标）*</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个*</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ascii="Times New Roman" w:hAnsi="Times New Roman"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（2）</w:t>
      </w:r>
      <w:r>
        <w:rPr>
          <w:rFonts w:hint="eastAsia" w:eastAsia="仿宋_GB2312" w:cs="Times New Roman"/>
          <w:b/>
          <w:bCs/>
          <w:kern w:val="0"/>
          <w:sz w:val="32"/>
          <w:szCs w:val="32"/>
          <w:highlight w:val="none"/>
          <w:shd w:val="clear" w:color="auto" w:fill="FFFFFF"/>
          <w:lang w:val="en-US" w:eastAsia="zh-CN"/>
        </w:rPr>
        <w:t>预算执行</w:t>
      </w:r>
      <w:r>
        <w:rPr>
          <w:rFonts w:hint="default" w:ascii="Times New Roman" w:hAnsi="Times New Roman" w:eastAsia="仿宋_GB2312" w:cs="Times New Roman"/>
          <w:b/>
          <w:bCs/>
          <w:kern w:val="0"/>
          <w:sz w:val="32"/>
          <w:szCs w:val="32"/>
          <w:highlight w:val="none"/>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rPr>
      </w:pPr>
      <w:r>
        <w:rPr>
          <w:rFonts w:hint="default" w:ascii="Times New Roman" w:hAnsi="Times New Roman" w:eastAsia="仿宋_GB2312" w:cs="Times New Roman"/>
          <w:b/>
          <w:bCs/>
          <w:kern w:val="0"/>
          <w:sz w:val="32"/>
          <w:szCs w:val="32"/>
          <w:highlight w:val="none"/>
          <w:shd w:val="clear" w:color="auto" w:fill="FFFFFF"/>
          <w:lang w:val="en-US" w:eastAsia="zh-CN"/>
        </w:rPr>
        <w:t>——支出控制指标分析（权重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被评价单位</w:t>
      </w:r>
      <w:r>
        <w:rPr>
          <w:rFonts w:hint="eastAsia" w:eastAsia="仿宋_GB2312" w:cs="Times New Roman"/>
          <w:color w:val="000000"/>
          <w:kern w:val="0"/>
          <w:sz w:val="32"/>
          <w:szCs w:val="32"/>
          <w:highlight w:val="none"/>
          <w:lang w:val="en-US" w:eastAsia="zh-CN" w:bidi="ar"/>
        </w:rPr>
        <w:t>2022年预算报表记载，部门日常公用经费、项目支出中的“</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”年初预算共32.01万元（其中部门日常公用经费涉及32.01万元，项目支出涉及0.00万元），2022年部门决算报表记载，部门</w:t>
      </w:r>
      <w:r>
        <w:rPr>
          <w:rFonts w:hint="eastAsia" w:ascii="Times New Roman" w:hAnsi="Times New Roman" w:eastAsia="仿宋_GB2312" w:cs="Times New Roman"/>
          <w:color w:val="000000"/>
          <w:kern w:val="0"/>
          <w:sz w:val="32"/>
          <w:szCs w:val="32"/>
          <w:highlight w:val="none"/>
          <w:lang w:val="en-US" w:eastAsia="zh-CN" w:bidi="ar"/>
        </w:rPr>
        <w:t>日常公用经费</w:t>
      </w:r>
      <w:r>
        <w:rPr>
          <w:rFonts w:hint="default" w:ascii="Times New Roman" w:hAnsi="Times New Roman" w:eastAsia="仿宋_GB2312" w:cs="Times New Roman"/>
          <w:color w:val="000000"/>
          <w:kern w:val="0"/>
          <w:sz w:val="32"/>
          <w:szCs w:val="32"/>
          <w:highlight w:val="none"/>
          <w:lang w:val="en-US" w:eastAsia="zh-CN" w:bidi="ar"/>
        </w:rPr>
        <w:t>、项目支出中</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等科目支出数共</w:t>
      </w:r>
      <w:r>
        <w:rPr>
          <w:rFonts w:hint="eastAsia" w:eastAsia="仿宋_GB2312" w:cs="Times New Roman"/>
          <w:color w:val="000000"/>
          <w:kern w:val="0"/>
          <w:sz w:val="32"/>
          <w:szCs w:val="32"/>
          <w:highlight w:val="none"/>
          <w:lang w:val="en-US" w:eastAsia="zh-CN" w:bidi="ar"/>
        </w:rPr>
        <w:t>110.29万元（其中部门日常公用经费涉及110.29万元，项目支出涉及0.00万元），</w:t>
      </w:r>
      <w:r>
        <w:rPr>
          <w:rFonts w:hint="default" w:ascii="Times New Roman" w:hAnsi="Times New Roman" w:eastAsia="仿宋_GB2312" w:cs="Times New Roman"/>
          <w:color w:val="000000"/>
          <w:kern w:val="0"/>
          <w:sz w:val="32"/>
          <w:szCs w:val="32"/>
          <w:highlight w:val="none"/>
          <w:lang w:val="en-US" w:eastAsia="zh-CN" w:bidi="ar"/>
        </w:rPr>
        <w:t>预决算偏差程度=（</w:t>
      </w:r>
      <w:r>
        <w:rPr>
          <w:rFonts w:hint="eastAsia" w:eastAsia="仿宋_GB2312" w:cs="Times New Roman"/>
          <w:color w:val="000000"/>
          <w:kern w:val="0"/>
          <w:sz w:val="32"/>
          <w:szCs w:val="32"/>
          <w:highlight w:val="none"/>
          <w:lang w:val="en-US" w:eastAsia="zh-CN" w:bidi="ar"/>
        </w:rPr>
        <w:t>110.29万元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32.01万元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32.01万元</w:t>
      </w:r>
      <w:r>
        <w:rPr>
          <w:rFonts w:hint="default"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244.55</w:t>
      </w:r>
      <w:r>
        <w:rPr>
          <w:rFonts w:hint="default" w:ascii="Times New Roman" w:hAnsi="Times New Roman" w:eastAsia="仿宋_GB2312" w:cs="Times New Roman"/>
          <w:color w:val="000000"/>
          <w:kern w:val="0"/>
          <w:sz w:val="32"/>
          <w:szCs w:val="32"/>
          <w:highlight w:val="none"/>
          <w:lang w:val="en-US" w:eastAsia="zh-CN" w:bidi="ar"/>
        </w:rPr>
        <w:t>%。预决算偏差程度在</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eastAsia="仿宋_GB2312" w:cs="Times New Roman"/>
          <w:color w:val="000000"/>
          <w:kern w:val="0"/>
          <w:sz w:val="32"/>
          <w:szCs w:val="32"/>
          <w:highlight w:val="none"/>
          <w:lang w:val="en-US" w:eastAsia="zh-CN" w:bidi="ar"/>
        </w:rPr>
        <w:t>以外</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扣</w:t>
      </w:r>
      <w:r>
        <w:rPr>
          <w:rFonts w:hint="default" w:ascii="Times New Roman" w:hAnsi="Times New Roman" w:eastAsia="仿宋_GB2312" w:cs="Times New Roman"/>
          <w:color w:val="000000"/>
          <w:kern w:val="0"/>
          <w:sz w:val="32"/>
          <w:szCs w:val="32"/>
          <w:highlight w:val="none"/>
          <w:lang w:val="en-US" w:eastAsia="zh-CN" w:bidi="ar"/>
        </w:rPr>
        <w:t>6分</w:t>
      </w:r>
      <w:r>
        <w:rPr>
          <w:rFonts w:hint="eastAsia"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——执行进度指标分析（权重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4.54</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年1-6月部门预算序时进度=529.51万元/1</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136.15万元*100%=</w:t>
      </w:r>
      <w:r>
        <w:rPr>
          <w:rFonts w:hint="eastAsia" w:eastAsia="仿宋_GB2312" w:cs="Times New Roman"/>
          <w:color w:val="000000"/>
          <w:kern w:val="0"/>
          <w:sz w:val="32"/>
          <w:szCs w:val="32"/>
          <w:highlight w:val="none"/>
          <w:lang w:val="en-US" w:eastAsia="zh-CN" w:bidi="ar"/>
        </w:rPr>
        <w:t>46</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61</w:t>
      </w:r>
      <w:r>
        <w:rPr>
          <w:rFonts w:hint="eastAsia" w:ascii="Times New Roman" w:hAnsi="Times New Roman" w:eastAsia="仿宋_GB2312" w:cs="Times New Roman"/>
          <w:color w:val="000000"/>
          <w:kern w:val="0"/>
          <w:sz w:val="32"/>
          <w:szCs w:val="32"/>
          <w:highlight w:val="none"/>
          <w:lang w:val="en-US" w:eastAsia="zh-CN" w:bidi="ar"/>
        </w:rPr>
        <w:t>%，未达到80.00%序时进度，得分</w:t>
      </w:r>
      <w:r>
        <w:rPr>
          <w:rFonts w:hint="eastAsia" w:eastAsia="仿宋_GB2312" w:cs="Times New Roman"/>
          <w:color w:val="000000"/>
          <w:kern w:val="0"/>
          <w:sz w:val="32"/>
          <w:szCs w:val="32"/>
          <w:highlight w:val="none"/>
          <w:lang w:val="en-US" w:eastAsia="zh-CN" w:bidi="ar"/>
        </w:rPr>
        <w:t>1</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17</w:t>
      </w:r>
      <w:r>
        <w:rPr>
          <w:rFonts w:hint="eastAsia" w:ascii="Times New Roman" w:hAnsi="Times New Roman" w:eastAsia="仿宋_GB2312" w:cs="Times New Roman"/>
          <w:color w:val="000000"/>
          <w:kern w:val="0"/>
          <w:sz w:val="32"/>
          <w:szCs w:val="32"/>
          <w:highlight w:val="none"/>
          <w:lang w:val="en-US" w:eastAsia="zh-CN" w:bidi="ar"/>
        </w:rPr>
        <w:t>分；202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年1-9月预算序时进度=785.92万元/1</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136.15万元</w:t>
      </w:r>
      <w:r>
        <w:rPr>
          <w:rFonts w:hint="eastAsia" w:eastAsia="仿宋_GB2312" w:cs="Times New Roman"/>
          <w:color w:val="000000"/>
          <w:kern w:val="0"/>
          <w:sz w:val="32"/>
          <w:szCs w:val="32"/>
          <w:highlight w:val="none"/>
          <w:lang w:val="en-US" w:eastAsia="zh-CN" w:bidi="ar"/>
        </w:rPr>
        <w:t>*100%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69</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17</w:t>
      </w:r>
      <w:r>
        <w:rPr>
          <w:rFonts w:hint="eastAsia" w:ascii="Times New Roman" w:hAnsi="Times New Roman" w:eastAsia="仿宋_GB2312" w:cs="Times New Roman"/>
          <w:color w:val="000000"/>
          <w:kern w:val="0"/>
          <w:sz w:val="32"/>
          <w:szCs w:val="32"/>
          <w:highlight w:val="none"/>
          <w:lang w:val="en-US" w:eastAsia="zh-CN" w:bidi="ar"/>
        </w:rPr>
        <w:t>%，未达到90.00%的序时进度，得分</w:t>
      </w:r>
      <w:r>
        <w:rPr>
          <w:rFonts w:hint="eastAsia" w:eastAsia="仿宋_GB2312" w:cs="Times New Roman"/>
          <w:color w:val="000000"/>
          <w:kern w:val="0"/>
          <w:sz w:val="32"/>
          <w:szCs w:val="32"/>
          <w:highlight w:val="none"/>
          <w:lang w:val="en-US" w:eastAsia="zh-CN" w:bidi="ar"/>
        </w:rPr>
        <w:t>1</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54</w:t>
      </w:r>
      <w:r>
        <w:rPr>
          <w:rFonts w:hint="eastAsia" w:ascii="Times New Roman" w:hAnsi="Times New Roman" w:eastAsia="仿宋_GB2312" w:cs="Times New Roman"/>
          <w:color w:val="000000"/>
          <w:kern w:val="0"/>
          <w:sz w:val="32"/>
          <w:szCs w:val="32"/>
          <w:highlight w:val="none"/>
          <w:lang w:val="en-US" w:eastAsia="zh-CN" w:bidi="ar"/>
        </w:rPr>
        <w:t>分；202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年1-11月预算序时进度</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935.93万元/1</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136.15万元</w:t>
      </w:r>
      <w:r>
        <w:rPr>
          <w:rFonts w:hint="eastAsia" w:eastAsia="仿宋_GB2312" w:cs="Times New Roman"/>
          <w:color w:val="000000"/>
          <w:kern w:val="0"/>
          <w:sz w:val="32"/>
          <w:szCs w:val="32"/>
          <w:highlight w:val="none"/>
          <w:lang w:val="en-US" w:eastAsia="zh-CN" w:bidi="ar"/>
        </w:rPr>
        <w:t>*100%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82</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38%</w:t>
      </w:r>
      <w:r>
        <w:rPr>
          <w:rFonts w:hint="eastAsia" w:ascii="Times New Roman" w:hAnsi="Times New Roman" w:eastAsia="仿宋_GB2312" w:cs="Times New Roman"/>
          <w:color w:val="000000"/>
          <w:kern w:val="0"/>
          <w:sz w:val="32"/>
          <w:szCs w:val="32"/>
          <w:highlight w:val="none"/>
          <w:lang w:val="en-US" w:eastAsia="zh-CN" w:bidi="ar"/>
        </w:rPr>
        <w:t>，未达到90.00%序时进度，得分</w:t>
      </w:r>
      <w:r>
        <w:rPr>
          <w:rFonts w:hint="eastAsia" w:eastAsia="仿宋_GB2312" w:cs="Times New Roman"/>
          <w:color w:val="000000"/>
          <w:kern w:val="0"/>
          <w:sz w:val="32"/>
          <w:szCs w:val="32"/>
          <w:highlight w:val="none"/>
          <w:lang w:val="en-US" w:eastAsia="zh-CN" w:bidi="ar"/>
        </w:rPr>
        <w:t>1</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83</w:t>
      </w:r>
      <w:r>
        <w:rPr>
          <w:rFonts w:hint="eastAsia" w:ascii="Times New Roman" w:hAnsi="Times New Roman" w:eastAsia="仿宋_GB2312" w:cs="Times New Roman"/>
          <w:color w:val="000000"/>
          <w:kern w:val="0"/>
          <w:sz w:val="32"/>
          <w:szCs w:val="32"/>
          <w:highlight w:val="none"/>
          <w:lang w:val="en-US" w:eastAsia="zh-CN" w:bidi="ar"/>
        </w:rPr>
        <w:t>分。最终得分=</w:t>
      </w:r>
      <w:r>
        <w:rPr>
          <w:rFonts w:hint="eastAsia" w:eastAsia="仿宋_GB2312" w:cs="Times New Roman"/>
          <w:color w:val="000000"/>
          <w:kern w:val="0"/>
          <w:sz w:val="32"/>
          <w:szCs w:val="32"/>
          <w:highlight w:val="none"/>
          <w:lang w:val="en-US" w:eastAsia="zh-CN" w:bidi="ar"/>
        </w:rPr>
        <w:t>1.17+1.54+1.83</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4</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54</w:t>
      </w:r>
      <w:r>
        <w:rPr>
          <w:rFonts w:hint="eastAsia"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（3）完成结果情况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预算完成</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被评价单位2022年部门年初预算项目共0个，年中追加项目7个，截至2022年12月31日年中追加项目预算执行进度如下表：</w:t>
      </w:r>
    </w:p>
    <w:tbl>
      <w:tblPr>
        <w:tblStyle w:val="40"/>
        <w:tblW w:w="54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543"/>
        <w:gridCol w:w="1487"/>
        <w:gridCol w:w="956"/>
        <w:gridCol w:w="1024"/>
        <w:gridCol w:w="1366"/>
        <w:gridCol w:w="1300"/>
        <w:gridCol w:w="11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tblHeader/>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项目名称</w:t>
            </w:r>
          </w:p>
        </w:tc>
        <w:tc>
          <w:tcPr>
            <w:tcW w:w="757"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年初预算数（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486"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追加数（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521"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追减数（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695"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当前预算</w:t>
            </w:r>
          </w:p>
        </w:tc>
        <w:tc>
          <w:tcPr>
            <w:tcW w:w="661"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年末执行数（</w:t>
            </w:r>
            <w:r>
              <w:rPr>
                <w:rFonts w:hint="eastAsia" w:eastAsia="仿宋_GB2312" w:cs="Times New Roman"/>
                <w:b/>
                <w:bCs/>
                <w:i w:val="0"/>
                <w:iCs w:val="0"/>
                <w:color w:val="000000"/>
                <w:kern w:val="0"/>
                <w:sz w:val="21"/>
                <w:szCs w:val="21"/>
                <w:highlight w:val="none"/>
                <w:u w:val="none"/>
                <w:lang w:val="en-US" w:eastAsia="zh-CN" w:bidi="ar"/>
              </w:rPr>
              <w:t>万</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元）</w:t>
            </w:r>
          </w:p>
        </w:tc>
        <w:tc>
          <w:tcPr>
            <w:tcW w:w="582" w:type="pct"/>
            <w:tcBorders>
              <w:top w:val="single" w:color="000000" w:sz="4" w:space="0"/>
              <w:left w:val="single" w:color="000000" w:sz="4" w:space="0"/>
              <w:bottom w:val="single" w:color="000000" w:sz="4" w:space="0"/>
              <w:right w:val="single" w:color="000000" w:sz="4" w:space="0"/>
            </w:tcBorders>
            <w:shd w:val="clear" w:color="auto" w:fill="BEBEBE"/>
            <w:vAlign w:val="center"/>
          </w:tcPr>
          <w:p>
            <w:pPr>
              <w:keepNext w:val="0"/>
              <w:keepLines w:val="0"/>
              <w:widowControl/>
              <w:suppressLineNumbers w:val="0"/>
              <w:spacing w:line="240" w:lineRule="auto"/>
              <w:ind w:left="0" w:leftChars="0" w:firstLine="0" w:firstLineChars="0"/>
              <w:jc w:val="center"/>
              <w:textAlignment w:val="center"/>
              <w:rPr>
                <w:rFonts w:hint="eastAsia" w:ascii="Times New Roman" w:hAnsi="Times New Roman" w:eastAsia="仿宋_GB2312" w:cs="Times New Roman"/>
                <w:b/>
                <w:bCs/>
                <w:i w:val="0"/>
                <w:iCs w:val="0"/>
                <w:color w:val="000000"/>
                <w:kern w:val="0"/>
                <w:sz w:val="21"/>
                <w:szCs w:val="21"/>
                <w:highlight w:val="none"/>
                <w:u w:val="none"/>
                <w:lang w:val="en-US" w:eastAsia="zh-CN" w:bidi="ar"/>
              </w:rPr>
            </w:pPr>
            <w:r>
              <w:rPr>
                <w:rFonts w:hint="eastAsia" w:ascii="Times New Roman" w:hAnsi="Times New Roman" w:eastAsia="仿宋_GB2312" w:cs="Times New Roman"/>
                <w:b/>
                <w:bCs/>
                <w:i w:val="0"/>
                <w:iCs w:val="0"/>
                <w:color w:val="000000"/>
                <w:kern w:val="0"/>
                <w:sz w:val="21"/>
                <w:szCs w:val="21"/>
                <w:highlight w:val="none"/>
                <w:u w:val="none"/>
                <w:lang w:val="en-US" w:eastAsia="zh-CN" w:bidi="ar"/>
              </w:rPr>
              <w:t>执行进度（</w:t>
            </w:r>
            <w:r>
              <w:rPr>
                <w:rFonts w:hint="default" w:ascii="Times New Roman" w:hAnsi="Times New Roman" w:eastAsia="仿宋_GB2312" w:cs="Times New Roman"/>
                <w:b/>
                <w:bCs/>
                <w:i w:val="0"/>
                <w:iCs w:val="0"/>
                <w:color w:val="000000"/>
                <w:kern w:val="0"/>
                <w:sz w:val="21"/>
                <w:szCs w:val="21"/>
                <w:highlight w:val="none"/>
                <w:u w:val="none"/>
                <w:lang w:val="en-US" w:eastAsia="zh-CN" w:bidi="ar"/>
              </w:rPr>
              <w:t>%</w:t>
            </w:r>
            <w:r>
              <w:rPr>
                <w:rFonts w:hint="eastAsia" w:ascii="Times New Roman" w:hAnsi="Times New Roman" w:eastAsia="仿宋_GB2312" w:cs="Times New Roman"/>
                <w:b/>
                <w:bCs/>
                <w:i w:val="0"/>
                <w:iCs w:val="0"/>
                <w:color w:val="000000"/>
                <w:kern w:val="0"/>
                <w:sz w:val="21"/>
                <w:szCs w:val="21"/>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村务监督委员会成员工资</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20.43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20.43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20.43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村务监督委员会硬件设备经费</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7.58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7.58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7.58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中央纪委转移支付资金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21.00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21.00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21.00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公务用车维修资金</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7.30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7.30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7.30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谈话室建设</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43.47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43.47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43.47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办案经费</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30.00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30.00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30.00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4"/>
                <w:szCs w:val="24"/>
                <w:highlight w:val="none"/>
                <w:lang w:val="en-US" w:eastAsia="zh-CN" w:bidi="ar"/>
              </w:rPr>
            </w:pPr>
            <w:r>
              <w:rPr>
                <w:rFonts w:hint="eastAsia" w:ascii="Times New Roman" w:hAnsi="Times New Roman" w:eastAsia="仿宋_GB2312" w:cs="Times New Roman"/>
                <w:color w:val="000000"/>
                <w:kern w:val="0"/>
                <w:sz w:val="24"/>
                <w:szCs w:val="24"/>
                <w:highlight w:val="none"/>
                <w:lang w:val="en-US" w:eastAsia="zh-CN" w:bidi="ar"/>
              </w:rPr>
              <w:t>办案费</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15.00 </w:t>
            </w:r>
          </w:p>
        </w:tc>
        <w:tc>
          <w:tcPr>
            <w:tcW w:w="5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15.00 </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 xml:space="preserve">15.00 </w:t>
            </w:r>
          </w:p>
        </w:tc>
        <w:tc>
          <w:tcPr>
            <w:tcW w:w="5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4"/>
                <w:szCs w:val="24"/>
                <w:highlight w:val="none"/>
                <w:lang w:val="en-US" w:eastAsia="zh-CN" w:bidi="ar"/>
              </w:rPr>
            </w:pPr>
            <w:r>
              <w:rPr>
                <w:rFonts w:hint="default" w:ascii="Times New Roman" w:hAnsi="Times New Roman" w:eastAsia="仿宋_GB2312" w:cs="Times New Roman"/>
                <w:color w:val="000000"/>
                <w:kern w:val="0"/>
                <w:sz w:val="24"/>
                <w:szCs w:val="24"/>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 w:hRule="atLeast"/>
          <w:jc w:val="center"/>
        </w:trPr>
        <w:tc>
          <w:tcPr>
            <w:tcW w:w="1294"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4"/>
                <w:szCs w:val="24"/>
                <w:highlight w:val="none"/>
                <w:lang w:val="en-US" w:eastAsia="zh-CN" w:bidi="ar"/>
              </w:rPr>
            </w:pPr>
            <w:r>
              <w:rPr>
                <w:rFonts w:hint="eastAsia" w:ascii="Times New Roman" w:hAnsi="Times New Roman" w:eastAsia="仿宋_GB2312" w:cs="Times New Roman"/>
                <w:b/>
                <w:bCs/>
                <w:color w:val="000000"/>
                <w:kern w:val="0"/>
                <w:sz w:val="24"/>
                <w:szCs w:val="24"/>
                <w:highlight w:val="none"/>
                <w:lang w:val="en-US" w:eastAsia="zh-CN" w:bidi="ar"/>
              </w:rPr>
              <w:t>合计</w:t>
            </w:r>
          </w:p>
        </w:tc>
        <w:tc>
          <w:tcPr>
            <w:tcW w:w="757"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 xml:space="preserve">0.00 </w:t>
            </w:r>
          </w:p>
        </w:tc>
        <w:tc>
          <w:tcPr>
            <w:tcW w:w="486"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 xml:space="preserve">144.78 </w:t>
            </w:r>
          </w:p>
        </w:tc>
        <w:tc>
          <w:tcPr>
            <w:tcW w:w="521"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 xml:space="preserve">0.00 </w:t>
            </w:r>
          </w:p>
        </w:tc>
        <w:tc>
          <w:tcPr>
            <w:tcW w:w="695"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 xml:space="preserve">144.78 </w:t>
            </w:r>
          </w:p>
        </w:tc>
        <w:tc>
          <w:tcPr>
            <w:tcW w:w="661"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 xml:space="preserve">144.78 </w:t>
            </w:r>
          </w:p>
        </w:tc>
        <w:tc>
          <w:tcPr>
            <w:tcW w:w="582" w:type="pct"/>
            <w:tcBorders>
              <w:top w:val="single" w:color="000000" w:sz="4" w:space="0"/>
              <w:left w:val="single" w:color="000000" w:sz="4" w:space="0"/>
              <w:bottom w:val="single" w:color="000000" w:sz="4" w:space="0"/>
              <w:right w:val="single" w:color="000000" w:sz="4" w:space="0"/>
            </w:tcBorders>
            <w:shd w:val="clear" w:color="auto" w:fill="BEBEBE"/>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综上，被评价单位202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年部门预算项目总执行进度为</w:t>
      </w:r>
      <w:r>
        <w:rPr>
          <w:rFonts w:hint="eastAsia" w:eastAsia="仿宋_GB2312" w:cs="Times New Roman"/>
          <w:color w:val="000000"/>
          <w:kern w:val="0"/>
          <w:sz w:val="32"/>
          <w:szCs w:val="32"/>
          <w:highlight w:val="none"/>
          <w:lang w:val="en-US" w:eastAsia="zh-CN" w:bidi="ar"/>
        </w:rPr>
        <w:t>100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指标</w:t>
      </w:r>
      <w:r>
        <w:rPr>
          <w:rFonts w:hint="eastAsia"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=100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*8=8</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违规记录</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eastAsia" w:eastAsia="仿宋_GB2312" w:cs="Times New Roman"/>
          <w:b w:val="0"/>
          <w:bCs w:val="0"/>
          <w:kern w:val="0"/>
          <w:sz w:val="32"/>
          <w:szCs w:val="32"/>
          <w:highlight w:val="none"/>
          <w:shd w:val="clear" w:color="auto" w:fill="FFFFFF"/>
          <w:lang w:val="en-US" w:eastAsia="zh-CN"/>
        </w:rPr>
        <w:t>中共阿坝县纪律检查委员会未接受过</w:t>
      </w:r>
      <w:r>
        <w:rPr>
          <w:rFonts w:hint="default" w:ascii="Times New Roman" w:hAnsi="Times New Roman" w:eastAsia="仿宋_GB2312" w:cs="Times New Roman"/>
          <w:b w:val="0"/>
          <w:bCs w:val="0"/>
          <w:kern w:val="0"/>
          <w:sz w:val="32"/>
          <w:szCs w:val="32"/>
          <w:highlight w:val="none"/>
          <w:shd w:val="clear" w:color="auto" w:fill="FFFFFF"/>
          <w:lang w:val="en-US" w:eastAsia="zh-CN"/>
        </w:rPr>
        <w:t>审计、财政</w:t>
      </w:r>
      <w:r>
        <w:rPr>
          <w:rFonts w:hint="eastAsia" w:eastAsia="仿宋_GB2312" w:cs="Times New Roman"/>
          <w:b w:val="0"/>
          <w:bCs w:val="0"/>
          <w:kern w:val="0"/>
          <w:sz w:val="32"/>
          <w:szCs w:val="32"/>
          <w:highlight w:val="none"/>
          <w:shd w:val="clear" w:color="auto" w:fill="FFFFFF"/>
          <w:lang w:val="en-US" w:eastAsia="zh-CN"/>
        </w:rPr>
        <w:t>等</w:t>
      </w:r>
      <w:r>
        <w:rPr>
          <w:rFonts w:hint="default" w:ascii="Times New Roman" w:hAnsi="Times New Roman" w:eastAsia="仿宋_GB2312" w:cs="Times New Roman"/>
          <w:b w:val="0"/>
          <w:bCs w:val="0"/>
          <w:kern w:val="0"/>
          <w:sz w:val="32"/>
          <w:szCs w:val="32"/>
          <w:highlight w:val="none"/>
          <w:shd w:val="clear" w:color="auto" w:fill="FFFFFF"/>
          <w:lang w:val="en-US" w:eastAsia="zh-CN"/>
        </w:rPr>
        <w:t>部门</w:t>
      </w:r>
      <w:r>
        <w:rPr>
          <w:rFonts w:hint="eastAsia" w:eastAsia="仿宋_GB2312" w:cs="Times New Roman"/>
          <w:b w:val="0"/>
          <w:bCs w:val="0"/>
          <w:kern w:val="0"/>
          <w:sz w:val="32"/>
          <w:szCs w:val="32"/>
          <w:highlight w:val="none"/>
          <w:shd w:val="clear" w:color="auto" w:fill="FFFFFF"/>
          <w:lang w:val="en-US" w:eastAsia="zh-CN"/>
        </w:rPr>
        <w:t>对2022年度期间部门</w:t>
      </w:r>
      <w:r>
        <w:rPr>
          <w:rFonts w:hint="default" w:ascii="Times New Roman" w:hAnsi="Times New Roman" w:eastAsia="仿宋_GB2312" w:cs="Times New Roman"/>
          <w:b w:val="0"/>
          <w:bCs w:val="0"/>
          <w:kern w:val="0"/>
          <w:sz w:val="32"/>
          <w:szCs w:val="32"/>
          <w:highlight w:val="none"/>
          <w:shd w:val="clear" w:color="auto" w:fill="FFFFFF"/>
          <w:lang w:val="en-US" w:eastAsia="zh-CN"/>
        </w:rPr>
        <w:t>预算管理</w:t>
      </w:r>
      <w:r>
        <w:rPr>
          <w:rFonts w:hint="eastAsia" w:eastAsia="仿宋_GB2312" w:cs="Times New Roman"/>
          <w:b w:val="0"/>
          <w:bCs w:val="0"/>
          <w:kern w:val="0"/>
          <w:sz w:val="32"/>
          <w:szCs w:val="32"/>
          <w:highlight w:val="none"/>
          <w:shd w:val="clear" w:color="auto" w:fill="FFFFFF"/>
          <w:lang w:val="en-US" w:eastAsia="zh-CN"/>
        </w:rPr>
        <w:t>方面的</w:t>
      </w:r>
      <w:r>
        <w:rPr>
          <w:rFonts w:hint="default" w:ascii="Times New Roman" w:hAnsi="Times New Roman" w:eastAsia="仿宋_GB2312" w:cs="Times New Roman"/>
          <w:b w:val="0"/>
          <w:bCs w:val="0"/>
          <w:kern w:val="0"/>
          <w:sz w:val="32"/>
          <w:szCs w:val="32"/>
          <w:highlight w:val="none"/>
          <w:shd w:val="clear" w:color="auto" w:fill="FFFFFF"/>
          <w:lang w:val="en-US" w:eastAsia="zh-CN"/>
        </w:rPr>
        <w:t>审计监督</w:t>
      </w:r>
      <w:r>
        <w:rPr>
          <w:rFonts w:hint="eastAsia" w:eastAsia="仿宋_GB2312" w:cs="Times New Roman"/>
          <w:b w:val="0"/>
          <w:bCs w:val="0"/>
          <w:kern w:val="0"/>
          <w:sz w:val="32"/>
          <w:szCs w:val="32"/>
          <w:highlight w:val="none"/>
          <w:shd w:val="clear" w:color="auto" w:fill="FFFFFF"/>
          <w:lang w:val="en-US" w:eastAsia="zh-CN"/>
        </w:rPr>
        <w:t>或</w:t>
      </w:r>
      <w:r>
        <w:rPr>
          <w:rFonts w:hint="default" w:ascii="Times New Roman" w:hAnsi="Times New Roman" w:eastAsia="仿宋_GB2312" w:cs="Times New Roman"/>
          <w:b w:val="0"/>
          <w:bCs w:val="0"/>
          <w:kern w:val="0"/>
          <w:sz w:val="32"/>
          <w:szCs w:val="32"/>
          <w:highlight w:val="none"/>
          <w:shd w:val="clear" w:color="auto" w:fill="FFFFFF"/>
          <w:lang w:val="en-US" w:eastAsia="zh-CN"/>
        </w:rPr>
        <w:t>财政</w:t>
      </w:r>
      <w:r>
        <w:rPr>
          <w:rFonts w:hint="eastAsia" w:eastAsia="仿宋_GB2312" w:cs="Times New Roman"/>
          <w:b w:val="0"/>
          <w:bCs w:val="0"/>
          <w:kern w:val="0"/>
          <w:sz w:val="32"/>
          <w:szCs w:val="32"/>
          <w:highlight w:val="none"/>
          <w:shd w:val="clear" w:color="auto" w:fill="FFFFFF"/>
          <w:lang w:val="en-US" w:eastAsia="zh-CN"/>
        </w:rPr>
        <w:t>评价</w:t>
      </w:r>
      <w:r>
        <w:rPr>
          <w:rFonts w:hint="default" w:ascii="Times New Roman" w:hAnsi="Times New Roman" w:eastAsia="仿宋_GB2312" w:cs="Times New Roman"/>
          <w:b w:val="0"/>
          <w:bCs w:val="0"/>
          <w:kern w:val="0"/>
          <w:sz w:val="32"/>
          <w:szCs w:val="32"/>
          <w:highlight w:val="none"/>
          <w:shd w:val="clear" w:color="auto" w:fill="FFFFFF"/>
          <w:lang w:val="en-US" w:eastAsia="zh-CN"/>
        </w:rPr>
        <w:t>。</w:t>
      </w:r>
    </w:p>
    <w:p>
      <w:pPr>
        <w:pStyle w:val="4"/>
        <w:spacing w:line="600" w:lineRule="exact"/>
        <w:ind w:firstLine="640"/>
        <w:rPr>
          <w:rFonts w:hint="default" w:ascii="Times New Roman" w:hAnsi="Times New Roman" w:eastAsia="仿宋_GB2312" w:cs="Times New Roman"/>
          <w:highlight w:val="none"/>
          <w:lang w:val="en-US" w:eastAsia="zh-CN"/>
        </w:rPr>
      </w:pPr>
      <w:bookmarkStart w:id="60" w:name="_Toc6407"/>
      <w:bookmarkStart w:id="61" w:name="_Toc3943"/>
      <w:r>
        <w:rPr>
          <w:rFonts w:hint="eastAsia" w:ascii="Times New Roman" w:hAnsi="Times New Roman" w:eastAsia="仿宋_GB2312" w:cs="Times New Roman"/>
          <w:highlight w:val="none"/>
          <w:lang w:val="en-US" w:eastAsia="zh-CN"/>
        </w:rPr>
        <w:t>2、专项预算管理</w:t>
      </w:r>
      <w:r>
        <w:rPr>
          <w:rFonts w:hint="eastAsia" w:eastAsia="仿宋_GB2312" w:cs="Times New Roman"/>
          <w:highlight w:val="none"/>
          <w:lang w:val="en-US" w:eastAsia="zh-CN"/>
        </w:rPr>
        <w:t>情况分析</w:t>
      </w:r>
      <w:bookmarkEnd w:id="60"/>
      <w:bookmarkEnd w:id="6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20</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19.60</w:t>
      </w:r>
      <w:r>
        <w:rPr>
          <w:rFonts w:hint="default" w:ascii="Times New Roman" w:hAnsi="Times New Roman" w:eastAsia="仿宋_GB2312" w:cs="Times New Roman"/>
          <w:color w:val="000000"/>
          <w:kern w:val="0"/>
          <w:sz w:val="32"/>
          <w:szCs w:val="32"/>
          <w:highlight w:val="none"/>
          <w:lang w:val="en-US" w:eastAsia="zh-CN" w:bidi="ar"/>
        </w:rPr>
        <w:t>分。用于考察评价部门专项预算管理</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11</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专项预算管理</w:t>
      </w:r>
      <w:r>
        <w:rPr>
          <w:rFonts w:hint="eastAsia" w:ascii="Times New Roman" w:hAnsi="Times New Roman" w:eastAsia="仿宋_GB2312" w:cs="Times New Roman"/>
          <w:b/>
          <w:bCs/>
          <w:color w:val="000000"/>
          <w:kern w:val="0"/>
          <w:highlight w:val="none"/>
          <w:lang w:val="en-US" w:eastAsia="zh-CN" w:bidi="ar"/>
        </w:rPr>
        <w:t>情况</w:t>
      </w:r>
      <w:r>
        <w:rPr>
          <w:rFonts w:hint="default" w:ascii="Times New Roman" w:hAnsi="Times New Roman" w:eastAsia="仿宋_GB2312" w:cs="Times New Roman"/>
          <w:b/>
          <w:bCs/>
          <w:color w:val="000000"/>
          <w:kern w:val="0"/>
          <w:highlight w:val="none"/>
          <w:lang w:bidi="ar"/>
        </w:rPr>
        <w:t>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506"/>
        <w:gridCol w:w="1294"/>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50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29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专项预算项管理（20分）</w:t>
            </w:r>
          </w:p>
        </w:tc>
        <w:tc>
          <w:tcPr>
            <w:tcW w:w="1506"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专项预算管理（20分）</w:t>
            </w:r>
          </w:p>
        </w:tc>
        <w:tc>
          <w:tcPr>
            <w:tcW w:w="129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19.6</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default" w:eastAsia="仿宋_GB2312" w:cs="Times New Roman"/>
                <w:color w:val="000000"/>
                <w:kern w:val="0"/>
                <w:highlight w:val="none"/>
                <w:lang w:val="en-US" w:eastAsia="zh-CN" w:bidi="ar"/>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20</w:t>
            </w:r>
          </w:p>
        </w:tc>
        <w:tc>
          <w:tcPr>
            <w:tcW w:w="1197"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19.6</w:t>
            </w:r>
          </w:p>
        </w:tc>
        <w:tc>
          <w:tcPr>
            <w:tcW w:w="1062" w:type="dxa"/>
            <w:shd w:val="clear" w:color="auto" w:fill="BEBEBE"/>
            <w:vAlign w:val="center"/>
          </w:tcPr>
          <w:p>
            <w:pPr>
              <w:widowControl/>
              <w:spacing w:line="240" w:lineRule="auto"/>
              <w:ind w:firstLine="0" w:firstLineChars="0"/>
              <w:jc w:val="center"/>
              <w:rPr>
                <w:rFonts w:hint="default" w:eastAsia="仿宋_GB2312" w:cs="Times New Roman"/>
                <w:b/>
                <w:bCs/>
                <w:color w:val="000000"/>
                <w:kern w:val="0"/>
                <w:highlight w:val="none"/>
                <w:lang w:val="en-US" w:eastAsia="zh-CN" w:bidi="ar"/>
              </w:rPr>
            </w:pPr>
            <w:r>
              <w:rPr>
                <w:rFonts w:hint="default" w:eastAsia="仿宋_GB2312" w:cs="Times New Roman"/>
                <w:b/>
                <w:bCs/>
                <w:color w:val="000000"/>
                <w:kern w:val="0"/>
                <w:highlight w:val="none"/>
                <w:lang w:val="en-US" w:eastAsia="zh-CN" w:bidi="ar"/>
              </w:rPr>
              <w:t>98.00%</w:t>
            </w:r>
          </w:p>
        </w:tc>
      </w:tr>
    </w:tbl>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——专项预算管理指标分析（权重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19.60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中共阿坝县纪律检查委员会2022年专项项目4</w:t>
      </w:r>
      <w:r>
        <w:rPr>
          <w:rFonts w:hint="eastAsia"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，中共阿坝县纪律检查委员会对其中1个项目</w:t>
      </w:r>
      <w:r>
        <w:rPr>
          <w:rFonts w:hint="eastAsia" w:ascii="Times New Roman" w:hAnsi="Times New Roman" w:eastAsia="仿宋_GB2312" w:cs="Times New Roman"/>
          <w:color w:val="000000"/>
          <w:kern w:val="0"/>
          <w:sz w:val="32"/>
          <w:szCs w:val="32"/>
          <w:highlight w:val="none"/>
          <w:lang w:val="en-US" w:eastAsia="zh-CN" w:bidi="ar"/>
        </w:rPr>
        <w:t>进行</w:t>
      </w:r>
      <w:r>
        <w:rPr>
          <w:rFonts w:hint="eastAsia" w:eastAsia="仿宋_GB2312" w:cs="Times New Roman"/>
          <w:color w:val="000000"/>
          <w:kern w:val="0"/>
          <w:sz w:val="32"/>
          <w:szCs w:val="32"/>
          <w:highlight w:val="none"/>
          <w:lang w:val="en-US" w:eastAsia="zh-CN" w:bidi="ar"/>
        </w:rPr>
        <w:t>了</w:t>
      </w:r>
      <w:r>
        <w:rPr>
          <w:rFonts w:hint="eastAsia" w:ascii="Times New Roman" w:hAnsi="Times New Roman" w:eastAsia="仿宋_GB2312" w:cs="Times New Roman"/>
          <w:color w:val="000000"/>
          <w:kern w:val="0"/>
          <w:sz w:val="32"/>
          <w:szCs w:val="32"/>
          <w:highlight w:val="none"/>
          <w:lang w:val="en-US" w:eastAsia="zh-CN" w:bidi="ar"/>
        </w:rPr>
        <w:t>自评打分并形成了自评报告，谈话室建设</w:t>
      </w:r>
      <w:r>
        <w:rPr>
          <w:rFonts w:hint="eastAsia" w:eastAsia="仿宋_GB2312" w:cs="Times New Roman"/>
          <w:color w:val="000000"/>
          <w:kern w:val="0"/>
          <w:sz w:val="32"/>
          <w:szCs w:val="32"/>
          <w:highlight w:val="none"/>
          <w:lang w:val="en-US" w:eastAsia="zh-CN" w:bidi="ar"/>
        </w:rPr>
        <w:t>项目</w:t>
      </w:r>
      <w:r>
        <w:rPr>
          <w:rFonts w:hint="eastAsia" w:ascii="Times New Roman" w:hAnsi="Times New Roman" w:eastAsia="仿宋_GB2312" w:cs="Times New Roman"/>
          <w:color w:val="000000"/>
          <w:kern w:val="0"/>
          <w:sz w:val="32"/>
          <w:szCs w:val="32"/>
          <w:highlight w:val="none"/>
          <w:lang w:val="en-US" w:eastAsia="zh-CN" w:bidi="ar"/>
        </w:rPr>
        <w:t>自评打分为9</w:t>
      </w:r>
      <w:r>
        <w:rPr>
          <w:rFonts w:hint="eastAsia" w:eastAsia="仿宋_GB2312" w:cs="Times New Roman"/>
          <w:color w:val="000000"/>
          <w:kern w:val="0"/>
          <w:sz w:val="32"/>
          <w:szCs w:val="32"/>
          <w:highlight w:val="none"/>
          <w:lang w:val="en-US" w:eastAsia="zh-CN" w:bidi="ar"/>
        </w:rPr>
        <w:t>8</w:t>
      </w:r>
      <w:r>
        <w:rPr>
          <w:rFonts w:hint="eastAsia" w:ascii="Times New Roman" w:hAnsi="Times New Roman" w:eastAsia="仿宋_GB2312" w:cs="Times New Roman"/>
          <w:color w:val="000000"/>
          <w:kern w:val="0"/>
          <w:sz w:val="32"/>
          <w:szCs w:val="32"/>
          <w:highlight w:val="none"/>
          <w:lang w:val="en-US" w:eastAsia="zh-CN" w:bidi="ar"/>
        </w:rPr>
        <w:t>分。评价组根据</w:t>
      </w:r>
      <w:r>
        <w:rPr>
          <w:rFonts w:hint="eastAsia" w:eastAsia="仿宋_GB2312" w:cs="Times New Roman"/>
          <w:color w:val="000000"/>
          <w:kern w:val="0"/>
          <w:sz w:val="32"/>
          <w:szCs w:val="32"/>
          <w:highlight w:val="none"/>
          <w:lang w:val="en-US" w:eastAsia="zh-CN" w:bidi="ar"/>
        </w:rPr>
        <w:t>中共阿坝县纪律检查委员会1</w:t>
      </w:r>
      <w:r>
        <w:rPr>
          <w:rFonts w:hint="eastAsia" w:ascii="Times New Roman" w:hAnsi="Times New Roman" w:eastAsia="仿宋_GB2312" w:cs="Times New Roman"/>
          <w:color w:val="000000"/>
          <w:kern w:val="0"/>
          <w:sz w:val="32"/>
          <w:szCs w:val="32"/>
          <w:highlight w:val="none"/>
          <w:lang w:val="en-US" w:eastAsia="zh-CN" w:bidi="ar"/>
        </w:rPr>
        <w:t>个202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default" w:ascii="Times New Roman" w:hAnsi="Times New Roman" w:eastAsia="仿宋_GB2312" w:cs="Times New Roman"/>
          <w:color w:val="000000"/>
          <w:kern w:val="0"/>
          <w:sz w:val="32"/>
          <w:szCs w:val="32"/>
          <w:highlight w:val="none"/>
          <w:lang w:val="en-US" w:eastAsia="zh-CN" w:bidi="ar"/>
        </w:rPr>
        <w:t>专项预算项目</w:t>
      </w:r>
      <w:r>
        <w:rPr>
          <w:rFonts w:hint="eastAsia" w:ascii="Times New Roman" w:hAnsi="Times New Roman" w:eastAsia="仿宋_GB2312" w:cs="Times New Roman"/>
          <w:color w:val="000000"/>
          <w:kern w:val="0"/>
          <w:sz w:val="32"/>
          <w:szCs w:val="32"/>
          <w:highlight w:val="none"/>
          <w:lang w:val="en-US" w:eastAsia="zh-CN" w:bidi="ar"/>
        </w:rPr>
        <w:t>进行纠正分值后，谈话室建设</w:t>
      </w:r>
      <w:r>
        <w:rPr>
          <w:rFonts w:hint="eastAsia" w:eastAsia="仿宋_GB2312" w:cs="Times New Roman"/>
          <w:color w:val="000000"/>
          <w:kern w:val="0"/>
          <w:sz w:val="32"/>
          <w:szCs w:val="32"/>
          <w:highlight w:val="none"/>
          <w:lang w:val="en-US" w:eastAsia="zh-CN" w:bidi="ar"/>
        </w:rPr>
        <w:t>项目评价</w:t>
      </w:r>
      <w:r>
        <w:rPr>
          <w:rFonts w:hint="eastAsia" w:ascii="Times New Roman" w:hAnsi="Times New Roman" w:eastAsia="仿宋_GB2312" w:cs="Times New Roman"/>
          <w:color w:val="000000"/>
          <w:kern w:val="0"/>
          <w:sz w:val="32"/>
          <w:szCs w:val="32"/>
          <w:highlight w:val="none"/>
          <w:lang w:val="en-US" w:eastAsia="zh-CN" w:bidi="ar"/>
        </w:rPr>
        <w:t>打分为9</w:t>
      </w:r>
      <w:r>
        <w:rPr>
          <w:rFonts w:hint="eastAsia" w:eastAsia="仿宋_GB2312" w:cs="Times New Roman"/>
          <w:color w:val="000000"/>
          <w:kern w:val="0"/>
          <w:sz w:val="32"/>
          <w:szCs w:val="32"/>
          <w:highlight w:val="none"/>
          <w:lang w:val="en-US" w:eastAsia="zh-CN" w:bidi="ar"/>
        </w:rPr>
        <w:t>8</w:t>
      </w:r>
      <w:r>
        <w:rPr>
          <w:rFonts w:hint="eastAsia" w:ascii="Times New Roman" w:hAnsi="Times New Roman" w:eastAsia="仿宋_GB2312" w:cs="Times New Roman"/>
          <w:color w:val="000000"/>
          <w:kern w:val="0"/>
          <w:sz w:val="32"/>
          <w:szCs w:val="32"/>
          <w:highlight w:val="none"/>
          <w:lang w:val="en-US" w:eastAsia="zh-CN" w:bidi="ar"/>
        </w:rPr>
        <w:t>分。综上，由评价组对其自评得分进行纠正后的得分，按0.2的比例得分为1</w:t>
      </w:r>
      <w:r>
        <w:rPr>
          <w:rFonts w:hint="eastAsia" w:eastAsia="仿宋_GB2312" w:cs="Times New Roman"/>
          <w:color w:val="000000"/>
          <w:kern w:val="0"/>
          <w:sz w:val="32"/>
          <w:szCs w:val="32"/>
          <w:highlight w:val="none"/>
          <w:lang w:val="en-US" w:eastAsia="zh-CN" w:bidi="ar"/>
        </w:rPr>
        <w:t>9</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60</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rPr>
        <w:t>谈话室建设项目</w:t>
      </w:r>
      <w:r>
        <w:rPr>
          <w:rFonts w:hint="eastAsia" w:ascii="仿宋" w:hAnsi="仿宋" w:eastAsia="仿宋"/>
          <w:sz w:val="32"/>
          <w:szCs w:val="32"/>
          <w:highlight w:val="none"/>
          <w:lang w:val="en-US" w:eastAsia="zh-CN"/>
        </w:rPr>
        <w:t>指标打分如下：</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37"/>
        <w:gridCol w:w="1008"/>
        <w:gridCol w:w="1364"/>
        <w:gridCol w:w="1062"/>
        <w:gridCol w:w="1510"/>
        <w:gridCol w:w="999"/>
        <w:gridCol w:w="1170"/>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54"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分值权重</w:t>
            </w:r>
          </w:p>
        </w:tc>
        <w:tc>
          <w:tcPr>
            <w:tcW w:w="2747" w:type="pct"/>
            <w:gridSpan w:val="4"/>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分层分类指标</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部门自评</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评价组</w:t>
            </w:r>
            <w:r>
              <w:rPr>
                <w:rFonts w:hint="eastAsia" w:ascii="Times New Roman" w:hAnsi="Times New Roman" w:eastAsia="仿宋_GB2312" w:cs="Times New Roman"/>
                <w:b/>
                <w:bCs/>
                <w:i w:val="0"/>
                <w:iCs w:val="0"/>
                <w:color w:val="auto"/>
                <w:kern w:val="0"/>
                <w:sz w:val="18"/>
                <w:szCs w:val="18"/>
                <w:highlight w:val="none"/>
                <w:u w:val="none"/>
                <w:lang w:val="en-US" w:eastAsia="zh-CN" w:bidi="ar"/>
              </w:rPr>
              <w:t>评</w:t>
            </w:r>
            <w:r>
              <w:rPr>
                <w:rFonts w:hint="default" w:ascii="Times New Roman" w:hAnsi="Times New Roman" w:eastAsia="仿宋_GB2312" w:cs="Times New Roman"/>
                <w:b/>
                <w:bCs/>
                <w:i w:val="0"/>
                <w:iCs w:val="0"/>
                <w:color w:val="auto"/>
                <w:kern w:val="0"/>
                <w:sz w:val="18"/>
                <w:szCs w:val="18"/>
                <w:highlight w:val="none"/>
                <w:u w:val="none"/>
                <w:lang w:val="en-US" w:eastAsia="zh-CN" w:bidi="ar"/>
              </w:rPr>
              <w:t>分</w:t>
            </w:r>
          </w:p>
        </w:tc>
        <w:tc>
          <w:tcPr>
            <w:tcW w:w="693" w:type="pct"/>
            <w:vMerge w:val="restar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分值差异原因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85" w:hRule="atLeast"/>
          <w:tblHeader/>
          <w:jc w:val="center"/>
        </w:trPr>
        <w:tc>
          <w:tcPr>
            <w:tcW w:w="354"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p>
        </w:tc>
        <w:tc>
          <w:tcPr>
            <w:tcW w:w="56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分层指标</w:t>
            </w:r>
          </w:p>
        </w:tc>
        <w:tc>
          <w:tcPr>
            <w:tcW w:w="758"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适用范围</w:t>
            </w:r>
          </w:p>
        </w:tc>
        <w:tc>
          <w:tcPr>
            <w:tcW w:w="59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一级指标</w:t>
            </w:r>
          </w:p>
        </w:tc>
        <w:tc>
          <w:tcPr>
            <w:tcW w:w="839"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二级指标</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得分</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default" w:ascii="Times New Roman" w:hAnsi="Times New Roman" w:eastAsia="仿宋_GB2312" w:cs="Times New Roman"/>
                <w:b/>
                <w:bCs/>
                <w:i w:val="0"/>
                <w:iCs w:val="0"/>
                <w:color w:val="auto"/>
                <w:kern w:val="0"/>
                <w:sz w:val="18"/>
                <w:szCs w:val="18"/>
                <w:highlight w:val="none"/>
                <w:u w:val="none"/>
                <w:lang w:val="en-US" w:eastAsia="zh-CN" w:bidi="ar"/>
              </w:rPr>
              <w:t>得分</w:t>
            </w:r>
          </w:p>
        </w:tc>
        <w:tc>
          <w:tcPr>
            <w:tcW w:w="693" w:type="pct"/>
            <w:vMerge w:val="continue"/>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w:t>
            </w:r>
          </w:p>
        </w:tc>
        <w:tc>
          <w:tcPr>
            <w:tcW w:w="56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通用指标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所有专项预算项目</w:t>
            </w: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项目决策</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程序严密</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规划合理★</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制度完备</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4%</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项目实施</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分配合理★</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使用合规</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执行有效</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完成结果</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预算完成★</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3</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10%</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资金结余★</w:t>
            </w:r>
          </w:p>
        </w:tc>
        <w:tc>
          <w:tcPr>
            <w:tcW w:w="555" w:type="pct"/>
            <w:shd w:val="clear" w:color="auto" w:fill="auto"/>
            <w:vAlign w:val="bottom"/>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170" w:type="dxa"/>
            <w:shd w:val="clear" w:color="auto" w:fill="auto"/>
            <w:vAlign w:val="bottom"/>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4%</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目标完成★</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4</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45"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4%</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完成及时</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w:t>
            </w: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违规记录</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2</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jc w:val="center"/>
        </w:trPr>
        <w:tc>
          <w:tcPr>
            <w:tcW w:w="3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20%</w:t>
            </w:r>
          </w:p>
        </w:tc>
        <w:tc>
          <w:tcPr>
            <w:tcW w:w="56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共性指标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基础设施（设备购置）项目</w:t>
            </w: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项目效果</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功能性★</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配套性★</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jc w:val="center"/>
        </w:trPr>
        <w:tc>
          <w:tcPr>
            <w:tcW w:w="354"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30%</w:t>
            </w:r>
          </w:p>
        </w:tc>
        <w:tc>
          <w:tcPr>
            <w:tcW w:w="56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auto"/>
                <w:kern w:val="0"/>
                <w:sz w:val="18"/>
                <w:szCs w:val="18"/>
                <w:highlight w:val="none"/>
                <w:u w:val="none"/>
                <w:lang w:val="en-US" w:eastAsia="zh-CN" w:bidi="ar"/>
              </w:rPr>
              <w:t>特性指标</w:t>
            </w:r>
          </w:p>
        </w:tc>
        <w:tc>
          <w:tcPr>
            <w:tcW w:w="758"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default" w:ascii="Times New Roman" w:hAnsi="Times New Roman" w:eastAsia="仿宋_GB2312" w:cs="Times New Roman"/>
                <w:i w:val="0"/>
                <w:iCs w:val="0"/>
                <w:color w:val="000000"/>
                <w:kern w:val="0"/>
                <w:sz w:val="18"/>
                <w:szCs w:val="18"/>
                <w:highlight w:val="none"/>
                <w:u w:val="none"/>
                <w:lang w:val="en-US" w:eastAsia="zh-CN" w:bidi="ar"/>
              </w:rPr>
              <w:t>基础设施（设备购置）项目</w:t>
            </w:r>
          </w:p>
        </w:tc>
        <w:tc>
          <w:tcPr>
            <w:tcW w:w="590" w:type="pct"/>
            <w:vMerge w:val="restar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项目效益</w:t>
            </w:r>
          </w:p>
        </w:tc>
        <w:tc>
          <w:tcPr>
            <w:tcW w:w="151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完成质量</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54"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6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758"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590" w:type="pct"/>
            <w:vMerge w:val="continue"/>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c>
          <w:tcPr>
            <w:tcW w:w="151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社会效益</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15</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90" w:hRule="atLeast"/>
          <w:jc w:val="center"/>
        </w:trPr>
        <w:tc>
          <w:tcPr>
            <w:tcW w:w="354"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318" w:type="pct"/>
            <w:gridSpan w:val="2"/>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个性指标</w:t>
            </w:r>
          </w:p>
        </w:tc>
        <w:tc>
          <w:tcPr>
            <w:tcW w:w="590"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个性指标</w:t>
            </w:r>
          </w:p>
        </w:tc>
        <w:tc>
          <w:tcPr>
            <w:tcW w:w="839"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eastAsia="仿宋_GB2312" w:cs="Times New Roman"/>
                <w:i w:val="0"/>
                <w:iCs w:val="0"/>
                <w:color w:val="auto"/>
                <w:kern w:val="0"/>
                <w:sz w:val="18"/>
                <w:szCs w:val="18"/>
                <w:highlight w:val="none"/>
                <w:u w:val="none"/>
                <w:lang w:val="en-US" w:eastAsia="zh-CN" w:bidi="ar"/>
              </w:rPr>
              <w:t>功能提升</w:t>
            </w:r>
          </w:p>
        </w:tc>
        <w:tc>
          <w:tcPr>
            <w:tcW w:w="555"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1170" w:type="dxa"/>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r>
              <w:rPr>
                <w:rFonts w:hint="eastAsia" w:ascii="Times New Roman" w:hAnsi="Times New Roman" w:eastAsia="仿宋_GB2312" w:cs="Times New Roman"/>
                <w:i w:val="0"/>
                <w:iCs w:val="0"/>
                <w:color w:val="auto"/>
                <w:kern w:val="0"/>
                <w:sz w:val="18"/>
                <w:szCs w:val="18"/>
                <w:highlight w:val="none"/>
                <w:u w:val="none"/>
                <w:lang w:val="en-US" w:eastAsia="zh-CN" w:bidi="ar"/>
              </w:rPr>
              <w:t>10</w:t>
            </w:r>
          </w:p>
        </w:tc>
        <w:tc>
          <w:tcPr>
            <w:tcW w:w="693" w:type="pct"/>
            <w:shd w:val="clear" w:color="auto" w:fill="auto"/>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 w:hRule="atLeast"/>
          <w:jc w:val="center"/>
        </w:trPr>
        <w:tc>
          <w:tcPr>
            <w:tcW w:w="3101" w:type="pct"/>
            <w:gridSpan w:val="5"/>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eastAsia" w:ascii="Times New Roman" w:hAnsi="Times New Roman" w:eastAsia="仿宋_GB2312" w:cs="Times New Roman"/>
                <w:b/>
                <w:bCs/>
                <w:i w:val="0"/>
                <w:iCs w:val="0"/>
                <w:color w:val="auto"/>
                <w:kern w:val="0"/>
                <w:sz w:val="18"/>
                <w:szCs w:val="18"/>
                <w:highlight w:val="none"/>
                <w:u w:val="none"/>
                <w:lang w:val="en-US" w:eastAsia="zh-CN" w:bidi="ar"/>
              </w:rPr>
              <w:t>总分</w:t>
            </w:r>
          </w:p>
        </w:tc>
        <w:tc>
          <w:tcPr>
            <w:tcW w:w="555"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eastAsia" w:ascii="Times New Roman" w:hAnsi="Times New Roman" w:eastAsia="仿宋_GB2312" w:cs="Times New Roman"/>
                <w:b/>
                <w:bCs/>
                <w:i w:val="0"/>
                <w:iCs w:val="0"/>
                <w:color w:val="auto"/>
                <w:kern w:val="0"/>
                <w:sz w:val="18"/>
                <w:szCs w:val="18"/>
                <w:highlight w:val="none"/>
                <w:u w:val="none"/>
                <w:lang w:val="en-US" w:eastAsia="zh-CN" w:bidi="ar"/>
              </w:rPr>
              <w:t>9</w:t>
            </w:r>
            <w:r>
              <w:rPr>
                <w:rFonts w:hint="eastAsia" w:eastAsia="仿宋_GB2312" w:cs="Times New Roman"/>
                <w:b/>
                <w:bCs/>
                <w:i w:val="0"/>
                <w:iCs w:val="0"/>
                <w:color w:val="auto"/>
                <w:kern w:val="0"/>
                <w:sz w:val="18"/>
                <w:szCs w:val="18"/>
                <w:highlight w:val="none"/>
                <w:u w:val="none"/>
                <w:lang w:val="en-US" w:eastAsia="zh-CN" w:bidi="ar"/>
              </w:rPr>
              <w:t>8</w:t>
            </w:r>
          </w:p>
        </w:tc>
        <w:tc>
          <w:tcPr>
            <w:tcW w:w="650"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r>
              <w:rPr>
                <w:rFonts w:hint="eastAsia" w:ascii="Times New Roman" w:hAnsi="Times New Roman" w:eastAsia="仿宋_GB2312" w:cs="Times New Roman"/>
                <w:b/>
                <w:bCs/>
                <w:i w:val="0"/>
                <w:iCs w:val="0"/>
                <w:color w:val="auto"/>
                <w:kern w:val="0"/>
                <w:sz w:val="18"/>
                <w:szCs w:val="18"/>
                <w:highlight w:val="none"/>
                <w:u w:val="none"/>
                <w:lang w:val="en-US" w:eastAsia="zh-CN" w:bidi="ar"/>
              </w:rPr>
              <w:t>9</w:t>
            </w:r>
            <w:r>
              <w:rPr>
                <w:rFonts w:hint="eastAsia" w:eastAsia="仿宋_GB2312" w:cs="Times New Roman"/>
                <w:b/>
                <w:bCs/>
                <w:i w:val="0"/>
                <w:iCs w:val="0"/>
                <w:color w:val="auto"/>
                <w:kern w:val="0"/>
                <w:sz w:val="18"/>
                <w:szCs w:val="18"/>
                <w:highlight w:val="none"/>
                <w:u w:val="none"/>
                <w:lang w:val="en-US" w:eastAsia="zh-CN" w:bidi="ar"/>
              </w:rPr>
              <w:t>8</w:t>
            </w:r>
          </w:p>
        </w:tc>
        <w:tc>
          <w:tcPr>
            <w:tcW w:w="693" w:type="pct"/>
            <w:shd w:val="clear" w:color="auto" w:fill="BEBEBE" w:themeFill="background1" w:themeFillShade="BF"/>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highlight w:val="none"/>
                <w:u w:val="none"/>
                <w:lang w:val="en-US" w:eastAsia="zh-CN" w:bidi="ar"/>
              </w:rPr>
            </w:pP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bookmarkStart w:id="62" w:name="_Toc15102"/>
      <w:r>
        <w:rPr>
          <w:rFonts w:hint="eastAsia" w:eastAsia="仿宋_GB2312" w:cs="Times New Roman"/>
          <w:color w:val="000000"/>
          <w:kern w:val="0"/>
          <w:sz w:val="32"/>
          <w:szCs w:val="32"/>
          <w:highlight w:val="none"/>
          <w:lang w:val="en-US" w:eastAsia="zh-CN" w:bidi="ar"/>
        </w:rPr>
        <w:t>谈话室建设项目基本情况：项目资金总投入43.47万元，其中：设备采购完成3间二类谈话室配备软包桌椅一套（一张桌子和三把椅子），台式电脑一台、全程录音录像设备一套、录音笔两支、打印机一台、碎纸机一台；12间三类谈话室配备桌椅一套（一张桌子和三张椅子）、台式电脑一台、全程录音录像设备一套、录音笔两支、打印机一台、碎纸机一台。共计投入资金22.92万元。基础设备建设完成三间二类谈话室室内全面软包，12间三类谈话室换门，共计投入资金20.55万元。通过该项目的实施，有效解决了15个乡镇谈话室场所的问题，改善了谈话场所硬件条件，消除安全隐患，保障了工作人员的安全。</w:t>
      </w:r>
    </w:p>
    <w:p>
      <w:pPr>
        <w:pStyle w:val="4"/>
        <w:spacing w:line="600" w:lineRule="exact"/>
        <w:ind w:firstLine="640"/>
        <w:rPr>
          <w:rFonts w:hint="default" w:ascii="Times New Roman" w:hAnsi="Times New Roman" w:eastAsia="仿宋_GB2312" w:cs="Times New Roman"/>
          <w:highlight w:val="none"/>
        </w:rPr>
      </w:pPr>
      <w:bookmarkStart w:id="63" w:name="_Toc27175"/>
      <w:bookmarkStart w:id="64" w:name="_Toc8561"/>
      <w:r>
        <w:rPr>
          <w:rFonts w:hint="eastAsia" w:eastAsia="仿宋_GB2312" w:cs="Times New Roman"/>
          <w:highlight w:val="none"/>
          <w:lang w:val="en-US" w:eastAsia="zh-CN"/>
        </w:rPr>
        <w:t>3</w:t>
      </w:r>
      <w:r>
        <w:rPr>
          <w:rFonts w:hint="default" w:ascii="Times New Roman" w:hAnsi="Times New Roman" w:eastAsia="仿宋_GB2312" w:cs="Times New Roman"/>
          <w:highlight w:val="none"/>
        </w:rPr>
        <w:t>、</w:t>
      </w:r>
      <w:r>
        <w:rPr>
          <w:rFonts w:hint="default" w:ascii="Times New Roman" w:hAnsi="Times New Roman" w:eastAsia="仿宋_GB2312" w:cs="Times New Roman"/>
          <w:highlight w:val="none"/>
          <w:lang w:val="en-US" w:eastAsia="zh-CN"/>
        </w:rPr>
        <w:t>绩效结果应用</w:t>
      </w:r>
      <w:r>
        <w:rPr>
          <w:rFonts w:hint="default" w:ascii="Times New Roman" w:hAnsi="Times New Roman" w:eastAsia="仿宋_GB2312" w:cs="Times New Roman"/>
          <w:highlight w:val="none"/>
        </w:rPr>
        <w:t>情况分析</w:t>
      </w:r>
      <w:bookmarkEnd w:id="62"/>
      <w:bookmarkEnd w:id="63"/>
      <w:bookmarkEnd w:id="6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分。用于考察评价部门是否按要求将相关绩效信息向社会公开</w:t>
      </w:r>
      <w:r>
        <w:rPr>
          <w:rFonts w:hint="eastAsia" w:eastAsia="仿宋_GB2312" w:cs="Times New Roman"/>
          <w:color w:val="000000"/>
          <w:kern w:val="0"/>
          <w:sz w:val="32"/>
          <w:szCs w:val="32"/>
          <w:highlight w:val="none"/>
          <w:lang w:val="en-US" w:eastAsia="zh-CN" w:bidi="ar"/>
        </w:rPr>
        <w:t>；评价部门根据绩效管理结果整改问题、完善政策、改进管理的情况；评价部门按要求及时向财政部门反馈结果应用情况等</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12</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绩效结果</w:t>
      </w:r>
      <w:r>
        <w:rPr>
          <w:rFonts w:hint="eastAsia" w:eastAsia="仿宋_GB2312" w:cs="Times New Roman"/>
          <w:b/>
          <w:bCs/>
          <w:color w:val="000000"/>
          <w:kern w:val="0"/>
          <w:highlight w:val="none"/>
          <w:lang w:val="en-US" w:eastAsia="zh-CN" w:bidi="ar"/>
        </w:rPr>
        <w:t>应用</w:t>
      </w:r>
      <w:r>
        <w:rPr>
          <w:rFonts w:hint="default" w:ascii="Times New Roman" w:hAnsi="Times New Roman" w:eastAsia="仿宋_GB2312" w:cs="Times New Roman"/>
          <w:b/>
          <w:bCs/>
          <w:color w:val="000000"/>
          <w:kern w:val="0"/>
          <w:highlight w:val="none"/>
          <w:lang w:bidi="ar"/>
        </w:rPr>
        <w:t>情况得分表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绩效结果应用（10分）</w:t>
            </w:r>
          </w:p>
        </w:tc>
        <w:tc>
          <w:tcPr>
            <w:tcW w:w="133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信息公开（2分）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自评公开</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整改反馈（8分）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结果整改</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应用反馈</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自评公开</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bidi="ar-SA"/>
        </w:rPr>
        <w:t>中共阿坝县纪律检查委员会</w:t>
      </w:r>
      <w:r>
        <w:rPr>
          <w:rFonts w:hint="eastAsia" w:ascii="Times New Roman" w:hAnsi="Times New Roman" w:eastAsia="仿宋_GB2312" w:cs="Times New Roman"/>
          <w:kern w:val="0"/>
          <w:sz w:val="32"/>
          <w:szCs w:val="32"/>
          <w:highlight w:val="none"/>
          <w:shd w:val="clear" w:color="auto" w:fill="FFFFFF"/>
          <w:lang w:val="en-US" w:eastAsia="zh-CN" w:bidi="ar-SA"/>
        </w:rPr>
        <w:t>已按要求将202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年预算、202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年决算在阿坝县人民政府网站上公开；其中</w:t>
      </w:r>
      <w:r>
        <w:rPr>
          <w:rFonts w:hint="eastAsia" w:eastAsia="仿宋_GB2312" w:cs="Times New Roman"/>
          <w:kern w:val="0"/>
          <w:sz w:val="32"/>
          <w:szCs w:val="32"/>
          <w:highlight w:val="none"/>
          <w:shd w:val="clear" w:color="auto" w:fill="FFFFFF"/>
          <w:lang w:val="en-US" w:eastAsia="zh-CN" w:bidi="ar-SA"/>
        </w:rPr>
        <w:t>中共阿坝县纪律检查委员会</w:t>
      </w:r>
      <w:r>
        <w:rPr>
          <w:rFonts w:hint="eastAsia" w:ascii="Times New Roman" w:hAnsi="Times New Roman" w:eastAsia="仿宋_GB2312" w:cs="Times New Roman"/>
          <w:kern w:val="0"/>
          <w:sz w:val="32"/>
          <w:szCs w:val="32"/>
          <w:highlight w:val="none"/>
          <w:shd w:val="clear" w:color="auto" w:fill="FFFFFF"/>
          <w:lang w:val="en-US" w:eastAsia="zh-CN" w:bidi="ar-SA"/>
        </w:rPr>
        <w:t>于202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w:t>
      </w:r>
      <w:r>
        <w:rPr>
          <w:rFonts w:hint="eastAsia" w:eastAsia="仿宋_GB2312" w:cs="Times New Roman"/>
          <w:kern w:val="0"/>
          <w:sz w:val="32"/>
          <w:szCs w:val="32"/>
          <w:highlight w:val="none"/>
          <w:shd w:val="clear" w:color="auto" w:fill="FFFFFF"/>
          <w:lang w:val="en-US" w:eastAsia="zh-CN" w:bidi="ar-SA"/>
        </w:rPr>
        <w:t>1</w:t>
      </w:r>
      <w:r>
        <w:rPr>
          <w:rFonts w:hint="eastAsia" w:ascii="Times New Roman" w:hAnsi="Times New Roman" w:eastAsia="仿宋_GB2312" w:cs="Times New Roman"/>
          <w:kern w:val="0"/>
          <w:sz w:val="32"/>
          <w:szCs w:val="32"/>
          <w:highlight w:val="none"/>
          <w:shd w:val="clear" w:color="auto" w:fill="FFFFFF"/>
          <w:lang w:val="en-US" w:eastAsia="zh-CN" w:bidi="ar-SA"/>
        </w:rPr>
        <w:t>月2</w:t>
      </w:r>
      <w:r>
        <w:rPr>
          <w:rFonts w:hint="eastAsia" w:eastAsia="仿宋_GB2312" w:cs="Times New Roman"/>
          <w:kern w:val="0"/>
          <w:sz w:val="32"/>
          <w:szCs w:val="32"/>
          <w:highlight w:val="none"/>
          <w:shd w:val="clear" w:color="auto" w:fill="FFFFFF"/>
          <w:lang w:val="en-US" w:eastAsia="zh-CN" w:bidi="ar-SA"/>
        </w:rPr>
        <w:t>0</w:t>
      </w:r>
      <w:r>
        <w:rPr>
          <w:rFonts w:hint="eastAsia" w:ascii="Times New Roman" w:hAnsi="Times New Roman" w:eastAsia="仿宋_GB2312" w:cs="Times New Roman"/>
          <w:kern w:val="0"/>
          <w:sz w:val="32"/>
          <w:szCs w:val="32"/>
          <w:highlight w:val="none"/>
          <w:shd w:val="clear" w:color="auto" w:fill="FFFFFF"/>
          <w:lang w:val="en-US" w:eastAsia="zh-CN" w:bidi="ar-SA"/>
        </w:rPr>
        <w:t>日公开202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年预算报表，202</w:t>
      </w:r>
      <w:r>
        <w:rPr>
          <w:rFonts w:hint="eastAsia" w:eastAsia="仿宋_GB2312" w:cs="Times New Roman"/>
          <w:kern w:val="0"/>
          <w:sz w:val="32"/>
          <w:szCs w:val="32"/>
          <w:highlight w:val="none"/>
          <w:shd w:val="clear" w:color="auto" w:fill="FFFFFF"/>
          <w:lang w:val="en-US" w:eastAsia="zh-CN" w:bidi="ar-SA"/>
        </w:rPr>
        <w:t>3</w:t>
      </w:r>
      <w:r>
        <w:rPr>
          <w:rFonts w:hint="eastAsia" w:ascii="Times New Roman" w:hAnsi="Times New Roman" w:eastAsia="仿宋_GB2312" w:cs="Times New Roman"/>
          <w:kern w:val="0"/>
          <w:sz w:val="32"/>
          <w:szCs w:val="32"/>
          <w:highlight w:val="none"/>
          <w:shd w:val="clear" w:color="auto" w:fill="FFFFFF"/>
          <w:lang w:val="en-US" w:eastAsia="zh-CN" w:bidi="ar-SA"/>
        </w:rPr>
        <w:t>年9月</w:t>
      </w:r>
      <w:r>
        <w:rPr>
          <w:rFonts w:hint="eastAsia" w:eastAsia="仿宋_GB2312" w:cs="Times New Roman"/>
          <w:kern w:val="0"/>
          <w:sz w:val="32"/>
          <w:szCs w:val="32"/>
          <w:highlight w:val="none"/>
          <w:shd w:val="clear" w:color="auto" w:fill="FFFFFF"/>
          <w:lang w:val="en-US" w:eastAsia="zh-CN" w:bidi="ar-SA"/>
        </w:rPr>
        <w:t>7</w:t>
      </w:r>
      <w:r>
        <w:rPr>
          <w:rFonts w:hint="eastAsia" w:ascii="Times New Roman" w:hAnsi="Times New Roman" w:eastAsia="仿宋_GB2312" w:cs="Times New Roman"/>
          <w:kern w:val="0"/>
          <w:sz w:val="32"/>
          <w:szCs w:val="32"/>
          <w:highlight w:val="none"/>
          <w:shd w:val="clear" w:color="auto" w:fill="FFFFFF"/>
          <w:lang w:val="en-US" w:eastAsia="zh-CN" w:bidi="ar-SA"/>
        </w:rPr>
        <w:t>日公开202</w:t>
      </w:r>
      <w:r>
        <w:rPr>
          <w:rFonts w:hint="eastAsia" w:eastAsia="仿宋_GB2312" w:cs="Times New Roman"/>
          <w:kern w:val="0"/>
          <w:sz w:val="32"/>
          <w:szCs w:val="32"/>
          <w:highlight w:val="none"/>
          <w:shd w:val="clear" w:color="auto" w:fill="FFFFFF"/>
          <w:lang w:val="en-US" w:eastAsia="zh-CN" w:bidi="ar-SA"/>
        </w:rPr>
        <w:t>2</w:t>
      </w:r>
      <w:r>
        <w:rPr>
          <w:rFonts w:hint="eastAsia" w:ascii="Times New Roman" w:hAnsi="Times New Roman" w:eastAsia="仿宋_GB2312" w:cs="Times New Roman"/>
          <w:kern w:val="0"/>
          <w:sz w:val="32"/>
          <w:szCs w:val="32"/>
          <w:highlight w:val="none"/>
          <w:shd w:val="clear" w:color="auto" w:fill="FFFFFF"/>
          <w:lang w:val="en-US" w:eastAsia="zh-CN" w:bidi="ar-SA"/>
        </w:rPr>
        <w:t>年决算报表</w:t>
      </w:r>
      <w:r>
        <w:rPr>
          <w:rFonts w:hint="eastAsia" w:eastAsia="仿宋_GB2312" w:cs="Times New Roman"/>
          <w:b w:val="0"/>
          <w:bCs w:val="0"/>
          <w:kern w:val="0"/>
          <w:sz w:val="32"/>
          <w:szCs w:val="32"/>
          <w:highlight w:val="none"/>
          <w:shd w:val="clear" w:color="auto" w:fill="FFFFFF"/>
          <w:lang w:val="en-US" w:eastAsia="zh-CN"/>
        </w:rPr>
        <w:t>。</w:t>
      </w:r>
    </w:p>
    <w:p>
      <w:pPr>
        <w:spacing w:line="360" w:lineRule="auto"/>
        <w:ind w:left="0" w:leftChars="0" w:firstLine="0" w:firstLineChars="0"/>
        <w:jc w:val="center"/>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0"/>
          <w:highlight w:val="none"/>
          <w:shd w:val="clear" w:color="auto" w:fill="FFFFFF"/>
          <w:lang w:val="en-US" w:eastAsia="zh-CN"/>
        </w:rPr>
        <w:t>图</w:t>
      </w:r>
      <w:r>
        <w:rPr>
          <w:rFonts w:hint="eastAsia" w:ascii="Times New Roman" w:hAnsi="Times New Roman" w:eastAsia="仿宋_GB2312" w:cs="Times New Roman"/>
          <w:b/>
          <w:bCs/>
          <w:color w:val="000000"/>
          <w:kern w:val="0"/>
          <w:highlight w:val="none"/>
          <w:shd w:val="clear" w:color="auto" w:fill="FFFFFF"/>
          <w:lang w:val="en-US" w:eastAsia="zh-CN"/>
        </w:rPr>
        <w:t>3</w:t>
      </w:r>
      <w:r>
        <w:rPr>
          <w:rFonts w:hint="default" w:ascii="Times New Roman" w:hAnsi="Times New Roman"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w:t>
      </w:r>
      <w:r>
        <w:rPr>
          <w:rFonts w:hint="eastAsia" w:eastAsia="仿宋_GB2312" w:cs="Times New Roman"/>
          <w:b/>
          <w:bCs/>
          <w:color w:val="000000"/>
          <w:kern w:val="0"/>
          <w:highlight w:val="none"/>
          <w:shd w:val="clear" w:color="auto" w:fill="FFFFFF"/>
          <w:lang w:val="en-US" w:eastAsia="zh-CN"/>
        </w:rPr>
        <w:t>2</w:t>
      </w:r>
      <w:r>
        <w:rPr>
          <w:rFonts w:hint="eastAsia" w:eastAsia="仿宋_GB2312" w:cs="Times New Roman"/>
          <w:b/>
          <w:bCs/>
          <w:color w:val="000000"/>
          <w:kern w:val="0"/>
          <w:highlight w:val="none"/>
          <w:shd w:val="clear" w:color="auto" w:fill="FFFFFF"/>
          <w:lang w:eastAsia="zh-CN"/>
        </w:rPr>
        <w:t>年</w:t>
      </w:r>
      <w:r>
        <w:rPr>
          <w:rFonts w:hint="default" w:ascii="Times New Roman" w:hAnsi="Times New Roman" w:eastAsia="仿宋_GB2312" w:cs="Times New Roman"/>
          <w:b/>
          <w:bCs/>
          <w:color w:val="000000"/>
          <w:kern w:val="0"/>
          <w:highlight w:val="none"/>
          <w:shd w:val="clear" w:color="auto" w:fill="FFFFFF"/>
        </w:rPr>
        <w:t>预算</w:t>
      </w:r>
      <w:r>
        <w:rPr>
          <w:rFonts w:hint="eastAsia" w:ascii="Times New Roman" w:hAnsi="Times New Roman" w:eastAsia="仿宋_GB2312" w:cs="Times New Roman"/>
          <w:b/>
          <w:bCs/>
          <w:color w:val="000000"/>
          <w:kern w:val="0"/>
          <w:highlight w:val="none"/>
          <w:shd w:val="clear" w:color="auto" w:fill="FFFFFF"/>
          <w:lang w:eastAsia="zh-CN"/>
        </w:rPr>
        <w:t>、</w:t>
      </w:r>
      <w:r>
        <w:rPr>
          <w:rFonts w:hint="eastAsia" w:ascii="Times New Roman" w:hAnsi="Times New Roman" w:eastAsia="仿宋_GB2312" w:cs="Times New Roman"/>
          <w:b/>
          <w:bCs/>
          <w:color w:val="000000"/>
          <w:kern w:val="0"/>
          <w:highlight w:val="none"/>
          <w:shd w:val="clear" w:color="auto" w:fill="FFFFFF"/>
          <w:lang w:val="en-US" w:eastAsia="zh-CN"/>
        </w:rPr>
        <w:t>决算公开</w:t>
      </w:r>
      <w:r>
        <w:rPr>
          <w:rFonts w:hint="default" w:ascii="Times New Roman" w:hAnsi="Times New Roman" w:eastAsia="仿宋_GB2312" w:cs="Times New Roman"/>
          <w:b/>
          <w:bCs/>
          <w:color w:val="000000"/>
          <w:kern w:val="0"/>
          <w:highlight w:val="none"/>
          <w:shd w:val="clear" w:color="auto" w:fill="FFFFFF"/>
        </w:rPr>
        <w:t>情况图</w:t>
      </w:r>
    </w:p>
    <w:p>
      <w:pPr>
        <w:pStyle w:val="24"/>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eastAsia="仿宋_GB2312" w:cs="Times New Roman"/>
          <w:highlight w:val="none"/>
          <w:lang w:val="en-US" w:eastAsia="zh-CN"/>
        </w:rPr>
      </w:pPr>
      <w:r>
        <w:rPr>
          <w:highlight w:val="none"/>
        </w:rPr>
        <w:drawing>
          <wp:inline distT="0" distB="0" distL="114300" distR="114300">
            <wp:extent cx="5006975" cy="3041015"/>
            <wp:effectExtent l="0" t="0" r="9525"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5006975" cy="3041015"/>
                    </a:xfrm>
                    <a:prstGeom prst="rect">
                      <a:avLst/>
                    </a:prstGeom>
                    <a:noFill/>
                    <a:ln>
                      <a:noFill/>
                    </a:ln>
                  </pic:spPr>
                </pic:pic>
              </a:graphicData>
            </a:graphic>
          </wp:inline>
        </w:drawing>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highlight w:val="none"/>
        </w:rPr>
      </w:pPr>
      <w:bookmarkStart w:id="65" w:name="_Toc27778"/>
      <w:bookmarkStart w:id="66" w:name="_Toc24125"/>
      <w:r>
        <w:rPr>
          <w:rFonts w:hint="eastAsia" w:eastAsia="仿宋_GB2312" w:cs="Times New Roman"/>
          <w:highlight w:val="none"/>
          <w:lang w:val="en-US" w:eastAsia="zh-CN"/>
        </w:rPr>
        <w:t>4</w:t>
      </w:r>
      <w:r>
        <w:rPr>
          <w:rFonts w:hint="default" w:ascii="Times New Roman" w:hAnsi="Times New Roman" w:eastAsia="仿宋_GB2312" w:cs="Times New Roman"/>
          <w:highlight w:val="none"/>
          <w:lang w:val="en-US" w:eastAsia="zh-CN"/>
        </w:rPr>
        <w:t>、</w:t>
      </w:r>
      <w:r>
        <w:rPr>
          <w:rFonts w:hint="eastAsia" w:eastAsia="仿宋_GB2312" w:cs="Times New Roman"/>
          <w:highlight w:val="none"/>
          <w:lang w:val="en-US" w:eastAsia="zh-CN"/>
        </w:rPr>
        <w:t>自评质量情况</w:t>
      </w:r>
      <w:r>
        <w:rPr>
          <w:rFonts w:hint="default" w:ascii="Times New Roman" w:hAnsi="Times New Roman" w:eastAsia="仿宋_GB2312" w:cs="Times New Roman"/>
          <w:highlight w:val="none"/>
        </w:rPr>
        <w:t>分析</w:t>
      </w:r>
      <w:bookmarkEnd w:id="65"/>
      <w:bookmarkEnd w:id="66"/>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highlight w:val="none"/>
          <w:shd w:val="clear" w:color="auto" w:fill="FFFFFF"/>
        </w:rPr>
        <w:t>该指标权重为</w:t>
      </w:r>
      <w:r>
        <w:rPr>
          <w:rFonts w:hint="default" w:ascii="Times New Roman" w:hAnsi="Times New Roman" w:eastAsia="仿宋_GB2312" w:cs="Times New Roman"/>
          <w:color w:val="000000"/>
          <w:kern w:val="0"/>
          <w:sz w:val="32"/>
          <w:szCs w:val="32"/>
          <w:highlight w:val="none"/>
          <w:lang w:val="en-US" w:eastAsia="zh-CN" w:bidi="ar"/>
        </w:rPr>
        <w:t>10分，评价权重10分，评价权重得分</w:t>
      </w:r>
      <w:r>
        <w:rPr>
          <w:rFonts w:hint="eastAsia" w:eastAsia="仿宋_GB2312" w:cs="Times New Roman"/>
          <w:color w:val="000000"/>
          <w:kern w:val="0"/>
          <w:sz w:val="32"/>
          <w:szCs w:val="32"/>
          <w:highlight w:val="none"/>
          <w:lang w:val="en-US" w:eastAsia="zh-CN" w:bidi="ar"/>
        </w:rPr>
        <w:t>10</w:t>
      </w:r>
      <w:r>
        <w:rPr>
          <w:rFonts w:hint="default" w:ascii="Times New Roman" w:hAnsi="Times New Roman" w:eastAsia="仿宋_GB2312" w:cs="Times New Roman"/>
          <w:color w:val="000000"/>
          <w:kern w:val="0"/>
          <w:sz w:val="32"/>
          <w:szCs w:val="32"/>
          <w:highlight w:val="none"/>
          <w:lang w:val="en-US" w:eastAsia="zh-CN" w:bidi="ar"/>
        </w:rPr>
        <w:t>分。用于考察评价部门整体支出自评质量</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bCs/>
          <w:color w:val="000000"/>
          <w:kern w:val="0"/>
          <w:sz w:val="21"/>
          <w:szCs w:val="21"/>
          <w:highlight w:val="none"/>
          <w:lang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w:t>
      </w:r>
      <w:r>
        <w:rPr>
          <w:rFonts w:hint="default" w:ascii="Times New Roman" w:hAnsi="Times New Roman" w:eastAsia="仿宋_GB2312" w:cs="Times New Roman"/>
          <w:kern w:val="0"/>
          <w:sz w:val="32"/>
          <w:szCs w:val="32"/>
          <w:highlight w:val="none"/>
          <w:shd w:val="clear" w:color="auto" w:fill="FFFFFF"/>
        </w:rPr>
        <w:t>如下：</w:t>
      </w:r>
    </w:p>
    <w:p>
      <w:pPr>
        <w:widowControl/>
        <w:spacing w:line="600" w:lineRule="exact"/>
        <w:ind w:firstLine="480"/>
        <w:jc w:val="center"/>
        <w:rPr>
          <w:rFonts w:hint="default" w:ascii="Times New Roman" w:hAnsi="Times New Roman" w:eastAsia="仿宋_GB2312" w:cs="Times New Roman"/>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13</w:t>
      </w:r>
      <w:r>
        <w:rPr>
          <w:rFonts w:hint="default" w:ascii="Times New Roman" w:hAnsi="Times New Roman" w:eastAsia="仿宋_GB2312" w:cs="Times New Roman"/>
          <w:b/>
          <w:bCs/>
          <w:color w:val="000000"/>
          <w:kern w:val="0"/>
          <w:highlight w:val="none"/>
          <w:lang w:bidi="ar"/>
        </w:rPr>
        <w:t xml:space="preserve"> 部门整体支出</w:t>
      </w:r>
      <w:r>
        <w:rPr>
          <w:rFonts w:hint="default" w:ascii="Times New Roman" w:hAnsi="Times New Roman" w:eastAsia="仿宋_GB2312" w:cs="Times New Roman"/>
          <w:b/>
          <w:bCs/>
          <w:color w:val="000000"/>
          <w:kern w:val="0"/>
          <w:highlight w:val="none"/>
          <w:lang w:val="en-US" w:eastAsia="zh-CN" w:bidi="ar"/>
        </w:rPr>
        <w:t>自评</w:t>
      </w:r>
      <w:r>
        <w:rPr>
          <w:rFonts w:hint="eastAsia" w:eastAsia="仿宋_GB2312" w:cs="Times New Roman"/>
          <w:b/>
          <w:bCs/>
          <w:color w:val="000000"/>
          <w:kern w:val="0"/>
          <w:highlight w:val="none"/>
          <w:lang w:val="en-US" w:eastAsia="zh-CN" w:bidi="ar"/>
        </w:rPr>
        <w:t>质量</w:t>
      </w:r>
      <w:r>
        <w:rPr>
          <w:rFonts w:hint="default" w:ascii="Times New Roman" w:hAnsi="Times New Roman" w:eastAsia="仿宋_GB2312" w:cs="Times New Roman"/>
          <w:b/>
          <w:bCs/>
          <w:color w:val="000000"/>
          <w:kern w:val="0"/>
          <w:highlight w:val="none"/>
          <w:lang w:bidi="ar"/>
        </w:rPr>
        <w:t>情况得分表</w:t>
      </w:r>
    </w:p>
    <w:tbl>
      <w:tblPr>
        <w:tblStyle w:val="4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1800"/>
        <w:gridCol w:w="1543"/>
        <w:gridCol w:w="962"/>
        <w:gridCol w:w="866"/>
        <w:gridCol w:w="789"/>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1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8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54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78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9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自评质量（10分）</w:t>
            </w:r>
          </w:p>
        </w:tc>
        <w:tc>
          <w:tcPr>
            <w:tcW w:w="1800"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自评质量</w:t>
            </w:r>
            <w:r>
              <w:rPr>
                <w:rFonts w:hint="eastAsia" w:eastAsia="仿宋_GB2312" w:cs="Times New Roman"/>
                <w:color w:val="000000"/>
                <w:kern w:val="0"/>
                <w:highlight w:val="none"/>
                <w:lang w:val="en-US" w:eastAsia="zh-CN" w:bidi="ar"/>
              </w:rPr>
              <w:t>（10）</w:t>
            </w:r>
          </w:p>
        </w:tc>
        <w:tc>
          <w:tcPr>
            <w:tcW w:w="154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自评</w:t>
            </w:r>
            <w:r>
              <w:rPr>
                <w:rFonts w:hint="eastAsia" w:eastAsia="仿宋_GB2312" w:cs="Times New Roman"/>
                <w:color w:val="000000"/>
                <w:kern w:val="0"/>
                <w:highlight w:val="none"/>
                <w:lang w:val="en-US" w:eastAsia="zh-CN" w:bidi="ar"/>
              </w:rPr>
              <w:t>准确</w:t>
            </w:r>
          </w:p>
        </w:tc>
        <w:tc>
          <w:tcPr>
            <w:tcW w:w="96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10</w:t>
            </w:r>
          </w:p>
        </w:tc>
        <w:tc>
          <w:tcPr>
            <w:tcW w:w="86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ascii="Times New Roman" w:hAnsi="Times New Roman" w:eastAsia="仿宋_GB2312" w:cs="Times New Roman"/>
                <w:color w:val="000000"/>
                <w:kern w:val="0"/>
                <w:highlight w:val="none"/>
                <w:lang w:val="en-US" w:eastAsia="zh-CN" w:bidi="ar"/>
              </w:rPr>
              <w:t>10</w:t>
            </w:r>
          </w:p>
        </w:tc>
        <w:tc>
          <w:tcPr>
            <w:tcW w:w="789"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w:t>
            </w:r>
          </w:p>
        </w:tc>
        <w:tc>
          <w:tcPr>
            <w:tcW w:w="109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8"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10</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10</w:t>
            </w:r>
          </w:p>
        </w:tc>
        <w:tc>
          <w:tcPr>
            <w:tcW w:w="78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w:t>
            </w:r>
          </w:p>
        </w:tc>
        <w:tc>
          <w:tcPr>
            <w:tcW w:w="109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——自评</w:t>
      </w:r>
      <w:r>
        <w:rPr>
          <w:rFonts w:hint="eastAsia" w:eastAsia="仿宋_GB2312" w:cs="Times New Roman"/>
          <w:b/>
          <w:bCs/>
          <w:kern w:val="0"/>
          <w:sz w:val="32"/>
          <w:szCs w:val="32"/>
          <w:highlight w:val="none"/>
          <w:shd w:val="clear" w:color="auto" w:fill="FFFFFF"/>
          <w:lang w:val="en-US" w:eastAsia="zh-CN"/>
        </w:rPr>
        <w:t>准确</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13"/>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val="0"/>
          <w:bCs w:val="0"/>
          <w:color w:val="000000"/>
          <w:kern w:val="0"/>
          <w:sz w:val="32"/>
          <w:szCs w:val="32"/>
          <w:highlight w:val="none"/>
          <w:lang w:val="en-US" w:eastAsia="zh-CN" w:bidi="ar"/>
        </w:rPr>
      </w:pPr>
      <w:bookmarkStart w:id="67" w:name="_Toc24346"/>
      <w:r>
        <w:rPr>
          <w:rFonts w:hint="default" w:ascii="Times New Roman" w:hAnsi="Times New Roman" w:eastAsia="仿宋_GB2312" w:cs="Times New Roman"/>
          <w:b w:val="0"/>
          <w:kern w:val="0"/>
          <w:sz w:val="32"/>
          <w:szCs w:val="32"/>
          <w:highlight w:val="none"/>
          <w:shd w:val="clear" w:color="auto" w:fill="FFFFFF"/>
          <w:lang w:val="en-US" w:eastAsia="zh-CN" w:bidi="ar-SA"/>
        </w:rPr>
        <w:t>根据指标适用情况与被评价单位自评表对比，指标体系表除编制准确</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动态调整</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结果整改</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应用反馈</w:t>
      </w:r>
      <w:r>
        <w:rPr>
          <w:rFonts w:hint="eastAsia" w:eastAsia="仿宋_GB2312" w:cs="Times New Roman"/>
          <w:b w:val="0"/>
          <w:kern w:val="0"/>
          <w:sz w:val="32"/>
          <w:szCs w:val="32"/>
          <w:highlight w:val="none"/>
          <w:shd w:val="clear" w:color="auto" w:fill="FFFFFF"/>
          <w:lang w:val="en-US" w:eastAsia="zh-CN" w:bidi="ar-SA"/>
        </w:rPr>
        <w:t>、</w:t>
      </w:r>
      <w:r>
        <w:rPr>
          <w:rFonts w:hint="default" w:ascii="Times New Roman" w:hAnsi="Times New Roman" w:eastAsia="仿宋_GB2312" w:cs="Times New Roman"/>
          <w:b w:val="0"/>
          <w:kern w:val="0"/>
          <w:sz w:val="32"/>
          <w:szCs w:val="32"/>
          <w:highlight w:val="none"/>
          <w:shd w:val="clear" w:color="auto" w:fill="FFFFFF"/>
          <w:lang w:val="en-US" w:eastAsia="zh-CN" w:bidi="ar-SA"/>
        </w:rPr>
        <w:t>自评准确</w:t>
      </w:r>
      <w:r>
        <w:rPr>
          <w:rFonts w:hint="eastAsia" w:eastAsia="仿宋_GB2312" w:cs="Times New Roman"/>
          <w:b w:val="0"/>
          <w:kern w:val="0"/>
          <w:sz w:val="32"/>
          <w:szCs w:val="32"/>
          <w:highlight w:val="none"/>
          <w:shd w:val="clear" w:color="auto" w:fill="FFFFFF"/>
          <w:lang w:val="en-US" w:eastAsia="zh-CN" w:bidi="ar-SA"/>
        </w:rPr>
        <w:t>等</w:t>
      </w:r>
      <w:r>
        <w:rPr>
          <w:rFonts w:hint="default" w:ascii="Times New Roman" w:hAnsi="Times New Roman" w:eastAsia="仿宋_GB2312" w:cs="Times New Roman"/>
          <w:b w:val="0"/>
          <w:kern w:val="0"/>
          <w:sz w:val="32"/>
          <w:szCs w:val="32"/>
          <w:highlight w:val="none"/>
          <w:shd w:val="clear" w:color="auto" w:fill="FFFFFF"/>
          <w:lang w:val="en-US" w:eastAsia="zh-CN" w:bidi="ar-SA"/>
        </w:rPr>
        <w:t>指标外，</w:t>
      </w:r>
      <w:r>
        <w:rPr>
          <w:rFonts w:hint="eastAsia" w:ascii="Times New Roman" w:hAnsi="Times New Roman" w:eastAsia="仿宋_GB2312" w:cs="Times New Roman"/>
          <w:b w:val="0"/>
          <w:kern w:val="0"/>
          <w:sz w:val="32"/>
          <w:szCs w:val="32"/>
          <w:highlight w:val="none"/>
          <w:shd w:val="clear" w:color="auto" w:fill="FFFFFF"/>
          <w:lang w:val="en-US" w:eastAsia="zh-CN" w:bidi="ar-SA"/>
        </w:rPr>
        <w:t>评价组评价得分</w:t>
      </w:r>
      <w:r>
        <w:rPr>
          <w:rFonts w:hint="eastAsia" w:eastAsia="仿宋_GB2312" w:cs="Times New Roman"/>
          <w:b w:val="0"/>
          <w:kern w:val="0"/>
          <w:sz w:val="32"/>
          <w:szCs w:val="32"/>
          <w:highlight w:val="none"/>
          <w:shd w:val="clear" w:color="auto" w:fill="FFFFFF"/>
          <w:lang w:val="en-US" w:eastAsia="zh-CN" w:bidi="ar-SA"/>
        </w:rPr>
        <w:t>百分制换算后为79</w:t>
      </w:r>
      <w:r>
        <w:rPr>
          <w:rFonts w:hint="eastAsia" w:ascii="Times New Roman" w:hAnsi="Times New Roman" w:eastAsia="仿宋_GB2312" w:cs="Times New Roman"/>
          <w:b w:val="0"/>
          <w:kern w:val="0"/>
          <w:sz w:val="32"/>
          <w:szCs w:val="32"/>
          <w:highlight w:val="none"/>
          <w:shd w:val="clear" w:color="auto" w:fill="FFFFFF"/>
          <w:lang w:val="en-US" w:eastAsia="zh-CN" w:bidi="ar-SA"/>
        </w:rPr>
        <w:t>分，被评价单位自评得分</w:t>
      </w:r>
      <w:r>
        <w:rPr>
          <w:rFonts w:hint="eastAsia" w:eastAsia="仿宋_GB2312" w:cs="Times New Roman"/>
          <w:b w:val="0"/>
          <w:kern w:val="0"/>
          <w:sz w:val="32"/>
          <w:szCs w:val="32"/>
          <w:highlight w:val="none"/>
          <w:shd w:val="clear" w:color="auto" w:fill="FFFFFF"/>
          <w:lang w:val="en-US" w:eastAsia="zh-CN" w:bidi="ar-SA"/>
        </w:rPr>
        <w:t>80</w:t>
      </w:r>
      <w:r>
        <w:rPr>
          <w:rFonts w:hint="eastAsia" w:ascii="Times New Roman" w:hAnsi="Times New Roman" w:eastAsia="仿宋_GB2312" w:cs="Times New Roman"/>
          <w:b w:val="0"/>
          <w:kern w:val="0"/>
          <w:sz w:val="32"/>
          <w:szCs w:val="32"/>
          <w:highlight w:val="none"/>
          <w:shd w:val="clear" w:color="auto" w:fill="FFFFFF"/>
          <w:lang w:val="en-US" w:eastAsia="zh-CN" w:bidi="ar-SA"/>
        </w:rPr>
        <w:t>分，差异率=（自评评分-评价组评分）/评价组评分=（</w:t>
      </w:r>
      <w:r>
        <w:rPr>
          <w:rFonts w:hint="eastAsia" w:eastAsia="仿宋_GB2312" w:cs="Times New Roman"/>
          <w:b w:val="0"/>
          <w:kern w:val="0"/>
          <w:sz w:val="32"/>
          <w:szCs w:val="32"/>
          <w:highlight w:val="none"/>
          <w:shd w:val="clear" w:color="auto" w:fill="FFFFFF"/>
          <w:lang w:val="en-US" w:eastAsia="zh-CN" w:bidi="ar-SA"/>
        </w:rPr>
        <w:t>80</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79</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79</w:t>
      </w:r>
      <w:r>
        <w:rPr>
          <w:rFonts w:hint="eastAsia" w:ascii="Times New Roman" w:hAnsi="Times New Roman" w:eastAsia="仿宋_GB2312" w:cs="Times New Roman"/>
          <w:b w:val="0"/>
          <w:kern w:val="0"/>
          <w:sz w:val="32"/>
          <w:szCs w:val="32"/>
          <w:highlight w:val="none"/>
          <w:shd w:val="clear" w:color="auto" w:fill="FFFFFF"/>
          <w:lang w:val="en-US" w:eastAsia="zh-CN" w:bidi="ar-SA"/>
        </w:rPr>
        <w:t>×100%=</w:t>
      </w:r>
      <w:r>
        <w:rPr>
          <w:rFonts w:hint="eastAsia" w:eastAsia="仿宋_GB2312" w:cs="Times New Roman"/>
          <w:b w:val="0"/>
          <w:kern w:val="0"/>
          <w:sz w:val="32"/>
          <w:szCs w:val="32"/>
          <w:highlight w:val="none"/>
          <w:shd w:val="clear" w:color="auto" w:fill="FFFFFF"/>
          <w:lang w:val="en-US" w:eastAsia="zh-CN" w:bidi="ar-SA"/>
        </w:rPr>
        <w:t>1</w:t>
      </w:r>
      <w:r>
        <w:rPr>
          <w:rFonts w:hint="eastAsia" w:ascii="Times New Roman" w:hAnsi="Times New Roman" w:eastAsia="仿宋_GB2312" w:cs="Times New Roman"/>
          <w:b w:val="0"/>
          <w:kern w:val="0"/>
          <w:sz w:val="32"/>
          <w:szCs w:val="32"/>
          <w:highlight w:val="none"/>
          <w:shd w:val="clear" w:color="auto" w:fill="FFFFFF"/>
          <w:lang w:val="en-US" w:eastAsia="zh-CN" w:bidi="ar-SA"/>
        </w:rPr>
        <w:t>.</w:t>
      </w:r>
      <w:r>
        <w:rPr>
          <w:rFonts w:hint="eastAsia" w:eastAsia="仿宋_GB2312" w:cs="Times New Roman"/>
          <w:b w:val="0"/>
          <w:kern w:val="0"/>
          <w:sz w:val="32"/>
          <w:szCs w:val="32"/>
          <w:highlight w:val="none"/>
          <w:shd w:val="clear" w:color="auto" w:fill="FFFFFF"/>
          <w:lang w:val="en-US" w:eastAsia="zh-CN" w:bidi="ar-SA"/>
        </w:rPr>
        <w:t>27</w:t>
      </w:r>
      <w:r>
        <w:rPr>
          <w:rFonts w:hint="eastAsia" w:ascii="Times New Roman" w:hAnsi="Times New Roman" w:eastAsia="仿宋_GB2312" w:cs="Times New Roman"/>
          <w:b w:val="0"/>
          <w:kern w:val="0"/>
          <w:sz w:val="32"/>
          <w:szCs w:val="32"/>
          <w:highlight w:val="none"/>
          <w:shd w:val="clear" w:color="auto" w:fill="FFFFFF"/>
          <w:lang w:val="en-US" w:eastAsia="zh-CN" w:bidi="ar-SA"/>
        </w:rPr>
        <w:t>%，部门整体支出自评得分与评价组抽查得分差异</w:t>
      </w:r>
      <w:bookmarkEnd w:id="67"/>
      <w:bookmarkStart w:id="68" w:name="_Toc26293"/>
      <w:r>
        <w:rPr>
          <w:rFonts w:hint="eastAsia" w:ascii="Times New Roman" w:hAnsi="Times New Roman" w:eastAsia="仿宋_GB2312" w:cs="Times New Roman"/>
          <w:b w:val="0"/>
          <w:kern w:val="0"/>
          <w:sz w:val="32"/>
          <w:szCs w:val="32"/>
          <w:highlight w:val="none"/>
          <w:shd w:val="clear" w:color="auto" w:fill="FFFFFF"/>
          <w:lang w:val="en-US" w:eastAsia="zh-CN" w:bidi="ar-SA"/>
        </w:rPr>
        <w:t>在5%</w:t>
      </w:r>
      <w:r>
        <w:rPr>
          <w:rFonts w:hint="eastAsia" w:eastAsia="仿宋_GB2312" w:cs="Times New Roman"/>
          <w:b w:val="0"/>
          <w:kern w:val="0"/>
          <w:sz w:val="32"/>
          <w:szCs w:val="32"/>
          <w:highlight w:val="none"/>
          <w:shd w:val="clear" w:color="auto" w:fill="FFFFFF"/>
          <w:lang w:val="en-US" w:eastAsia="zh-CN" w:bidi="ar-SA"/>
        </w:rPr>
        <w:t>以内</w:t>
      </w:r>
      <w:r>
        <w:rPr>
          <w:rFonts w:hint="eastAsia" w:ascii="Times New Roman" w:hAnsi="Times New Roman" w:eastAsia="仿宋_GB2312" w:cs="Times New Roman"/>
          <w:b w:val="0"/>
          <w:kern w:val="0"/>
          <w:sz w:val="32"/>
          <w:szCs w:val="32"/>
          <w:highlight w:val="none"/>
          <w:shd w:val="clear" w:color="auto" w:fill="FFFFFF"/>
          <w:lang w:val="en-US" w:eastAsia="zh-CN" w:bidi="ar-SA"/>
        </w:rPr>
        <w:t>的，</w:t>
      </w:r>
      <w:r>
        <w:rPr>
          <w:rFonts w:hint="eastAsia" w:eastAsia="仿宋_GB2312" w:cs="Times New Roman"/>
          <w:b w:val="0"/>
          <w:kern w:val="0"/>
          <w:sz w:val="32"/>
          <w:szCs w:val="32"/>
          <w:highlight w:val="none"/>
          <w:shd w:val="clear" w:color="auto" w:fill="FFFFFF"/>
          <w:lang w:val="en-US" w:eastAsia="zh-CN" w:bidi="ar-SA"/>
        </w:rPr>
        <w:t>得10</w:t>
      </w:r>
      <w:r>
        <w:rPr>
          <w:rFonts w:hint="eastAsia" w:ascii="Times New Roman" w:hAnsi="Times New Roman" w:eastAsia="仿宋_GB2312" w:cs="Times New Roman"/>
          <w:b w:val="0"/>
          <w:kern w:val="0"/>
          <w:sz w:val="32"/>
          <w:szCs w:val="32"/>
          <w:highlight w:val="none"/>
          <w:shd w:val="clear" w:color="auto" w:fill="FFFFFF"/>
          <w:lang w:val="en-US" w:eastAsia="zh-CN" w:bidi="ar-SA"/>
        </w:rPr>
        <w:t>分</w:t>
      </w:r>
      <w:r>
        <w:rPr>
          <w:rFonts w:hint="eastAsia" w:ascii="Times New Roman" w:hAnsi="Times New Roman" w:eastAsia="仿宋_GB2312" w:cs="Times New Roman"/>
          <w:b w:val="0"/>
          <w:bCs w:val="0"/>
          <w:color w:val="000000"/>
          <w:kern w:val="0"/>
          <w:sz w:val="32"/>
          <w:szCs w:val="32"/>
          <w:highlight w:val="none"/>
          <w:lang w:val="en-US" w:eastAsia="zh-CN" w:bidi="ar"/>
        </w:rPr>
        <w:t>。</w:t>
      </w: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highlight w:val="none"/>
        </w:rPr>
      </w:pPr>
      <w:bookmarkStart w:id="69" w:name="_Toc28491"/>
      <w:r>
        <w:rPr>
          <w:rFonts w:hint="eastAsia" w:ascii="Times New Roman" w:hAnsi="Times New Roman" w:cs="Times New Roman"/>
          <w:sz w:val="30"/>
          <w:szCs w:val="30"/>
          <w:highlight w:val="none"/>
          <w:lang w:val="en-US" w:eastAsia="zh-CN"/>
        </w:rPr>
        <w:t>四</w:t>
      </w:r>
      <w:r>
        <w:rPr>
          <w:rFonts w:hint="default" w:ascii="Times New Roman" w:hAnsi="Times New Roman" w:cs="Times New Roman"/>
          <w:sz w:val="30"/>
          <w:szCs w:val="30"/>
          <w:highlight w:val="none"/>
        </w:rPr>
        <w:t>、评价发现的主要问题</w:t>
      </w:r>
      <w:bookmarkEnd w:id="69"/>
    </w:p>
    <w:p>
      <w:pPr>
        <w:pStyle w:val="4"/>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highlight w:val="none"/>
        </w:rPr>
      </w:pPr>
      <w:bookmarkStart w:id="70" w:name="_Toc17725"/>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一）财务管理方面</w:t>
      </w:r>
      <w:bookmarkEnd w:id="7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1.超标准报销住宿费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eastAsia" w:ascii="Times New Roman" w:hAnsi="Times New Roman" w:eastAsia="仿宋_GB2312" w:cs="Times New Roman"/>
          <w:kern w:val="0"/>
          <w:sz w:val="32"/>
          <w:szCs w:val="32"/>
          <w:highlight w:val="none"/>
          <w:shd w:val="clear" w:color="auto" w:fill="FFFFFF"/>
        </w:rPr>
        <w:t>2022年2月</w:t>
      </w:r>
      <w:r>
        <w:rPr>
          <w:rFonts w:hint="eastAsia" w:eastAsia="仿宋_GB2312" w:cs="Times New Roman"/>
          <w:kern w:val="0"/>
          <w:sz w:val="32"/>
          <w:szCs w:val="32"/>
          <w:highlight w:val="none"/>
          <w:shd w:val="clear" w:color="auto" w:fill="FFFFFF"/>
          <w:lang w:val="en-US" w:eastAsia="zh-CN"/>
        </w:rPr>
        <w:t>第</w:t>
      </w:r>
      <w:r>
        <w:rPr>
          <w:rFonts w:hint="eastAsia" w:ascii="Times New Roman" w:hAnsi="Times New Roman" w:eastAsia="仿宋_GB2312" w:cs="Times New Roman"/>
          <w:kern w:val="0"/>
          <w:sz w:val="32"/>
          <w:szCs w:val="32"/>
          <w:highlight w:val="none"/>
          <w:shd w:val="clear" w:color="auto" w:fill="FFFFFF"/>
        </w:rPr>
        <w:t>11</w:t>
      </w:r>
      <w:r>
        <w:rPr>
          <w:rFonts w:hint="eastAsia" w:eastAsia="仿宋_GB2312" w:cs="Times New Roman"/>
          <w:kern w:val="0"/>
          <w:sz w:val="32"/>
          <w:szCs w:val="32"/>
          <w:highlight w:val="none"/>
          <w:shd w:val="clear" w:color="auto" w:fill="FFFFFF"/>
          <w:lang w:val="en-US" w:eastAsia="zh-CN"/>
        </w:rPr>
        <w:t>号凭证</w:t>
      </w:r>
      <w:r>
        <w:rPr>
          <w:rFonts w:hint="eastAsia" w:ascii="Times New Roman" w:hAnsi="Times New Roman" w:eastAsia="仿宋_GB2312" w:cs="Times New Roman"/>
          <w:kern w:val="0"/>
          <w:sz w:val="32"/>
          <w:szCs w:val="32"/>
          <w:highlight w:val="none"/>
          <w:shd w:val="clear" w:color="auto" w:fill="FFFFFF"/>
        </w:rPr>
        <w:t>，后附的差旅费报销单中，书记和驾驶员出差到马尔康参加州纪委十一届第七次全体会议，时间为2021年12月22日到2021年12月24日，住宿费为1,340.00元，后附的住宿费发票金额为670.00元两张，每张发票明细中住宿费单价为335.00元，数量为2</w:t>
      </w:r>
      <w:r>
        <w:rPr>
          <w:rFonts w:hint="eastAsia" w:eastAsia="仿宋_GB2312" w:cs="Times New Roman"/>
          <w:kern w:val="0"/>
          <w:sz w:val="32"/>
          <w:szCs w:val="32"/>
          <w:highlight w:val="none"/>
          <w:shd w:val="clear" w:color="auto" w:fill="FFFFFF"/>
          <w:lang w:val="en-US" w:eastAsia="zh-CN"/>
        </w:rPr>
        <w:t>间</w:t>
      </w:r>
      <w:r>
        <w:rPr>
          <w:rFonts w:hint="eastAsia" w:ascii="Times New Roman" w:hAnsi="Times New Roman" w:eastAsia="仿宋_GB2312" w:cs="Times New Roman"/>
          <w:kern w:val="0"/>
          <w:sz w:val="32"/>
          <w:szCs w:val="32"/>
          <w:highlight w:val="none"/>
          <w:shd w:val="clear" w:color="auto" w:fill="FFFFFF"/>
        </w:rPr>
        <w:t>；规定的住宿费单价：正副处级及相当职务人员省内为330.00元，其他人员省内为300.00元。均超出规定金额。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eastAsia" w:ascii="Times New Roman" w:hAnsi="Times New Roman" w:eastAsia="仿宋_GB2312" w:cs="Times New Roman"/>
          <w:kern w:val="0"/>
          <w:sz w:val="32"/>
          <w:szCs w:val="32"/>
          <w:highlight w:val="none"/>
          <w:shd w:val="clear" w:color="auto" w:fill="FFFFFF"/>
        </w:rPr>
        <w:t>2022年2月</w:t>
      </w:r>
      <w:r>
        <w:rPr>
          <w:rFonts w:hint="eastAsia" w:eastAsia="仿宋_GB2312" w:cs="Times New Roman"/>
          <w:kern w:val="0"/>
          <w:sz w:val="32"/>
          <w:szCs w:val="32"/>
          <w:highlight w:val="none"/>
          <w:shd w:val="clear" w:color="auto" w:fill="FFFFFF"/>
          <w:lang w:val="en-US" w:eastAsia="zh-CN"/>
        </w:rPr>
        <w:t>第</w:t>
      </w:r>
      <w:r>
        <w:rPr>
          <w:rFonts w:hint="eastAsia" w:ascii="Times New Roman" w:hAnsi="Times New Roman" w:eastAsia="仿宋_GB2312" w:cs="Times New Roman"/>
          <w:kern w:val="0"/>
          <w:sz w:val="32"/>
          <w:szCs w:val="32"/>
          <w:highlight w:val="none"/>
          <w:shd w:val="clear" w:color="auto" w:fill="FFFFFF"/>
        </w:rPr>
        <w:t>11</w:t>
      </w:r>
      <w:r>
        <w:rPr>
          <w:rFonts w:hint="eastAsia" w:eastAsia="仿宋_GB2312" w:cs="Times New Roman"/>
          <w:kern w:val="0"/>
          <w:sz w:val="32"/>
          <w:szCs w:val="32"/>
          <w:highlight w:val="none"/>
          <w:shd w:val="clear" w:color="auto" w:fill="FFFFFF"/>
          <w:lang w:val="en-US" w:eastAsia="zh-CN"/>
        </w:rPr>
        <w:t>号凭证</w:t>
      </w:r>
      <w:r>
        <w:rPr>
          <w:rFonts w:hint="eastAsia" w:ascii="Times New Roman" w:hAnsi="Times New Roman" w:eastAsia="仿宋_GB2312" w:cs="Times New Roman"/>
          <w:kern w:val="0"/>
          <w:sz w:val="32"/>
          <w:szCs w:val="32"/>
          <w:highlight w:val="none"/>
          <w:shd w:val="clear" w:color="auto" w:fill="FFFFFF"/>
        </w:rPr>
        <w:t>，后附的差旅费报销单中，书记和驾驶员出差到成都、茂县等地慰问离退休老干部，时间为2022年1月21日到2022年1月24日，住宿费为2,010.00元，后附的住宿费发票分别为茂县兴隆宾馆开具的金额为670.00元一张和都江堰市玉鹏商务酒店开具的金额为1,340.00元一张</w:t>
      </w:r>
      <w:r>
        <w:rPr>
          <w:rFonts w:hint="eastAsia" w:eastAsia="仿宋_GB2312" w:cs="Times New Roman"/>
          <w:kern w:val="0"/>
          <w:sz w:val="32"/>
          <w:szCs w:val="32"/>
          <w:highlight w:val="none"/>
          <w:shd w:val="clear" w:color="auto" w:fill="FFFFFF"/>
          <w:lang w:eastAsia="zh-CN"/>
        </w:rPr>
        <w:t>，</w:t>
      </w:r>
      <w:r>
        <w:rPr>
          <w:rFonts w:hint="eastAsia" w:eastAsia="仿宋_GB2312" w:cs="Times New Roman"/>
          <w:kern w:val="0"/>
          <w:sz w:val="32"/>
          <w:szCs w:val="32"/>
          <w:highlight w:val="none"/>
          <w:shd w:val="clear" w:color="auto" w:fill="FFFFFF"/>
          <w:lang w:val="en-US" w:eastAsia="zh-CN"/>
        </w:rPr>
        <w:t>其中</w:t>
      </w:r>
      <w:r>
        <w:rPr>
          <w:rFonts w:hint="eastAsia" w:ascii="Times New Roman" w:hAnsi="Times New Roman" w:eastAsia="仿宋_GB2312" w:cs="Times New Roman"/>
          <w:kern w:val="0"/>
          <w:sz w:val="32"/>
          <w:szCs w:val="32"/>
          <w:highlight w:val="none"/>
          <w:shd w:val="clear" w:color="auto" w:fill="FFFFFF"/>
        </w:rPr>
        <w:t>茂县兴隆宾馆开具的发票明细中住宿费总金额为670.00元，超过了规定40.00（670-630=40）元。规定的住宿费单价：正副处级及相当职务人员省内为330.00元，其他人员省内为300.00元。均超出规定金额。</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eastAsia" w:eastAsia="仿宋_GB2312"/>
          <w:b/>
          <w:bCs/>
          <w:color w:val="000000"/>
          <w:sz w:val="32"/>
          <w:szCs w:val="32"/>
          <w:highlight w:val="none"/>
        </w:rPr>
        <w:t>违反的相关条例：</w:t>
      </w:r>
      <w:r>
        <w:rPr>
          <w:rFonts w:hint="eastAsia" w:ascii="Times New Roman" w:hAnsi="Times New Roman" w:eastAsia="仿宋_GB2312" w:cs="Times New Roman"/>
          <w:kern w:val="0"/>
          <w:sz w:val="32"/>
          <w:szCs w:val="32"/>
          <w:highlight w:val="none"/>
          <w:shd w:val="clear" w:color="auto" w:fill="FFFFFF"/>
        </w:rPr>
        <w:t>《阿坝县行政事业单位差旅费管理办法》第八条住宿费：“正副处级及相当职务人员州内330元/天，其他人员州内300元/天”。</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b w:val="0"/>
          <w:bCs w:val="0"/>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eastAsia="仿宋_GB2312" w:cs="Times New Roman"/>
          <w:b w:val="0"/>
          <w:bCs w:val="0"/>
          <w:color w:val="000000"/>
          <w:kern w:val="2"/>
          <w:sz w:val="32"/>
          <w:szCs w:val="32"/>
          <w:highlight w:val="none"/>
          <w:lang w:val="en-US" w:eastAsia="zh-CN" w:bidi="ar-SA"/>
        </w:rPr>
        <w:t>单位</w:t>
      </w:r>
      <w:r>
        <w:rPr>
          <w:rFonts w:hint="eastAsia" w:ascii="Times New Roman" w:hAnsi="Times New Roman" w:eastAsia="仿宋_GB2312" w:cs="Times New Roman"/>
          <w:b w:val="0"/>
          <w:bCs w:val="0"/>
          <w:color w:val="000000"/>
          <w:kern w:val="2"/>
          <w:sz w:val="32"/>
          <w:szCs w:val="32"/>
          <w:highlight w:val="none"/>
          <w:lang w:val="en-US" w:eastAsia="zh-CN" w:bidi="ar-SA"/>
        </w:rPr>
        <w:t>加强</w:t>
      </w:r>
      <w:r>
        <w:rPr>
          <w:rFonts w:hint="eastAsia" w:ascii="Times New Roman" w:hAnsi="Times New Roman" w:eastAsia="仿宋_GB2312" w:cs="Times New Roman"/>
          <w:color w:val="000000"/>
          <w:kern w:val="0"/>
          <w:sz w:val="32"/>
          <w:szCs w:val="32"/>
          <w:highlight w:val="none"/>
          <w:lang w:val="en-US" w:eastAsia="zh-CN" w:bidi="ar"/>
        </w:rPr>
        <w:t>费用</w:t>
      </w:r>
      <w:r>
        <w:rPr>
          <w:rFonts w:hint="eastAsia" w:ascii="Times New Roman" w:hAnsi="Times New Roman" w:eastAsia="仿宋_GB2312" w:cs="Times New Roman"/>
          <w:b w:val="0"/>
          <w:bCs w:val="0"/>
          <w:color w:val="000000"/>
          <w:kern w:val="2"/>
          <w:sz w:val="32"/>
          <w:szCs w:val="32"/>
          <w:highlight w:val="none"/>
          <w:lang w:val="en-US" w:eastAsia="zh-CN" w:bidi="ar-SA"/>
        </w:rPr>
        <w:t>报销审核，</w:t>
      </w:r>
      <w:r>
        <w:rPr>
          <w:rFonts w:hint="eastAsia" w:ascii="Times New Roman" w:hAnsi="Times New Roman" w:eastAsia="仿宋_GB2312" w:cs="Times New Roman"/>
          <w:b w:val="0"/>
          <w:bCs w:val="0"/>
          <w:kern w:val="0"/>
          <w:sz w:val="32"/>
          <w:szCs w:val="32"/>
          <w:highlight w:val="none"/>
          <w:shd w:val="clear" w:color="auto" w:fill="FFFFFF"/>
        </w:rPr>
        <w:t>会计机构、会计人员应当对原始凭证进行审核和监督</w:t>
      </w:r>
      <w:r>
        <w:rPr>
          <w:rFonts w:hint="eastAsia" w:ascii="Times New Roman" w:hAnsi="Times New Roman" w:eastAsia="仿宋_GB2312" w:cs="Times New Roman"/>
          <w:b w:val="0"/>
          <w:bCs w:val="0"/>
          <w:kern w:val="0"/>
          <w:sz w:val="32"/>
          <w:szCs w:val="32"/>
          <w:highlight w:val="none"/>
          <w:shd w:val="clear" w:color="auto" w:fill="FFFFFF"/>
          <w:lang w:eastAsia="zh-CN"/>
        </w:rPr>
        <w:t>，</w:t>
      </w:r>
      <w:r>
        <w:rPr>
          <w:rFonts w:hint="eastAsia" w:ascii="Times New Roman" w:hAnsi="Times New Roman" w:eastAsia="仿宋_GB2312" w:cs="Times New Roman"/>
          <w:b w:val="0"/>
          <w:bCs w:val="0"/>
          <w:kern w:val="0"/>
          <w:sz w:val="32"/>
          <w:szCs w:val="32"/>
          <w:highlight w:val="none"/>
          <w:shd w:val="clear" w:color="auto" w:fill="FFFFFF"/>
        </w:rPr>
        <w:t>对记载不准确、不完整的原始凭证，</w:t>
      </w:r>
      <w:r>
        <w:rPr>
          <w:rFonts w:hint="eastAsia" w:ascii="Times New Roman" w:hAnsi="Times New Roman" w:eastAsia="仿宋_GB2312" w:cs="Times New Roman"/>
          <w:b w:val="0"/>
          <w:bCs w:val="0"/>
          <w:kern w:val="0"/>
          <w:sz w:val="32"/>
          <w:szCs w:val="32"/>
          <w:highlight w:val="none"/>
          <w:shd w:val="clear" w:color="auto" w:fill="FFFFFF"/>
          <w:lang w:val="en-US" w:eastAsia="zh-CN"/>
        </w:rPr>
        <w:t>予以</w:t>
      </w:r>
      <w:r>
        <w:rPr>
          <w:rFonts w:hint="eastAsia" w:ascii="Times New Roman" w:hAnsi="Times New Roman" w:eastAsia="仿宋_GB2312" w:cs="Times New Roman"/>
          <w:b w:val="0"/>
          <w:bCs w:val="0"/>
          <w:kern w:val="0"/>
          <w:sz w:val="32"/>
          <w:szCs w:val="32"/>
          <w:highlight w:val="none"/>
          <w:shd w:val="clear" w:color="auto" w:fill="FFFFFF"/>
        </w:rPr>
        <w:t>退回，</w:t>
      </w:r>
      <w:r>
        <w:rPr>
          <w:rFonts w:hint="eastAsia" w:ascii="Times New Roman" w:hAnsi="Times New Roman" w:eastAsia="仿宋_GB2312" w:cs="Times New Roman"/>
          <w:b w:val="0"/>
          <w:bCs w:val="0"/>
          <w:kern w:val="0"/>
          <w:sz w:val="32"/>
          <w:szCs w:val="32"/>
          <w:highlight w:val="none"/>
          <w:shd w:val="clear" w:color="auto" w:fill="FFFFFF"/>
          <w:lang w:val="en-US" w:eastAsia="zh-CN"/>
        </w:rPr>
        <w:t>对</w:t>
      </w:r>
      <w:r>
        <w:rPr>
          <w:rFonts w:hint="eastAsia" w:eastAsia="仿宋_GB2312" w:cs="Times New Roman"/>
          <w:b w:val="0"/>
          <w:bCs w:val="0"/>
          <w:kern w:val="0"/>
          <w:sz w:val="32"/>
          <w:szCs w:val="32"/>
          <w:highlight w:val="none"/>
          <w:shd w:val="clear" w:color="auto" w:fill="FFFFFF"/>
          <w:lang w:val="en-US" w:eastAsia="zh-CN"/>
        </w:rPr>
        <w:t>超标准的费用</w:t>
      </w:r>
      <w:r>
        <w:rPr>
          <w:rFonts w:hint="eastAsia" w:ascii="Times New Roman" w:hAnsi="Times New Roman" w:eastAsia="仿宋_GB2312" w:cs="Times New Roman"/>
          <w:b w:val="0"/>
          <w:bCs w:val="0"/>
          <w:kern w:val="0"/>
          <w:sz w:val="32"/>
          <w:szCs w:val="32"/>
          <w:highlight w:val="none"/>
          <w:shd w:val="clear" w:color="auto" w:fill="FFFFFF"/>
          <w:lang w:val="en-US" w:eastAsia="zh-CN"/>
        </w:rPr>
        <w:t>不予报销，</w:t>
      </w:r>
      <w:r>
        <w:rPr>
          <w:rFonts w:hint="eastAsia" w:ascii="Times New Roman" w:hAnsi="Times New Roman" w:eastAsia="仿宋_GB2312" w:cs="Times New Roman"/>
          <w:b w:val="0"/>
          <w:bCs w:val="0"/>
          <w:kern w:val="0"/>
          <w:sz w:val="32"/>
          <w:szCs w:val="32"/>
          <w:highlight w:val="none"/>
          <w:shd w:val="clear" w:color="auto" w:fill="FFFFFF"/>
        </w:rPr>
        <w:t>要求经办人员更正、</w:t>
      </w:r>
      <w:r>
        <w:rPr>
          <w:rFonts w:hint="eastAsia" w:eastAsia="仿宋_GB2312" w:cs="Times New Roman"/>
          <w:b w:val="0"/>
          <w:bCs w:val="0"/>
          <w:kern w:val="0"/>
          <w:sz w:val="32"/>
          <w:szCs w:val="32"/>
          <w:highlight w:val="none"/>
          <w:shd w:val="clear" w:color="auto" w:fill="FFFFFF"/>
          <w:lang w:val="en-US" w:eastAsia="zh-CN"/>
        </w:rPr>
        <w:t>说明</w:t>
      </w:r>
      <w:r>
        <w:rPr>
          <w:rFonts w:hint="eastAsia" w:ascii="Times New Roman" w:hAnsi="Times New Roman" w:eastAsia="仿宋_GB2312" w:cs="Times New Roman"/>
          <w:b w:val="0"/>
          <w:bCs w:val="0"/>
          <w:kern w:val="0"/>
          <w:sz w:val="32"/>
          <w:szCs w:val="32"/>
          <w:highlight w:val="none"/>
          <w:shd w:val="clear" w:color="auto" w:fill="FFFFFF"/>
          <w:lang w:val="en-US" w:eastAsia="zh-CN"/>
        </w:rPr>
        <w:t>。针对已多支付的费用及时收回，严格执行差旅费报销制度，加强原始凭证审核，避免多报销费用现象的发生。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eastAsia" w:ascii="Times New Roman" w:hAnsi="Times New Roman" w:eastAsia="仿宋_GB2312" w:cs="Times New Roman"/>
          <w:kern w:val="0"/>
          <w:sz w:val="32"/>
          <w:szCs w:val="32"/>
          <w:highlight w:val="none"/>
          <w:shd w:val="clear" w:color="auto" w:fill="FFFFFF"/>
          <w:lang w:val="en-US" w:eastAsia="zh-CN"/>
        </w:rPr>
        <w:t>2.附件不齐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（1）报销车辆费用未附派车单：</w:t>
      </w:r>
      <w:r>
        <w:rPr>
          <w:rFonts w:hint="eastAsia" w:ascii="Times New Roman" w:hAnsi="Times New Roman" w:eastAsia="仿宋_GB2312" w:cs="Times New Roman"/>
          <w:kern w:val="0"/>
          <w:sz w:val="32"/>
          <w:szCs w:val="32"/>
          <w:highlight w:val="none"/>
          <w:shd w:val="clear" w:color="auto" w:fill="FFFFFF"/>
          <w:lang w:val="en-US" w:eastAsia="zh-CN"/>
        </w:rPr>
        <w:t>2022年5月</w:t>
      </w:r>
      <w:r>
        <w:rPr>
          <w:rFonts w:hint="eastAsia" w:eastAsia="仿宋_GB2312" w:cs="Times New Roman"/>
          <w:kern w:val="0"/>
          <w:sz w:val="32"/>
          <w:szCs w:val="32"/>
          <w:highlight w:val="none"/>
          <w:shd w:val="clear" w:color="auto" w:fill="FFFFFF"/>
          <w:lang w:val="en-US" w:eastAsia="zh-CN"/>
        </w:rPr>
        <w:t>第</w:t>
      </w:r>
      <w:r>
        <w:rPr>
          <w:rFonts w:hint="eastAsia" w:ascii="Times New Roman" w:hAnsi="Times New Roman" w:eastAsia="仿宋_GB2312" w:cs="Times New Roman"/>
          <w:kern w:val="0"/>
          <w:sz w:val="32"/>
          <w:szCs w:val="32"/>
          <w:highlight w:val="none"/>
          <w:shd w:val="clear" w:color="auto" w:fill="FFFFFF"/>
          <w:lang w:val="en-US" w:eastAsia="zh-CN"/>
        </w:rPr>
        <w:t>10</w:t>
      </w:r>
      <w:r>
        <w:rPr>
          <w:rFonts w:hint="eastAsia" w:eastAsia="仿宋_GB2312" w:cs="Times New Roman"/>
          <w:kern w:val="0"/>
          <w:sz w:val="32"/>
          <w:szCs w:val="32"/>
          <w:highlight w:val="none"/>
          <w:shd w:val="clear" w:color="auto" w:fill="FFFFFF"/>
          <w:lang w:val="en-US" w:eastAsia="zh-CN"/>
        </w:rPr>
        <w:t>号凭证</w:t>
      </w:r>
      <w:r>
        <w:rPr>
          <w:rFonts w:hint="eastAsia" w:ascii="Times New Roman" w:hAnsi="Times New Roman" w:eastAsia="仿宋_GB2312" w:cs="Times New Roman"/>
          <w:kern w:val="0"/>
          <w:sz w:val="32"/>
          <w:szCs w:val="32"/>
          <w:highlight w:val="none"/>
          <w:shd w:val="clear" w:color="auto" w:fill="FFFFFF"/>
          <w:lang w:val="en-US" w:eastAsia="zh-CN"/>
        </w:rPr>
        <w:t>，后附的阿坝县纪委办公室车辆支出明细登记表，报销洗车费、过路费、</w:t>
      </w:r>
      <w:r>
        <w:rPr>
          <w:rFonts w:hint="eastAsia" w:eastAsia="仿宋_GB2312" w:cs="Times New Roman"/>
          <w:kern w:val="0"/>
          <w:sz w:val="32"/>
          <w:szCs w:val="32"/>
          <w:highlight w:val="none"/>
          <w:shd w:val="clear" w:color="auto" w:fill="FFFFFF"/>
          <w:lang w:val="en-US" w:eastAsia="zh-CN"/>
        </w:rPr>
        <w:t>油</w:t>
      </w:r>
      <w:r>
        <w:rPr>
          <w:rFonts w:hint="eastAsia" w:ascii="Times New Roman" w:hAnsi="Times New Roman" w:eastAsia="仿宋_GB2312" w:cs="Times New Roman"/>
          <w:kern w:val="0"/>
          <w:sz w:val="32"/>
          <w:szCs w:val="32"/>
          <w:highlight w:val="none"/>
          <w:shd w:val="clear" w:color="auto" w:fill="FFFFFF"/>
          <w:lang w:val="en-US" w:eastAsia="zh-CN"/>
        </w:rPr>
        <w:t>费共计1,645.00元，车牌号为川U03929（到汶川培训，到马尔康开会），附件中无派车。</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eastAsia" w:eastAsia="仿宋_GB2312"/>
          <w:b/>
          <w:bCs/>
          <w:color w:val="000000"/>
          <w:sz w:val="32"/>
          <w:szCs w:val="32"/>
          <w:highlight w:val="none"/>
        </w:rPr>
        <w:t>违反的相关条例：</w:t>
      </w:r>
      <w:r>
        <w:rPr>
          <w:rFonts w:hint="eastAsia" w:ascii="Times New Roman" w:hAnsi="Times New Roman" w:eastAsia="仿宋_GB2312" w:cs="Times New Roman"/>
          <w:kern w:val="0"/>
          <w:sz w:val="32"/>
          <w:szCs w:val="32"/>
          <w:highlight w:val="none"/>
          <w:shd w:val="clear" w:color="auto" w:fill="FFFFFF"/>
        </w:rPr>
        <w:t>中共阿坝县纪委 阿坝县监察委员会《财务内部控制管理制度》第十八条“机关公务用车由办公室集中管理，统一开具派车单。公务用车运行维护费由委机关统一列支。（一）燃油费。车辆用油实行办公室统一开具派车单调度，由驾驶员刷公务卡加油。（三）过桥过路费。车辆过桥过路费由办公室审核真实性，财务人员凭派车单、发票和清单审核发生的费用并报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（2）大额支付未付相关会议纪要：</w:t>
      </w:r>
      <w:r>
        <w:rPr>
          <w:rFonts w:hint="eastAsia" w:ascii="Times New Roman" w:hAnsi="Times New Roman" w:eastAsia="仿宋_GB2312" w:cs="Times New Roman"/>
          <w:kern w:val="0"/>
          <w:sz w:val="32"/>
          <w:szCs w:val="32"/>
          <w:highlight w:val="none"/>
          <w:shd w:val="clear" w:color="auto" w:fill="FFFFFF"/>
          <w:lang w:val="en-US" w:eastAsia="zh-CN"/>
        </w:rPr>
        <w:t>2022年12月</w:t>
      </w:r>
      <w:r>
        <w:rPr>
          <w:rFonts w:hint="eastAsia" w:eastAsia="仿宋_GB2312" w:cs="Times New Roman"/>
          <w:kern w:val="0"/>
          <w:sz w:val="32"/>
          <w:szCs w:val="32"/>
          <w:highlight w:val="none"/>
          <w:shd w:val="clear" w:color="auto" w:fill="FFFFFF"/>
          <w:lang w:val="en-US" w:eastAsia="zh-CN"/>
        </w:rPr>
        <w:t>第</w:t>
      </w:r>
      <w:r>
        <w:rPr>
          <w:rFonts w:hint="eastAsia" w:ascii="Times New Roman" w:hAnsi="Times New Roman" w:eastAsia="仿宋_GB2312" w:cs="Times New Roman"/>
          <w:kern w:val="0"/>
          <w:sz w:val="32"/>
          <w:szCs w:val="32"/>
          <w:highlight w:val="none"/>
          <w:shd w:val="clear" w:color="auto" w:fill="FFFFFF"/>
          <w:lang w:val="en-US" w:eastAsia="zh-CN"/>
        </w:rPr>
        <w:t>15</w:t>
      </w:r>
      <w:r>
        <w:rPr>
          <w:rFonts w:hint="eastAsia" w:eastAsia="仿宋_GB2312" w:cs="Times New Roman"/>
          <w:kern w:val="0"/>
          <w:sz w:val="32"/>
          <w:szCs w:val="32"/>
          <w:highlight w:val="none"/>
          <w:shd w:val="clear" w:color="auto" w:fill="FFFFFF"/>
          <w:lang w:val="en-US" w:eastAsia="zh-CN"/>
        </w:rPr>
        <w:t>号凭证</w:t>
      </w:r>
      <w:r>
        <w:rPr>
          <w:rFonts w:hint="eastAsia" w:ascii="Times New Roman" w:hAnsi="Times New Roman" w:eastAsia="仿宋_GB2312" w:cs="Times New Roman"/>
          <w:kern w:val="0"/>
          <w:sz w:val="32"/>
          <w:szCs w:val="32"/>
          <w:highlight w:val="none"/>
          <w:shd w:val="clear" w:color="auto" w:fill="FFFFFF"/>
          <w:lang w:val="en-US" w:eastAsia="zh-CN"/>
        </w:rPr>
        <w:t>，报销办公耗材（计算机配套产品），金额为61,340.00元，超过5万元，应召开会议，并将会议纪要附于记账凭证</w:t>
      </w:r>
      <w:r>
        <w:rPr>
          <w:rFonts w:hint="eastAsia" w:eastAsia="仿宋_GB2312" w:cs="Times New Roman"/>
          <w:kern w:val="0"/>
          <w:sz w:val="32"/>
          <w:szCs w:val="32"/>
          <w:highlight w:val="none"/>
          <w:shd w:val="clear" w:color="auto" w:fill="FFFFFF"/>
          <w:lang w:val="en-US" w:eastAsia="zh-CN"/>
        </w:rPr>
        <w:t>后</w:t>
      </w:r>
      <w:r>
        <w:rPr>
          <w:rFonts w:hint="eastAsia" w:ascii="Times New Roman" w:hAnsi="Times New Roman" w:eastAsia="仿宋_GB2312" w:cs="Times New Roman"/>
          <w:kern w:val="0"/>
          <w:sz w:val="32"/>
          <w:szCs w:val="32"/>
          <w:highlight w:val="none"/>
          <w:shd w:val="clear" w:color="auto" w:fill="FFFFFF"/>
          <w:lang w:val="en-US" w:eastAsia="zh-CN"/>
        </w:rPr>
        <w:t>，但</w:t>
      </w:r>
      <w:r>
        <w:rPr>
          <w:rFonts w:hint="eastAsia" w:eastAsia="仿宋_GB2312" w:cs="Times New Roman"/>
          <w:kern w:val="0"/>
          <w:sz w:val="32"/>
          <w:szCs w:val="32"/>
          <w:highlight w:val="none"/>
          <w:shd w:val="clear" w:color="auto" w:fill="FFFFFF"/>
          <w:lang w:val="en-US" w:eastAsia="zh-CN"/>
        </w:rPr>
        <w:t>实际</w:t>
      </w:r>
      <w:r>
        <w:rPr>
          <w:rFonts w:hint="eastAsia" w:ascii="Times New Roman" w:hAnsi="Times New Roman" w:eastAsia="仿宋_GB2312" w:cs="Times New Roman"/>
          <w:kern w:val="0"/>
          <w:sz w:val="32"/>
          <w:szCs w:val="32"/>
          <w:highlight w:val="none"/>
          <w:shd w:val="clear" w:color="auto" w:fill="FFFFFF"/>
          <w:lang w:val="en-US" w:eastAsia="zh-CN"/>
        </w:rPr>
        <w:t>凭证</w:t>
      </w:r>
      <w:r>
        <w:rPr>
          <w:rFonts w:hint="eastAsia" w:eastAsia="仿宋_GB2312" w:cs="Times New Roman"/>
          <w:kern w:val="0"/>
          <w:sz w:val="32"/>
          <w:szCs w:val="32"/>
          <w:highlight w:val="none"/>
          <w:shd w:val="clear" w:color="auto" w:fill="FFFFFF"/>
          <w:lang w:val="en-US" w:eastAsia="zh-CN"/>
        </w:rPr>
        <w:t>后</w:t>
      </w:r>
      <w:r>
        <w:rPr>
          <w:rFonts w:hint="eastAsia" w:ascii="Times New Roman" w:hAnsi="Times New Roman" w:eastAsia="仿宋_GB2312" w:cs="Times New Roman"/>
          <w:kern w:val="0"/>
          <w:sz w:val="32"/>
          <w:szCs w:val="32"/>
          <w:highlight w:val="none"/>
          <w:shd w:val="clear" w:color="auto" w:fill="FFFFFF"/>
          <w:lang w:val="en-US" w:eastAsia="zh-CN"/>
        </w:rPr>
        <w:t>无该附件。</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eastAsia" w:eastAsia="仿宋_GB2312"/>
          <w:b/>
          <w:bCs/>
          <w:color w:val="000000"/>
          <w:sz w:val="32"/>
          <w:szCs w:val="32"/>
          <w:highlight w:val="none"/>
        </w:rPr>
        <w:t>违反的相关条例：</w:t>
      </w:r>
      <w:r>
        <w:rPr>
          <w:rFonts w:hint="eastAsia" w:ascii="Times New Roman" w:hAnsi="Times New Roman" w:eastAsia="仿宋_GB2312" w:cs="Times New Roman"/>
          <w:kern w:val="0"/>
          <w:sz w:val="32"/>
          <w:szCs w:val="32"/>
          <w:highlight w:val="none"/>
          <w:shd w:val="clear" w:color="auto" w:fill="FFFFFF"/>
        </w:rPr>
        <w:t>《中共阿坝县纪委 阿坝县监察委员会工作规则（试行）》第四章“重大经费支出（按政策规定使用的业务开支除外）5万元及以上大额度资金使用；研究决定‘三重一大’事项决策以纪委常委会方式进行，由纪委书记主持召开，或者由纪委书记委托纪委副书记主持召开</w:t>
      </w:r>
      <w:r>
        <w:rPr>
          <w:rFonts w:hint="eastAsia" w:eastAsia="仿宋_GB2312" w:cs="Times New Roman"/>
          <w:kern w:val="0"/>
          <w:sz w:val="32"/>
          <w:szCs w:val="32"/>
          <w:highlight w:val="none"/>
          <w:shd w:val="clear" w:color="auto" w:fill="FFFFFF"/>
          <w:lang w:eastAsia="zh-CN"/>
        </w:rPr>
        <w:t>。</w:t>
      </w:r>
      <w:r>
        <w:rPr>
          <w:rFonts w:hint="eastAsia" w:ascii="Times New Roman" w:hAnsi="Times New Roman" w:eastAsia="仿宋_GB2312" w:cs="Times New Roman"/>
          <w:kern w:val="0"/>
          <w:sz w:val="32"/>
          <w:szCs w:val="32"/>
          <w:highlight w:val="none"/>
          <w:shd w:val="clear" w:color="auto" w:fill="FFFFFF"/>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b w:val="0"/>
          <w:bCs w:val="0"/>
          <w:highlight w:val="none"/>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eastAsia="仿宋_GB2312" w:cs="Times New Roman"/>
          <w:b w:val="0"/>
          <w:bCs w:val="0"/>
          <w:color w:val="000000"/>
          <w:kern w:val="2"/>
          <w:sz w:val="32"/>
          <w:szCs w:val="32"/>
          <w:highlight w:val="none"/>
          <w:lang w:val="en-US" w:eastAsia="zh-CN" w:bidi="ar-SA"/>
        </w:rPr>
        <w:t>单位强化</w:t>
      </w:r>
      <w:r>
        <w:rPr>
          <w:rFonts w:hint="eastAsia" w:ascii="Times New Roman" w:hAnsi="Times New Roman" w:eastAsia="仿宋_GB2312" w:cs="Times New Roman"/>
          <w:b w:val="0"/>
          <w:bCs w:val="0"/>
          <w:color w:val="000000"/>
          <w:kern w:val="2"/>
          <w:sz w:val="32"/>
          <w:szCs w:val="32"/>
          <w:highlight w:val="none"/>
          <w:lang w:val="en-US" w:eastAsia="zh-CN" w:bidi="ar-SA"/>
        </w:rPr>
        <w:t>财务内部控制管理制度</w:t>
      </w:r>
      <w:r>
        <w:rPr>
          <w:rFonts w:hint="eastAsia" w:eastAsia="仿宋_GB2312" w:cs="Times New Roman"/>
          <w:b w:val="0"/>
          <w:bCs w:val="0"/>
          <w:color w:val="000000"/>
          <w:kern w:val="2"/>
          <w:sz w:val="32"/>
          <w:szCs w:val="32"/>
          <w:highlight w:val="none"/>
          <w:lang w:val="en-US" w:eastAsia="zh-CN" w:bidi="ar-SA"/>
        </w:rPr>
        <w:t>的执行，</w:t>
      </w:r>
      <w:r>
        <w:rPr>
          <w:rFonts w:hint="eastAsia" w:ascii="Times New Roman" w:hAnsi="Times New Roman" w:eastAsia="仿宋_GB2312" w:cs="Times New Roman"/>
          <w:b w:val="0"/>
          <w:bCs w:val="0"/>
          <w:color w:val="000000"/>
          <w:kern w:val="2"/>
          <w:sz w:val="32"/>
          <w:szCs w:val="32"/>
          <w:highlight w:val="none"/>
          <w:lang w:val="en-US" w:eastAsia="zh-CN" w:bidi="ar-SA"/>
        </w:rPr>
        <w:t>加强费用报销审核，会计机构、会计人员应当对原始凭证进行审核和监督，对记载不准确、不完整的原始凭证，予以退回，对未经领导审批的原始凭证不予报销，要求经办人员更正、补充。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3.报销资料不规范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eastAsia" w:ascii="Times New Roman" w:hAnsi="Times New Roman" w:eastAsia="仿宋_GB2312" w:cs="Times New Roman"/>
          <w:kern w:val="0"/>
          <w:sz w:val="32"/>
          <w:szCs w:val="32"/>
          <w:highlight w:val="none"/>
          <w:shd w:val="clear" w:color="auto" w:fill="FFFFFF"/>
          <w:lang w:val="en-US" w:eastAsia="zh-CN"/>
        </w:rPr>
        <w:t>2022年6月</w:t>
      </w:r>
      <w:r>
        <w:rPr>
          <w:rFonts w:hint="eastAsia" w:eastAsia="仿宋_GB2312" w:cs="Times New Roman"/>
          <w:kern w:val="0"/>
          <w:sz w:val="32"/>
          <w:szCs w:val="32"/>
          <w:highlight w:val="none"/>
          <w:shd w:val="clear" w:color="auto" w:fill="FFFFFF"/>
          <w:lang w:val="en-US" w:eastAsia="zh-CN"/>
        </w:rPr>
        <w:t>第</w:t>
      </w:r>
      <w:r>
        <w:rPr>
          <w:rFonts w:hint="eastAsia" w:ascii="Times New Roman" w:hAnsi="Times New Roman" w:eastAsia="仿宋_GB2312" w:cs="Times New Roman"/>
          <w:kern w:val="0"/>
          <w:sz w:val="32"/>
          <w:szCs w:val="32"/>
          <w:highlight w:val="none"/>
          <w:shd w:val="clear" w:color="auto" w:fill="FFFFFF"/>
          <w:lang w:val="en-US" w:eastAsia="zh-CN"/>
        </w:rPr>
        <w:t>11</w:t>
      </w:r>
      <w:r>
        <w:rPr>
          <w:rFonts w:hint="eastAsia" w:eastAsia="仿宋_GB2312" w:cs="Times New Roman"/>
          <w:kern w:val="0"/>
          <w:sz w:val="32"/>
          <w:szCs w:val="32"/>
          <w:highlight w:val="none"/>
          <w:shd w:val="clear" w:color="auto" w:fill="FFFFFF"/>
          <w:lang w:val="en-US" w:eastAsia="zh-CN"/>
        </w:rPr>
        <w:t>号凭证</w:t>
      </w:r>
      <w:r>
        <w:rPr>
          <w:rFonts w:hint="eastAsia" w:ascii="Times New Roman" w:hAnsi="Times New Roman" w:eastAsia="仿宋_GB2312" w:cs="Times New Roman"/>
          <w:kern w:val="0"/>
          <w:sz w:val="32"/>
          <w:szCs w:val="32"/>
          <w:highlight w:val="none"/>
          <w:shd w:val="clear" w:color="auto" w:fill="FFFFFF"/>
          <w:lang w:val="en-US" w:eastAsia="zh-CN"/>
        </w:rPr>
        <w:t>，后附的差旅费报销单，</w:t>
      </w:r>
      <w:r>
        <w:rPr>
          <w:rFonts w:hint="eastAsia" w:eastAsia="仿宋_GB2312" w:cs="Times New Roman"/>
          <w:kern w:val="0"/>
          <w:sz w:val="32"/>
          <w:szCs w:val="32"/>
          <w:highlight w:val="none"/>
          <w:shd w:val="clear" w:color="auto" w:fill="FFFFFF"/>
          <w:lang w:val="en-US" w:eastAsia="zh-CN"/>
        </w:rPr>
        <w:t>两名单位人员</w:t>
      </w:r>
      <w:r>
        <w:rPr>
          <w:rFonts w:hint="eastAsia" w:ascii="Times New Roman" w:hAnsi="Times New Roman" w:eastAsia="仿宋_GB2312" w:cs="Times New Roman"/>
          <w:kern w:val="0"/>
          <w:sz w:val="32"/>
          <w:szCs w:val="32"/>
          <w:highlight w:val="none"/>
          <w:shd w:val="clear" w:color="auto" w:fill="FFFFFF"/>
          <w:lang w:val="en-US" w:eastAsia="zh-CN"/>
        </w:rPr>
        <w:t>外出九寨沟、茂县、汶川、成都办案，时间为自2022年5月22日起至2022年5月27日止共计6天，24号至27号每天报销人数</w:t>
      </w:r>
      <w:r>
        <w:rPr>
          <w:rFonts w:hint="eastAsia" w:eastAsia="仿宋_GB2312" w:cs="Times New Roman"/>
          <w:kern w:val="0"/>
          <w:sz w:val="32"/>
          <w:szCs w:val="32"/>
          <w:highlight w:val="none"/>
          <w:shd w:val="clear" w:color="auto" w:fill="FFFFFF"/>
          <w:lang w:val="en-US" w:eastAsia="zh-CN"/>
        </w:rPr>
        <w:t>实际</w:t>
      </w:r>
      <w:r>
        <w:rPr>
          <w:rFonts w:hint="eastAsia" w:ascii="Times New Roman" w:hAnsi="Times New Roman" w:eastAsia="仿宋_GB2312" w:cs="Times New Roman"/>
          <w:kern w:val="0"/>
          <w:sz w:val="32"/>
          <w:szCs w:val="32"/>
          <w:highlight w:val="none"/>
          <w:shd w:val="clear" w:color="auto" w:fill="FFFFFF"/>
          <w:lang w:val="en-US" w:eastAsia="zh-CN"/>
        </w:rPr>
        <w:t>为3人</w:t>
      </w:r>
      <w:r>
        <w:rPr>
          <w:rFonts w:hint="eastAsia" w:eastAsia="仿宋_GB2312" w:cs="Times New Roman"/>
          <w:kern w:val="0"/>
          <w:sz w:val="32"/>
          <w:szCs w:val="32"/>
          <w:highlight w:val="none"/>
          <w:shd w:val="clear" w:color="auto" w:fill="FFFFFF"/>
          <w:lang w:val="en-US" w:eastAsia="zh-CN"/>
        </w:rPr>
        <w:t>，但</w:t>
      </w:r>
      <w:r>
        <w:rPr>
          <w:rFonts w:hint="eastAsia" w:ascii="Times New Roman" w:hAnsi="Times New Roman" w:eastAsia="仿宋_GB2312" w:cs="Times New Roman"/>
          <w:kern w:val="0"/>
          <w:sz w:val="32"/>
          <w:szCs w:val="32"/>
          <w:highlight w:val="none"/>
          <w:shd w:val="clear" w:color="auto" w:fill="FFFFFF"/>
          <w:lang w:val="en-US" w:eastAsia="zh-CN"/>
        </w:rPr>
        <w:t>差旅费报销单中“出差人员”栏的填写人数为2人。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eastAsia" w:ascii="Times New Roman" w:hAnsi="Times New Roman" w:eastAsia="仿宋_GB2312" w:cs="Times New Roman"/>
          <w:kern w:val="0"/>
          <w:sz w:val="32"/>
          <w:szCs w:val="32"/>
          <w:highlight w:val="none"/>
          <w:shd w:val="clear" w:color="auto" w:fill="FFFFFF"/>
          <w:lang w:val="en-US" w:eastAsia="zh-CN"/>
        </w:rPr>
        <w:t>2022年12月</w:t>
      </w:r>
      <w:r>
        <w:rPr>
          <w:rFonts w:hint="eastAsia" w:eastAsia="仿宋_GB2312" w:cs="Times New Roman"/>
          <w:kern w:val="0"/>
          <w:sz w:val="32"/>
          <w:szCs w:val="32"/>
          <w:highlight w:val="none"/>
          <w:shd w:val="clear" w:color="auto" w:fill="FFFFFF"/>
          <w:lang w:val="en-US" w:eastAsia="zh-CN"/>
        </w:rPr>
        <w:t>第</w:t>
      </w:r>
      <w:r>
        <w:rPr>
          <w:rFonts w:hint="eastAsia" w:ascii="Times New Roman" w:hAnsi="Times New Roman" w:eastAsia="仿宋_GB2312" w:cs="Times New Roman"/>
          <w:kern w:val="0"/>
          <w:sz w:val="32"/>
          <w:szCs w:val="32"/>
          <w:highlight w:val="none"/>
          <w:shd w:val="clear" w:color="auto" w:fill="FFFFFF"/>
          <w:lang w:val="en-US" w:eastAsia="zh-CN"/>
        </w:rPr>
        <w:t>14</w:t>
      </w:r>
      <w:r>
        <w:rPr>
          <w:rFonts w:hint="eastAsia" w:eastAsia="仿宋_GB2312" w:cs="Times New Roman"/>
          <w:kern w:val="0"/>
          <w:sz w:val="32"/>
          <w:szCs w:val="32"/>
          <w:highlight w:val="none"/>
          <w:shd w:val="clear" w:color="auto" w:fill="FFFFFF"/>
          <w:lang w:val="en-US" w:eastAsia="zh-CN"/>
        </w:rPr>
        <w:t>号凭证</w:t>
      </w:r>
      <w:r>
        <w:rPr>
          <w:rFonts w:hint="eastAsia" w:ascii="Times New Roman" w:hAnsi="Times New Roman" w:eastAsia="仿宋_GB2312" w:cs="Times New Roman"/>
          <w:kern w:val="0"/>
          <w:sz w:val="32"/>
          <w:szCs w:val="32"/>
          <w:highlight w:val="none"/>
          <w:shd w:val="clear" w:color="auto" w:fill="FFFFFF"/>
          <w:lang w:val="en-US" w:eastAsia="zh-CN"/>
        </w:rPr>
        <w:t>，报销车辆保险费金额为7,709.45元，后附的3张发票金额共计7,349.45元，与</w:t>
      </w:r>
      <w:r>
        <w:rPr>
          <w:rFonts w:hint="eastAsia" w:eastAsia="仿宋_GB2312" w:cs="Times New Roman"/>
          <w:kern w:val="0"/>
          <w:sz w:val="32"/>
          <w:szCs w:val="32"/>
          <w:highlight w:val="none"/>
          <w:shd w:val="clear" w:color="auto" w:fill="FFFFFF"/>
          <w:lang w:val="en-US" w:eastAsia="zh-CN"/>
        </w:rPr>
        <w:t>报销金额</w:t>
      </w:r>
      <w:r>
        <w:rPr>
          <w:rFonts w:hint="eastAsia" w:ascii="Times New Roman" w:hAnsi="Times New Roman" w:eastAsia="仿宋_GB2312" w:cs="Times New Roman"/>
          <w:kern w:val="0"/>
          <w:sz w:val="32"/>
          <w:szCs w:val="32"/>
          <w:highlight w:val="none"/>
          <w:shd w:val="clear" w:color="auto" w:fill="FFFFFF"/>
          <w:lang w:val="en-US" w:eastAsia="zh-CN"/>
        </w:rPr>
        <w:t>7,709.45元相差360.00元。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eastAsia" w:ascii="Times New Roman" w:hAnsi="Times New Roman" w:eastAsia="仿宋_GB2312" w:cs="Times New Roman"/>
          <w:kern w:val="0"/>
          <w:sz w:val="32"/>
          <w:szCs w:val="32"/>
          <w:highlight w:val="none"/>
          <w:shd w:val="clear" w:color="auto" w:fill="FFFFFF"/>
          <w:lang w:val="en-US" w:eastAsia="zh-CN"/>
        </w:rPr>
        <w:t>2022年12月第4号凭证，报销办案费111,742.10元，其中2022年6月14日-2022年7月15日产生的蔬菜、肉类、干杂辅食采购费用26,550.40元，附件中的送货清单均未经收货单位经办人签字确认。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eastAsia" w:ascii="Times New Roman" w:hAnsi="Times New Roman" w:eastAsia="仿宋_GB2312" w:cs="Times New Roman"/>
          <w:kern w:val="0"/>
          <w:sz w:val="32"/>
          <w:szCs w:val="32"/>
          <w:highlight w:val="none"/>
          <w:shd w:val="clear" w:color="auto" w:fill="FFFFFF"/>
          <w:lang w:val="en-US" w:eastAsia="zh-CN"/>
        </w:rPr>
        <w:t>2022年11月第12号凭证，报销办公费45,517.00元，用于在惠民购物中心采购日用杂品、饮料、食品等，附件中的送货清单均未经收货单位经办人签字确认。</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eastAsia" w:eastAsia="仿宋_GB2312"/>
          <w:b/>
          <w:bCs/>
          <w:color w:val="000000"/>
          <w:sz w:val="32"/>
          <w:szCs w:val="32"/>
          <w:highlight w:val="none"/>
        </w:rPr>
        <w:t>违反的相关条例：</w:t>
      </w:r>
      <w:r>
        <w:rPr>
          <w:rFonts w:hint="eastAsia" w:ascii="Times New Roman" w:hAnsi="Times New Roman" w:eastAsia="仿宋_GB2312" w:cs="Times New Roman"/>
          <w:kern w:val="0"/>
          <w:sz w:val="32"/>
          <w:szCs w:val="32"/>
          <w:highlight w:val="none"/>
          <w:shd w:val="clear" w:color="auto" w:fill="FFFFFF"/>
        </w:rPr>
        <w:t>中共阿坝县纪委 阿坝县监察委员会《财务内部控制管理制度》第十二条“经费报销要求：经手人、办公室负责人对发票和事项的真实性、合法性负责。经办人确保其提供的票据、公函、通知相关的支出文件、收货单、合同、政府采购审批手续和结算清单等原始附件的真实、准确。财务人员对报账手续和资料的完整性、规范性负责。”</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eastAsia="仿宋_GB2312" w:cs="Times New Roman"/>
          <w:b w:val="0"/>
          <w:bCs w:val="0"/>
          <w:color w:val="000000"/>
          <w:kern w:val="2"/>
          <w:sz w:val="32"/>
          <w:szCs w:val="32"/>
          <w:highlight w:val="none"/>
          <w:lang w:val="en-US" w:eastAsia="zh-CN" w:bidi="ar-SA"/>
        </w:rPr>
        <w:t>单位强化</w:t>
      </w:r>
      <w:r>
        <w:rPr>
          <w:rFonts w:hint="eastAsia" w:ascii="Times New Roman" w:hAnsi="Times New Roman" w:eastAsia="仿宋_GB2312" w:cs="Times New Roman"/>
          <w:b w:val="0"/>
          <w:bCs w:val="0"/>
          <w:color w:val="000000"/>
          <w:kern w:val="2"/>
          <w:sz w:val="32"/>
          <w:szCs w:val="32"/>
          <w:highlight w:val="none"/>
          <w:lang w:val="en-US" w:eastAsia="zh-CN" w:bidi="ar-SA"/>
        </w:rPr>
        <w:t>财务内部控制管理制度</w:t>
      </w:r>
      <w:r>
        <w:rPr>
          <w:rFonts w:hint="eastAsia" w:eastAsia="仿宋_GB2312" w:cs="Times New Roman"/>
          <w:b w:val="0"/>
          <w:bCs w:val="0"/>
          <w:color w:val="000000"/>
          <w:kern w:val="2"/>
          <w:sz w:val="32"/>
          <w:szCs w:val="32"/>
          <w:highlight w:val="none"/>
          <w:lang w:val="en-US" w:eastAsia="zh-CN" w:bidi="ar-SA"/>
        </w:rPr>
        <w:t>的执行，</w:t>
      </w:r>
      <w:r>
        <w:rPr>
          <w:rFonts w:hint="eastAsia" w:ascii="Times New Roman" w:hAnsi="Times New Roman" w:eastAsia="仿宋_GB2312" w:cs="Times New Roman"/>
          <w:b w:val="0"/>
          <w:bCs w:val="0"/>
          <w:color w:val="000000"/>
          <w:kern w:val="2"/>
          <w:sz w:val="32"/>
          <w:szCs w:val="32"/>
          <w:highlight w:val="none"/>
          <w:lang w:val="en-US" w:eastAsia="zh-CN" w:bidi="ar-SA"/>
        </w:rPr>
        <w:t>加强费用报销审核，会计机构、会计人员应当对原始凭证进行审核和监督，对记载不准确、不完整的原始凭证，予以退回，对未经领导审批的原始凭证不予报销，要求经办人员更正、补充。</w:t>
      </w:r>
    </w:p>
    <w:p>
      <w:pPr>
        <w:pStyle w:val="4"/>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仿宋_GB2312" w:hAnsi="仿宋_GB2312" w:eastAsia="仿宋_GB2312" w:cs="仿宋_GB2312"/>
          <w:highlight w:val="none"/>
        </w:rPr>
      </w:pPr>
      <w:bookmarkStart w:id="71" w:name="_Toc18883"/>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二）项目管理方面</w:t>
      </w:r>
      <w:bookmarkEnd w:id="7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rPr>
        <w:t>1.合同要素不全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default" w:ascii="Times New Roman" w:hAnsi="Times New Roman" w:eastAsia="仿宋_GB2312" w:cs="Times New Roman"/>
          <w:kern w:val="0"/>
          <w:sz w:val="32"/>
          <w:szCs w:val="32"/>
          <w:highlight w:val="none"/>
          <w:shd w:val="clear" w:color="auto" w:fill="FFFFFF"/>
          <w:lang w:val="en-US" w:eastAsia="zh-CN"/>
        </w:rPr>
        <w:t>2022年6月</w:t>
      </w:r>
      <w:r>
        <w:rPr>
          <w:rFonts w:hint="eastAsia" w:eastAsia="仿宋_GB2312" w:cs="Times New Roman"/>
          <w:kern w:val="0"/>
          <w:sz w:val="32"/>
          <w:szCs w:val="32"/>
          <w:highlight w:val="none"/>
          <w:shd w:val="clear" w:color="auto" w:fill="FFFFFF"/>
          <w:lang w:val="en-US" w:eastAsia="zh-CN"/>
        </w:rPr>
        <w:t>第</w:t>
      </w:r>
      <w:r>
        <w:rPr>
          <w:rFonts w:hint="default" w:ascii="Times New Roman" w:hAnsi="Times New Roman" w:eastAsia="仿宋_GB2312" w:cs="Times New Roman"/>
          <w:kern w:val="0"/>
          <w:sz w:val="32"/>
          <w:szCs w:val="32"/>
          <w:highlight w:val="none"/>
          <w:shd w:val="clear" w:color="auto" w:fill="FFFFFF"/>
          <w:lang w:val="en-US" w:eastAsia="zh-CN"/>
        </w:rPr>
        <w:t>12</w:t>
      </w:r>
      <w:r>
        <w:rPr>
          <w:rFonts w:hint="eastAsia" w:eastAsia="仿宋_GB2312" w:cs="Times New Roman"/>
          <w:kern w:val="0"/>
          <w:sz w:val="32"/>
          <w:szCs w:val="32"/>
          <w:highlight w:val="none"/>
          <w:shd w:val="clear" w:color="auto" w:fill="FFFFFF"/>
          <w:lang w:val="en-US" w:eastAsia="zh-CN"/>
        </w:rPr>
        <w:t>号凭证</w:t>
      </w:r>
      <w:r>
        <w:rPr>
          <w:rFonts w:hint="default" w:ascii="Times New Roman" w:hAnsi="Times New Roman" w:eastAsia="仿宋_GB2312" w:cs="Times New Roman"/>
          <w:kern w:val="0"/>
          <w:sz w:val="32"/>
          <w:szCs w:val="32"/>
          <w:highlight w:val="none"/>
          <w:shd w:val="clear" w:color="auto" w:fill="FFFFFF"/>
          <w:lang w:val="en-US" w:eastAsia="zh-CN"/>
        </w:rPr>
        <w:t>，后附的阿坝县公务服务中心与成都市明瑞吉达汽车服务有限责任公司签订的《公务用车定点维修服务合同》，双方均未签署签约日期。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default" w:ascii="Times New Roman" w:hAnsi="Times New Roman" w:eastAsia="仿宋_GB2312" w:cs="Times New Roman"/>
          <w:kern w:val="0"/>
          <w:sz w:val="32"/>
          <w:szCs w:val="32"/>
          <w:highlight w:val="none"/>
          <w:shd w:val="clear" w:color="auto" w:fill="FFFFFF"/>
          <w:lang w:val="en-US" w:eastAsia="zh-CN"/>
        </w:rPr>
        <w:t>2022年6月</w:t>
      </w:r>
      <w:r>
        <w:rPr>
          <w:rFonts w:hint="eastAsia" w:eastAsia="仿宋_GB2312" w:cs="Times New Roman"/>
          <w:kern w:val="0"/>
          <w:sz w:val="32"/>
          <w:szCs w:val="32"/>
          <w:highlight w:val="none"/>
          <w:shd w:val="clear" w:color="auto" w:fill="FFFFFF"/>
          <w:lang w:val="en-US" w:eastAsia="zh-CN"/>
        </w:rPr>
        <w:t>第</w:t>
      </w:r>
      <w:r>
        <w:rPr>
          <w:rFonts w:hint="default" w:ascii="Times New Roman" w:hAnsi="Times New Roman" w:eastAsia="仿宋_GB2312" w:cs="Times New Roman"/>
          <w:kern w:val="0"/>
          <w:sz w:val="32"/>
          <w:szCs w:val="32"/>
          <w:highlight w:val="none"/>
          <w:shd w:val="clear" w:color="auto" w:fill="FFFFFF"/>
          <w:lang w:val="en-US" w:eastAsia="zh-CN"/>
        </w:rPr>
        <w:t>12</w:t>
      </w:r>
      <w:r>
        <w:rPr>
          <w:rFonts w:hint="eastAsia" w:eastAsia="仿宋_GB2312" w:cs="Times New Roman"/>
          <w:kern w:val="0"/>
          <w:sz w:val="32"/>
          <w:szCs w:val="32"/>
          <w:highlight w:val="none"/>
          <w:shd w:val="clear" w:color="auto" w:fill="FFFFFF"/>
          <w:lang w:val="en-US" w:eastAsia="zh-CN"/>
        </w:rPr>
        <w:t>号凭证</w:t>
      </w:r>
      <w:r>
        <w:rPr>
          <w:rFonts w:hint="default" w:ascii="Times New Roman" w:hAnsi="Times New Roman" w:eastAsia="仿宋_GB2312" w:cs="Times New Roman"/>
          <w:kern w:val="0"/>
          <w:sz w:val="32"/>
          <w:szCs w:val="32"/>
          <w:highlight w:val="none"/>
          <w:shd w:val="clear" w:color="auto" w:fill="FFFFFF"/>
          <w:lang w:val="en-US" w:eastAsia="zh-CN"/>
        </w:rPr>
        <w:t>，后附的阿中共阿坝县纪律检查委员会与成都市明瑞吉达汽车服务有限责任公司签订的《单车维修协议》，车牌号为川U03929，车型为丰田，维修总价为69,620.00元，甲方：中共阿坝县纪律检查委员会未盖章；双方未签署签约日期。</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eastAsia" w:ascii="Times New Roman" w:hAnsi="Times New Roman" w:eastAsia="仿宋_GB2312" w:cs="Times New Roman"/>
          <w:kern w:val="0"/>
          <w:sz w:val="32"/>
          <w:szCs w:val="32"/>
          <w:highlight w:val="none"/>
          <w:shd w:val="clear" w:color="auto" w:fill="FFFFFF"/>
        </w:rPr>
      </w:pPr>
      <w:r>
        <w:rPr>
          <w:rFonts w:hint="eastAsia" w:eastAsia="仿宋_GB2312"/>
          <w:b/>
          <w:bCs/>
          <w:color w:val="000000"/>
          <w:sz w:val="32"/>
          <w:szCs w:val="32"/>
          <w:highlight w:val="none"/>
        </w:rPr>
        <w:t>违反的相关条例：</w:t>
      </w:r>
      <w:r>
        <w:rPr>
          <w:rFonts w:hint="eastAsia" w:ascii="Times New Roman" w:hAnsi="Times New Roman" w:eastAsia="仿宋_GB2312" w:cs="Times New Roman"/>
          <w:kern w:val="0"/>
          <w:sz w:val="32"/>
          <w:szCs w:val="32"/>
          <w:highlight w:val="none"/>
          <w:shd w:val="clear" w:color="auto" w:fill="FFFFFF"/>
        </w:rPr>
        <w:t>《中华人民共和国民法典》</w:t>
      </w:r>
      <w:r>
        <w:rPr>
          <w:rFonts w:hint="eastAsia" w:eastAsia="仿宋_GB2312" w:cs="Times New Roman"/>
          <w:kern w:val="0"/>
          <w:sz w:val="32"/>
          <w:szCs w:val="32"/>
          <w:highlight w:val="none"/>
          <w:shd w:val="clear" w:color="auto" w:fill="FFFFFF"/>
          <w:lang w:val="en-US" w:eastAsia="zh-CN"/>
        </w:rPr>
        <w:t>第三编</w:t>
      </w:r>
      <w:r>
        <w:rPr>
          <w:rFonts w:hint="eastAsia" w:ascii="Times New Roman" w:hAnsi="Times New Roman" w:eastAsia="仿宋_GB2312" w:cs="Times New Roman"/>
          <w:kern w:val="0"/>
          <w:sz w:val="32"/>
          <w:szCs w:val="32"/>
          <w:highlight w:val="none"/>
          <w:shd w:val="clear" w:color="auto" w:fill="FFFFFF"/>
        </w:rPr>
        <w:t>第二章第</w:t>
      </w:r>
      <w:r>
        <w:rPr>
          <w:rFonts w:hint="eastAsia" w:eastAsia="仿宋_GB2312" w:cs="Times New Roman"/>
          <w:kern w:val="0"/>
          <w:sz w:val="32"/>
          <w:szCs w:val="32"/>
          <w:highlight w:val="none"/>
          <w:shd w:val="clear" w:color="auto" w:fill="FFFFFF"/>
          <w:lang w:val="en-US" w:eastAsia="zh-CN"/>
        </w:rPr>
        <w:t>四百七十</w:t>
      </w:r>
      <w:r>
        <w:rPr>
          <w:rFonts w:hint="eastAsia" w:ascii="Times New Roman" w:hAnsi="Times New Roman" w:eastAsia="仿宋_GB2312" w:cs="Times New Roman"/>
          <w:kern w:val="0"/>
          <w:sz w:val="32"/>
          <w:szCs w:val="32"/>
          <w:highlight w:val="none"/>
          <w:shd w:val="clear" w:color="auto" w:fill="FFFFFF"/>
        </w:rPr>
        <w:t>条“合同的内容由当事人约定，一般包括以下条款：（一）当事人的名称或者姓名和住所；（二）标的；（三）数量；（四）质量；（五）价款或者报酬；（六）履行期限、地点和方式；（七）违约责任；（八）解决争议的方法。当事人可以参照各类合同的示范文本订立合同”。</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hint="default" w:ascii="Times New Roman" w:hAnsi="Times New Roman" w:eastAsia="仿宋_GB2312" w:cs="Times New Roman"/>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2"/>
          <w:sz w:val="32"/>
          <w:szCs w:val="32"/>
          <w:highlight w:val="none"/>
          <w:lang w:val="en-US" w:eastAsia="zh-CN" w:bidi="ar-SA"/>
        </w:rPr>
        <w:t>我们的意见或建议</w:t>
      </w:r>
      <w:r>
        <w:rPr>
          <w:rFonts w:hint="eastAsia" w:ascii="Times New Roman" w:hAnsi="Times New Roman" w:eastAsia="仿宋_GB2312" w:cs="Times New Roman"/>
          <w:b/>
          <w:bCs/>
          <w:color w:val="000000"/>
          <w:kern w:val="2"/>
          <w:sz w:val="32"/>
          <w:szCs w:val="32"/>
          <w:highlight w:val="none"/>
          <w:lang w:val="en-US" w:eastAsia="zh-CN" w:bidi="ar-SA"/>
        </w:rPr>
        <w:t>：</w:t>
      </w:r>
      <w:r>
        <w:rPr>
          <w:rFonts w:hint="eastAsia" w:ascii="Times New Roman" w:hAnsi="Times New Roman" w:eastAsia="仿宋_GB2312" w:cs="Times New Roman"/>
          <w:b w:val="0"/>
          <w:bCs w:val="0"/>
          <w:color w:val="000000"/>
          <w:kern w:val="2"/>
          <w:sz w:val="32"/>
          <w:szCs w:val="32"/>
          <w:highlight w:val="none"/>
          <w:lang w:val="en-US" w:eastAsia="zh-CN" w:bidi="ar-SA"/>
        </w:rPr>
        <w:t>建议</w:t>
      </w:r>
      <w:r>
        <w:rPr>
          <w:rFonts w:hint="eastAsia" w:eastAsia="仿宋_GB2312" w:cs="Times New Roman"/>
          <w:b w:val="0"/>
          <w:bCs w:val="0"/>
          <w:color w:val="000000"/>
          <w:kern w:val="2"/>
          <w:sz w:val="32"/>
          <w:szCs w:val="32"/>
          <w:highlight w:val="none"/>
          <w:lang w:val="en-US" w:eastAsia="zh-CN" w:bidi="ar-SA"/>
        </w:rPr>
        <w:t>单位加强项目管理，项目经办人</w:t>
      </w:r>
      <w:r>
        <w:rPr>
          <w:rFonts w:hint="eastAsia" w:ascii="Times New Roman" w:hAnsi="Times New Roman" w:eastAsia="仿宋_GB2312" w:cs="Times New Roman"/>
          <w:kern w:val="0"/>
          <w:sz w:val="32"/>
          <w:szCs w:val="32"/>
          <w:highlight w:val="none"/>
          <w:shd w:val="clear" w:color="auto" w:fill="FFFFFF"/>
          <w:lang w:val="en-US" w:eastAsia="zh-CN"/>
        </w:rPr>
        <w:t>员要</w:t>
      </w:r>
      <w:r>
        <w:rPr>
          <w:rFonts w:hint="eastAsia" w:eastAsia="仿宋_GB2312" w:cs="Times New Roman"/>
          <w:kern w:val="0"/>
          <w:sz w:val="32"/>
          <w:szCs w:val="32"/>
          <w:highlight w:val="none"/>
          <w:shd w:val="clear" w:color="auto" w:fill="FFFFFF"/>
          <w:lang w:val="en-US" w:eastAsia="zh-CN"/>
        </w:rPr>
        <w:t>及时跟踪项目进度情况，及时整理项目实施过程中的相关资料并检查资料的完整性、规范性，确保项目资料符合财务报销要求及档案管理要求。</w:t>
      </w:r>
    </w:p>
    <w:bookmarkEnd w:id="68"/>
    <w:p>
      <w:pPr>
        <w:widowControl/>
        <w:spacing w:after="172" w:line="259" w:lineRule="auto"/>
        <w:jc w:val="both"/>
        <w:rPr>
          <w:rFonts w:hint="default" w:ascii="Times New Roman" w:hAnsi="Times New Roman" w:eastAsia="仿宋_GB2312" w:cs="Times New Roman"/>
          <w:color w:val="000000"/>
          <w:kern w:val="0"/>
          <w:sz w:val="32"/>
          <w:szCs w:val="32"/>
          <w:highlight w:val="none"/>
          <w:lang w:val="en-US" w:eastAsia="zh-CN" w:bidi="ar"/>
        </w:rPr>
      </w:pPr>
    </w:p>
    <w:p>
      <w:pPr>
        <w:widowControl/>
        <w:spacing w:after="172" w:line="259" w:lineRule="auto"/>
        <w:jc w:val="both"/>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附件1：</w:t>
      </w:r>
      <w:r>
        <w:rPr>
          <w:rFonts w:hint="eastAsia" w:eastAsia="仿宋_GB2312" w:cs="Times New Roman"/>
          <w:color w:val="000000"/>
          <w:sz w:val="32"/>
          <w:szCs w:val="32"/>
          <w:highlight w:val="none"/>
          <w:lang w:val="en-US" w:eastAsia="zh-CN"/>
        </w:rPr>
        <w:t>中共阿坝县纪律检查委员会2022年部门整体支出</w:t>
      </w:r>
      <w:r>
        <w:rPr>
          <w:rFonts w:hint="default" w:ascii="Times New Roman" w:hAnsi="Times New Roman" w:eastAsia="仿宋_GB2312" w:cs="Times New Roman"/>
          <w:color w:val="000000"/>
          <w:sz w:val="32"/>
          <w:szCs w:val="32"/>
          <w:highlight w:val="none"/>
          <w:lang w:val="en-US" w:eastAsia="zh-CN"/>
        </w:rPr>
        <w:t>绩效评价</w:t>
      </w:r>
      <w:r>
        <w:rPr>
          <w:rFonts w:hint="default" w:ascii="Times New Roman" w:hAnsi="Times New Roman" w:eastAsia="仿宋_GB2312" w:cs="Times New Roman"/>
          <w:color w:val="000000"/>
          <w:kern w:val="0"/>
          <w:sz w:val="32"/>
          <w:szCs w:val="32"/>
          <w:highlight w:val="none"/>
          <w:lang w:val="en-US" w:eastAsia="zh-CN" w:bidi="ar"/>
        </w:rPr>
        <w:t>指标体系</w:t>
      </w:r>
    </w:p>
    <w:p>
      <w:pPr>
        <w:pStyle w:val="13"/>
        <w:rPr>
          <w:rFonts w:hint="default"/>
          <w:highlight w:val="none"/>
          <w:lang w:eastAsia="zh-CN"/>
        </w:rPr>
      </w:pPr>
    </w:p>
    <w:p>
      <w:pPr>
        <w:ind w:firstLine="0" w:firstLineChars="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lang w:eastAsia="zh-CN"/>
        </w:rPr>
        <w:t>四川融策会计师事务所有限公司</w:t>
      </w:r>
      <w:r>
        <w:rPr>
          <w:rFonts w:hint="default" w:ascii="Times New Roman" w:hAnsi="Times New Roman" w:eastAsia="仿宋_GB2312" w:cs="Times New Roman"/>
          <w:b/>
          <w:sz w:val="32"/>
          <w:szCs w:val="32"/>
          <w:highlight w:val="none"/>
        </w:rPr>
        <w:t xml:space="preserve">    中国注册会计师：</w:t>
      </w:r>
    </w:p>
    <w:p>
      <w:pPr>
        <w:ind w:firstLine="640"/>
        <w:jc w:val="center"/>
        <w:rPr>
          <w:rFonts w:hint="default" w:ascii="Times New Roman" w:hAnsi="Times New Roman" w:eastAsia="仿宋_GB2312" w:cs="Times New Roman"/>
          <w:b/>
          <w:sz w:val="32"/>
          <w:szCs w:val="32"/>
          <w:highlight w:val="none"/>
        </w:rPr>
      </w:pPr>
    </w:p>
    <w:p>
      <w:pPr>
        <w:ind w:firstLine="1285" w:firstLineChars="40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中国·成都              中国注册会计师：</w:t>
      </w:r>
    </w:p>
    <w:p>
      <w:pPr>
        <w:ind w:firstLine="640"/>
        <w:rPr>
          <w:rFonts w:hint="default" w:ascii="Times New Roman" w:hAnsi="Times New Roman" w:eastAsia="仿宋_GB2312" w:cs="Times New Roman"/>
          <w:b/>
          <w:sz w:val="32"/>
          <w:szCs w:val="32"/>
          <w:highlight w:val="none"/>
        </w:rPr>
      </w:pPr>
    </w:p>
    <w:p>
      <w:pPr>
        <w:tabs>
          <w:tab w:val="right" w:pos="7501"/>
        </w:tabs>
        <w:ind w:firstLine="1285" w:firstLineChars="400"/>
        <w:rPr>
          <w:rFonts w:hint="default" w:ascii="Times New Roman" w:hAnsi="Times New Roman" w:eastAsia="仿宋_GB2312" w:cs="Times New Roman"/>
          <w:b/>
          <w:sz w:val="32"/>
          <w:szCs w:val="32"/>
          <w:highlight w:val="none"/>
        </w:rPr>
      </w:pPr>
      <w:r>
        <w:rPr>
          <w:rFonts w:hint="default" w:ascii="Times New Roman" w:hAnsi="Times New Roman" w:eastAsia="仿宋_GB2312" w:cs="Times New Roman"/>
          <w:b/>
          <w:sz w:val="32"/>
          <w:szCs w:val="32"/>
          <w:highlight w:val="none"/>
        </w:rPr>
        <w:t xml:space="preserve">                      </w:t>
      </w:r>
      <w:r>
        <w:rPr>
          <w:rFonts w:hint="eastAsia" w:eastAsia="仿宋_GB2312" w:cs="Times New Roman"/>
          <w:b/>
          <w:sz w:val="32"/>
          <w:szCs w:val="32"/>
          <w:highlight w:val="none"/>
          <w:lang w:eastAsia="zh-CN"/>
        </w:rPr>
        <w:t>二〇二</w:t>
      </w:r>
      <w:r>
        <w:rPr>
          <w:rFonts w:hint="eastAsia" w:eastAsia="仿宋_GB2312" w:cs="Times New Roman"/>
          <w:b/>
          <w:sz w:val="32"/>
          <w:szCs w:val="32"/>
          <w:highlight w:val="none"/>
          <w:lang w:val="en-US" w:eastAsia="zh-CN"/>
        </w:rPr>
        <w:t>三</w:t>
      </w:r>
      <w:r>
        <w:rPr>
          <w:rFonts w:hint="eastAsia" w:eastAsia="仿宋_GB2312" w:cs="Times New Roman"/>
          <w:b/>
          <w:sz w:val="32"/>
          <w:szCs w:val="32"/>
          <w:highlight w:val="none"/>
          <w:lang w:eastAsia="zh-CN"/>
        </w:rPr>
        <w:t>年</w:t>
      </w:r>
      <w:r>
        <w:rPr>
          <w:rFonts w:hint="eastAsia" w:eastAsia="仿宋_GB2312" w:cs="Times New Roman"/>
          <w:b/>
          <w:sz w:val="32"/>
          <w:szCs w:val="32"/>
          <w:highlight w:val="none"/>
          <w:lang w:val="en-US" w:eastAsia="zh-CN"/>
        </w:rPr>
        <w:t>十一</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三十</w:t>
      </w:r>
      <w:r>
        <w:rPr>
          <w:rFonts w:hint="default" w:ascii="Times New Roman" w:hAnsi="Times New Roman" w:eastAsia="仿宋_GB2312" w:cs="Times New Roman"/>
          <w:b/>
          <w:sz w:val="32"/>
          <w:szCs w:val="32"/>
          <w:highlight w:val="none"/>
        </w:rPr>
        <w:t>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highlight w:val="none"/>
          <w:lang w:val="en-US" w:eastAsia="zh-CN"/>
        </w:rPr>
      </w:pPr>
    </w:p>
    <w:sectPr>
      <w:footerReference r:id="rId10"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康行楷体 W5">
    <w:altName w:val="楷体"/>
    <w:panose1 w:val="03000509000000000000"/>
    <w:charset w:val="86"/>
    <w:family w:val="roman"/>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3"/>
      </w:rPr>
    </w:pPr>
    <w:r>
      <w:fldChar w:fldCharType="begin"/>
    </w:r>
    <w:r>
      <w:rPr>
        <w:rStyle w:val="43"/>
      </w:rPr>
      <w:instrText xml:space="preserve">PAGE  </w:instrText>
    </w:r>
    <w:r>
      <w:fldChar w:fldCharType="end"/>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hint="default" w:eastAsia="宋体"/>
                              <w:lang w:val="en-US" w:eastAsia="zh-CN"/>
                            </w:rPr>
                          </w:pPr>
                          <w:r>
                            <w:rPr>
                              <w:rFonts w:hint="eastAsia"/>
                              <w:lang w:val="en-US" w:eastAsia="zh-CN"/>
                            </w:rPr>
                            <w:t xml:space="preserve">第 </w:t>
                          </w:r>
                          <w:r>
                            <w:fldChar w:fldCharType="begin"/>
                          </w:r>
                          <w:r>
                            <w:instrText xml:space="preserve"> PAGE  \* MERGEFORMAT </w:instrText>
                          </w:r>
                          <w:r>
                            <w:fldChar w:fldCharType="separate"/>
                          </w:r>
                          <w:r>
                            <w:t>1</w:t>
                          </w:r>
                          <w:r>
                            <w:fldChar w:fldCharType="end"/>
                          </w:r>
                          <w:r>
                            <w:rPr>
                              <w:rFonts w:hint="eastAsia"/>
                              <w:lang w:val="en-US" w:eastAsia="zh-CN"/>
                            </w:rPr>
                            <w:t xml:space="preserve"> 页 共 26 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NxeOVFQIAABUEAAAOAAAAAAAAAAEAIAAAADUBAABkcnMvZTJvRG9jLnhtbFBLBQYAAAAABgAG&#10;AFkBAAC8BQAAAAA=&#10;">
              <v:fill on="f" focussize="0,0"/>
              <v:stroke on="f" weight="0.5pt"/>
              <v:imagedata o:title=""/>
              <o:lock v:ext="edit" aspectratio="f"/>
              <v:textbox inset="0mm,0mm,0mm,0mm" style="mso-fit-shape-to-text:t;">
                <w:txbxContent>
                  <w:p>
                    <w:pPr>
                      <w:pStyle w:val="24"/>
                      <w:rPr>
                        <w:rFonts w:hint="default" w:eastAsia="宋体"/>
                        <w:lang w:val="en-US" w:eastAsia="zh-CN"/>
                      </w:rPr>
                    </w:pPr>
                    <w:r>
                      <w:rPr>
                        <w:rFonts w:hint="eastAsia"/>
                        <w:lang w:val="en-US" w:eastAsia="zh-CN"/>
                      </w:rPr>
                      <w:t xml:space="preserve">第 </w:t>
                    </w:r>
                    <w:r>
                      <w:fldChar w:fldCharType="begin"/>
                    </w:r>
                    <w:r>
                      <w:instrText xml:space="preserve"> PAGE  \* MERGEFORMAT </w:instrText>
                    </w:r>
                    <w:r>
                      <w:fldChar w:fldCharType="separate"/>
                    </w:r>
                    <w:r>
                      <w:t>1</w:t>
                    </w:r>
                    <w:r>
                      <w:fldChar w:fldCharType="end"/>
                    </w:r>
                    <w:r>
                      <w:rPr>
                        <w:rFonts w:hint="eastAsia"/>
                        <w:lang w:val="en-US" w:eastAsia="zh-CN"/>
                      </w:rPr>
                      <w:t xml:space="preserve"> 页 共 26 页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FA69E"/>
    <w:multiLevelType w:val="singleLevel"/>
    <w:tmpl w:val="DFDFA6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0D14"/>
    <w:rsid w:val="00002597"/>
    <w:rsid w:val="000027B8"/>
    <w:rsid w:val="000076D1"/>
    <w:rsid w:val="00013E9B"/>
    <w:rsid w:val="000140E7"/>
    <w:rsid w:val="00016328"/>
    <w:rsid w:val="00021DA0"/>
    <w:rsid w:val="000222AD"/>
    <w:rsid w:val="00023E28"/>
    <w:rsid w:val="000247C9"/>
    <w:rsid w:val="00025140"/>
    <w:rsid w:val="000251C6"/>
    <w:rsid w:val="000265EB"/>
    <w:rsid w:val="000309FD"/>
    <w:rsid w:val="00032C1B"/>
    <w:rsid w:val="00035DAF"/>
    <w:rsid w:val="00036A28"/>
    <w:rsid w:val="00040C8C"/>
    <w:rsid w:val="00040D45"/>
    <w:rsid w:val="00043287"/>
    <w:rsid w:val="00044763"/>
    <w:rsid w:val="00044C67"/>
    <w:rsid w:val="00047042"/>
    <w:rsid w:val="000472FB"/>
    <w:rsid w:val="00051391"/>
    <w:rsid w:val="0006183A"/>
    <w:rsid w:val="000623B7"/>
    <w:rsid w:val="0006316C"/>
    <w:rsid w:val="000660A2"/>
    <w:rsid w:val="00066E99"/>
    <w:rsid w:val="000730EA"/>
    <w:rsid w:val="000733D1"/>
    <w:rsid w:val="0007668C"/>
    <w:rsid w:val="000771B3"/>
    <w:rsid w:val="00077A67"/>
    <w:rsid w:val="00080247"/>
    <w:rsid w:val="00081AE3"/>
    <w:rsid w:val="000851BF"/>
    <w:rsid w:val="0008540B"/>
    <w:rsid w:val="0009147C"/>
    <w:rsid w:val="0009227C"/>
    <w:rsid w:val="00094076"/>
    <w:rsid w:val="0009489D"/>
    <w:rsid w:val="00095E1E"/>
    <w:rsid w:val="00096C6C"/>
    <w:rsid w:val="000A007E"/>
    <w:rsid w:val="000A35B4"/>
    <w:rsid w:val="000A5EAC"/>
    <w:rsid w:val="000B1734"/>
    <w:rsid w:val="000B528C"/>
    <w:rsid w:val="000B7964"/>
    <w:rsid w:val="000C229E"/>
    <w:rsid w:val="000C5D00"/>
    <w:rsid w:val="000C7E31"/>
    <w:rsid w:val="000D0109"/>
    <w:rsid w:val="000D0715"/>
    <w:rsid w:val="000D251E"/>
    <w:rsid w:val="000D34E2"/>
    <w:rsid w:val="000D40FD"/>
    <w:rsid w:val="000D426C"/>
    <w:rsid w:val="000D53BC"/>
    <w:rsid w:val="000E037C"/>
    <w:rsid w:val="000E043A"/>
    <w:rsid w:val="000E1AF1"/>
    <w:rsid w:val="000E6A55"/>
    <w:rsid w:val="000E6EB5"/>
    <w:rsid w:val="000F0B82"/>
    <w:rsid w:val="000F3591"/>
    <w:rsid w:val="000F4642"/>
    <w:rsid w:val="000F56AC"/>
    <w:rsid w:val="00100AA8"/>
    <w:rsid w:val="0010179E"/>
    <w:rsid w:val="00101849"/>
    <w:rsid w:val="00102A05"/>
    <w:rsid w:val="001045EA"/>
    <w:rsid w:val="00104852"/>
    <w:rsid w:val="0010705E"/>
    <w:rsid w:val="00111B54"/>
    <w:rsid w:val="0011378A"/>
    <w:rsid w:val="00115363"/>
    <w:rsid w:val="00116BF2"/>
    <w:rsid w:val="00117E30"/>
    <w:rsid w:val="0012712B"/>
    <w:rsid w:val="00130379"/>
    <w:rsid w:val="00131845"/>
    <w:rsid w:val="0013485F"/>
    <w:rsid w:val="00140585"/>
    <w:rsid w:val="001429EE"/>
    <w:rsid w:val="001438C4"/>
    <w:rsid w:val="001458A9"/>
    <w:rsid w:val="00153A79"/>
    <w:rsid w:val="00155757"/>
    <w:rsid w:val="00162A47"/>
    <w:rsid w:val="00163BAB"/>
    <w:rsid w:val="001660F3"/>
    <w:rsid w:val="00170062"/>
    <w:rsid w:val="00171037"/>
    <w:rsid w:val="00171252"/>
    <w:rsid w:val="00172A27"/>
    <w:rsid w:val="00173C65"/>
    <w:rsid w:val="00180485"/>
    <w:rsid w:val="001837CF"/>
    <w:rsid w:val="00183EC7"/>
    <w:rsid w:val="00193188"/>
    <w:rsid w:val="001931C6"/>
    <w:rsid w:val="00194088"/>
    <w:rsid w:val="00195978"/>
    <w:rsid w:val="00195BC3"/>
    <w:rsid w:val="001A7094"/>
    <w:rsid w:val="001A7F57"/>
    <w:rsid w:val="001B384A"/>
    <w:rsid w:val="001B47DF"/>
    <w:rsid w:val="001B73F6"/>
    <w:rsid w:val="001C3151"/>
    <w:rsid w:val="001C365E"/>
    <w:rsid w:val="001C5002"/>
    <w:rsid w:val="001C5E99"/>
    <w:rsid w:val="001C6484"/>
    <w:rsid w:val="001C708C"/>
    <w:rsid w:val="001D1346"/>
    <w:rsid w:val="001D1CC2"/>
    <w:rsid w:val="001D5C27"/>
    <w:rsid w:val="001D63AC"/>
    <w:rsid w:val="001E0517"/>
    <w:rsid w:val="001E062D"/>
    <w:rsid w:val="001E226B"/>
    <w:rsid w:val="001E70D1"/>
    <w:rsid w:val="001F0BEE"/>
    <w:rsid w:val="001F1B02"/>
    <w:rsid w:val="001F7AAF"/>
    <w:rsid w:val="0020034B"/>
    <w:rsid w:val="0020614C"/>
    <w:rsid w:val="00206A84"/>
    <w:rsid w:val="002110E3"/>
    <w:rsid w:val="002125EF"/>
    <w:rsid w:val="00212CBF"/>
    <w:rsid w:val="00223358"/>
    <w:rsid w:val="002236CF"/>
    <w:rsid w:val="002250A0"/>
    <w:rsid w:val="00230767"/>
    <w:rsid w:val="002317C0"/>
    <w:rsid w:val="00234DD3"/>
    <w:rsid w:val="0023505E"/>
    <w:rsid w:val="00235969"/>
    <w:rsid w:val="00243DB2"/>
    <w:rsid w:val="002440A3"/>
    <w:rsid w:val="00244927"/>
    <w:rsid w:val="002478CD"/>
    <w:rsid w:val="00247B7F"/>
    <w:rsid w:val="002520DD"/>
    <w:rsid w:val="00254F82"/>
    <w:rsid w:val="00254F98"/>
    <w:rsid w:val="002564E1"/>
    <w:rsid w:val="00263792"/>
    <w:rsid w:val="002641EF"/>
    <w:rsid w:val="00264580"/>
    <w:rsid w:val="00266A8B"/>
    <w:rsid w:val="00266DF6"/>
    <w:rsid w:val="00266FBF"/>
    <w:rsid w:val="002729A8"/>
    <w:rsid w:val="00275128"/>
    <w:rsid w:val="002751CA"/>
    <w:rsid w:val="002756A5"/>
    <w:rsid w:val="00280D2A"/>
    <w:rsid w:val="00281BBA"/>
    <w:rsid w:val="002852B8"/>
    <w:rsid w:val="00285E14"/>
    <w:rsid w:val="00290D0D"/>
    <w:rsid w:val="00293439"/>
    <w:rsid w:val="00296711"/>
    <w:rsid w:val="00297BD6"/>
    <w:rsid w:val="002A13D8"/>
    <w:rsid w:val="002A1EAB"/>
    <w:rsid w:val="002A2F64"/>
    <w:rsid w:val="002A48A1"/>
    <w:rsid w:val="002A4D2D"/>
    <w:rsid w:val="002A6AFB"/>
    <w:rsid w:val="002B029E"/>
    <w:rsid w:val="002B3048"/>
    <w:rsid w:val="002B31F2"/>
    <w:rsid w:val="002B4395"/>
    <w:rsid w:val="002B5B38"/>
    <w:rsid w:val="002D0DF6"/>
    <w:rsid w:val="002D153B"/>
    <w:rsid w:val="002D1B77"/>
    <w:rsid w:val="002D2729"/>
    <w:rsid w:val="002D5D1A"/>
    <w:rsid w:val="002E22D1"/>
    <w:rsid w:val="002F1188"/>
    <w:rsid w:val="002F1F29"/>
    <w:rsid w:val="002F2369"/>
    <w:rsid w:val="002F699E"/>
    <w:rsid w:val="002F7280"/>
    <w:rsid w:val="0030039B"/>
    <w:rsid w:val="00301634"/>
    <w:rsid w:val="00301A65"/>
    <w:rsid w:val="00303518"/>
    <w:rsid w:val="0030479A"/>
    <w:rsid w:val="0030758B"/>
    <w:rsid w:val="00307A41"/>
    <w:rsid w:val="003118DE"/>
    <w:rsid w:val="00313841"/>
    <w:rsid w:val="003147A4"/>
    <w:rsid w:val="0031765C"/>
    <w:rsid w:val="0031780C"/>
    <w:rsid w:val="00317D38"/>
    <w:rsid w:val="0032051F"/>
    <w:rsid w:val="00323E8F"/>
    <w:rsid w:val="00323ED7"/>
    <w:rsid w:val="00325138"/>
    <w:rsid w:val="003256B6"/>
    <w:rsid w:val="00325ED0"/>
    <w:rsid w:val="00326E1F"/>
    <w:rsid w:val="00330396"/>
    <w:rsid w:val="00331031"/>
    <w:rsid w:val="003344EB"/>
    <w:rsid w:val="00335B43"/>
    <w:rsid w:val="00341FF1"/>
    <w:rsid w:val="0034474A"/>
    <w:rsid w:val="003451C7"/>
    <w:rsid w:val="0034546D"/>
    <w:rsid w:val="00353D42"/>
    <w:rsid w:val="00354B11"/>
    <w:rsid w:val="0035506B"/>
    <w:rsid w:val="003575AB"/>
    <w:rsid w:val="0036031B"/>
    <w:rsid w:val="003612F7"/>
    <w:rsid w:val="003627E5"/>
    <w:rsid w:val="00362BA8"/>
    <w:rsid w:val="00363C1F"/>
    <w:rsid w:val="003667B3"/>
    <w:rsid w:val="00374AC2"/>
    <w:rsid w:val="00374C7F"/>
    <w:rsid w:val="00375C80"/>
    <w:rsid w:val="003760CA"/>
    <w:rsid w:val="0038047B"/>
    <w:rsid w:val="0038077A"/>
    <w:rsid w:val="00381208"/>
    <w:rsid w:val="00382B07"/>
    <w:rsid w:val="00384D38"/>
    <w:rsid w:val="00385F7A"/>
    <w:rsid w:val="00390D0C"/>
    <w:rsid w:val="00390E70"/>
    <w:rsid w:val="003A17A0"/>
    <w:rsid w:val="003A1D88"/>
    <w:rsid w:val="003A428C"/>
    <w:rsid w:val="003A4F54"/>
    <w:rsid w:val="003B0611"/>
    <w:rsid w:val="003B1D1B"/>
    <w:rsid w:val="003B50C0"/>
    <w:rsid w:val="003C1EC3"/>
    <w:rsid w:val="003C239C"/>
    <w:rsid w:val="003C612F"/>
    <w:rsid w:val="003C6185"/>
    <w:rsid w:val="003C71CB"/>
    <w:rsid w:val="003D321E"/>
    <w:rsid w:val="003D3782"/>
    <w:rsid w:val="003D7FE6"/>
    <w:rsid w:val="003E21D8"/>
    <w:rsid w:val="003E60AD"/>
    <w:rsid w:val="003F37C9"/>
    <w:rsid w:val="003F4A9F"/>
    <w:rsid w:val="003F5165"/>
    <w:rsid w:val="00400D86"/>
    <w:rsid w:val="0040122A"/>
    <w:rsid w:val="004023AB"/>
    <w:rsid w:val="00410A59"/>
    <w:rsid w:val="00411B07"/>
    <w:rsid w:val="00422267"/>
    <w:rsid w:val="004226B3"/>
    <w:rsid w:val="004256AE"/>
    <w:rsid w:val="00431CAA"/>
    <w:rsid w:val="0043253F"/>
    <w:rsid w:val="00452F54"/>
    <w:rsid w:val="004553DC"/>
    <w:rsid w:val="00456435"/>
    <w:rsid w:val="0046017C"/>
    <w:rsid w:val="00461C22"/>
    <w:rsid w:val="004632EE"/>
    <w:rsid w:val="00463892"/>
    <w:rsid w:val="00466473"/>
    <w:rsid w:val="0046708F"/>
    <w:rsid w:val="0046755F"/>
    <w:rsid w:val="00472B76"/>
    <w:rsid w:val="0047761A"/>
    <w:rsid w:val="00481E6C"/>
    <w:rsid w:val="004845EE"/>
    <w:rsid w:val="00484CA1"/>
    <w:rsid w:val="0048615F"/>
    <w:rsid w:val="00487D3B"/>
    <w:rsid w:val="00492964"/>
    <w:rsid w:val="0049298A"/>
    <w:rsid w:val="0049333A"/>
    <w:rsid w:val="00496A2F"/>
    <w:rsid w:val="004A1955"/>
    <w:rsid w:val="004A3650"/>
    <w:rsid w:val="004A461B"/>
    <w:rsid w:val="004A64C4"/>
    <w:rsid w:val="004C4E4D"/>
    <w:rsid w:val="004C5702"/>
    <w:rsid w:val="004C5DAB"/>
    <w:rsid w:val="004C7034"/>
    <w:rsid w:val="004C7933"/>
    <w:rsid w:val="004D3F88"/>
    <w:rsid w:val="004E2556"/>
    <w:rsid w:val="004E30F3"/>
    <w:rsid w:val="004F2B26"/>
    <w:rsid w:val="004F2CD0"/>
    <w:rsid w:val="004F3EEB"/>
    <w:rsid w:val="004F7940"/>
    <w:rsid w:val="00500527"/>
    <w:rsid w:val="00501C60"/>
    <w:rsid w:val="00510908"/>
    <w:rsid w:val="00512112"/>
    <w:rsid w:val="00517926"/>
    <w:rsid w:val="00522470"/>
    <w:rsid w:val="00522741"/>
    <w:rsid w:val="00523295"/>
    <w:rsid w:val="00545208"/>
    <w:rsid w:val="00546AF9"/>
    <w:rsid w:val="00550A63"/>
    <w:rsid w:val="005515AA"/>
    <w:rsid w:val="0055239D"/>
    <w:rsid w:val="005547F5"/>
    <w:rsid w:val="005554CE"/>
    <w:rsid w:val="0055580C"/>
    <w:rsid w:val="00556EE1"/>
    <w:rsid w:val="00561300"/>
    <w:rsid w:val="0056668D"/>
    <w:rsid w:val="00572AF7"/>
    <w:rsid w:val="00581B92"/>
    <w:rsid w:val="0058490A"/>
    <w:rsid w:val="00585AC8"/>
    <w:rsid w:val="00587C1E"/>
    <w:rsid w:val="00592738"/>
    <w:rsid w:val="00595DE5"/>
    <w:rsid w:val="005970BC"/>
    <w:rsid w:val="005B097B"/>
    <w:rsid w:val="005B105F"/>
    <w:rsid w:val="005B2299"/>
    <w:rsid w:val="005B3B11"/>
    <w:rsid w:val="005C26F9"/>
    <w:rsid w:val="005C354F"/>
    <w:rsid w:val="005C4A43"/>
    <w:rsid w:val="005C7505"/>
    <w:rsid w:val="005D13BB"/>
    <w:rsid w:val="005D3407"/>
    <w:rsid w:val="005D4D1D"/>
    <w:rsid w:val="005D5211"/>
    <w:rsid w:val="005D60E6"/>
    <w:rsid w:val="005D7CA5"/>
    <w:rsid w:val="005E26C7"/>
    <w:rsid w:val="005E2855"/>
    <w:rsid w:val="005E6A8D"/>
    <w:rsid w:val="005F013D"/>
    <w:rsid w:val="005F10E2"/>
    <w:rsid w:val="005F1B10"/>
    <w:rsid w:val="005F33E9"/>
    <w:rsid w:val="005F341F"/>
    <w:rsid w:val="005F52D3"/>
    <w:rsid w:val="00600A12"/>
    <w:rsid w:val="006014C0"/>
    <w:rsid w:val="00601680"/>
    <w:rsid w:val="00601812"/>
    <w:rsid w:val="0062674C"/>
    <w:rsid w:val="00626C1D"/>
    <w:rsid w:val="00630025"/>
    <w:rsid w:val="00630542"/>
    <w:rsid w:val="0063510B"/>
    <w:rsid w:val="00635769"/>
    <w:rsid w:val="006370A5"/>
    <w:rsid w:val="00651948"/>
    <w:rsid w:val="00653328"/>
    <w:rsid w:val="00655EA3"/>
    <w:rsid w:val="0065698F"/>
    <w:rsid w:val="006573C7"/>
    <w:rsid w:val="00661568"/>
    <w:rsid w:val="006637E9"/>
    <w:rsid w:val="00667DB0"/>
    <w:rsid w:val="006702EE"/>
    <w:rsid w:val="006764C3"/>
    <w:rsid w:val="006767F3"/>
    <w:rsid w:val="00680916"/>
    <w:rsid w:val="00680E47"/>
    <w:rsid w:val="006813D0"/>
    <w:rsid w:val="0068242D"/>
    <w:rsid w:val="00683DE8"/>
    <w:rsid w:val="00684467"/>
    <w:rsid w:val="006844E4"/>
    <w:rsid w:val="006906BD"/>
    <w:rsid w:val="00694102"/>
    <w:rsid w:val="006A392A"/>
    <w:rsid w:val="006A614D"/>
    <w:rsid w:val="006B0C09"/>
    <w:rsid w:val="006D0847"/>
    <w:rsid w:val="006D2A8A"/>
    <w:rsid w:val="006D2AD8"/>
    <w:rsid w:val="006D3EEE"/>
    <w:rsid w:val="006D5663"/>
    <w:rsid w:val="006D6D08"/>
    <w:rsid w:val="006D72ED"/>
    <w:rsid w:val="006D7826"/>
    <w:rsid w:val="006E29FE"/>
    <w:rsid w:val="006F3677"/>
    <w:rsid w:val="006F4041"/>
    <w:rsid w:val="006F75E8"/>
    <w:rsid w:val="00701A00"/>
    <w:rsid w:val="0070701D"/>
    <w:rsid w:val="00712802"/>
    <w:rsid w:val="00712E1C"/>
    <w:rsid w:val="007157B6"/>
    <w:rsid w:val="00721EDD"/>
    <w:rsid w:val="007229E2"/>
    <w:rsid w:val="00727046"/>
    <w:rsid w:val="00732A11"/>
    <w:rsid w:val="007339DE"/>
    <w:rsid w:val="00736D3B"/>
    <w:rsid w:val="00741BB3"/>
    <w:rsid w:val="007421FF"/>
    <w:rsid w:val="0074227E"/>
    <w:rsid w:val="00742A22"/>
    <w:rsid w:val="00744CF8"/>
    <w:rsid w:val="0074544A"/>
    <w:rsid w:val="00750257"/>
    <w:rsid w:val="00756B35"/>
    <w:rsid w:val="00763490"/>
    <w:rsid w:val="0076739F"/>
    <w:rsid w:val="00767E0E"/>
    <w:rsid w:val="007706CB"/>
    <w:rsid w:val="007742C9"/>
    <w:rsid w:val="00775DC0"/>
    <w:rsid w:val="00777912"/>
    <w:rsid w:val="00784E32"/>
    <w:rsid w:val="007910EE"/>
    <w:rsid w:val="00797A74"/>
    <w:rsid w:val="007A30E5"/>
    <w:rsid w:val="007A3DBB"/>
    <w:rsid w:val="007A5AC9"/>
    <w:rsid w:val="007A6122"/>
    <w:rsid w:val="007C2223"/>
    <w:rsid w:val="007C76FF"/>
    <w:rsid w:val="007C7F0E"/>
    <w:rsid w:val="007D05B6"/>
    <w:rsid w:val="007D119F"/>
    <w:rsid w:val="007D1856"/>
    <w:rsid w:val="007D4515"/>
    <w:rsid w:val="007D48F7"/>
    <w:rsid w:val="007D4D61"/>
    <w:rsid w:val="007D6140"/>
    <w:rsid w:val="007D69DC"/>
    <w:rsid w:val="007D70A1"/>
    <w:rsid w:val="007D7BED"/>
    <w:rsid w:val="007E495C"/>
    <w:rsid w:val="007E5FBA"/>
    <w:rsid w:val="007E653F"/>
    <w:rsid w:val="007F016C"/>
    <w:rsid w:val="007F304B"/>
    <w:rsid w:val="007F4FFC"/>
    <w:rsid w:val="007F7417"/>
    <w:rsid w:val="007F79A8"/>
    <w:rsid w:val="0080254D"/>
    <w:rsid w:val="00802AFB"/>
    <w:rsid w:val="00804EF9"/>
    <w:rsid w:val="00811553"/>
    <w:rsid w:val="008146D0"/>
    <w:rsid w:val="008221AC"/>
    <w:rsid w:val="008236C3"/>
    <w:rsid w:val="00830833"/>
    <w:rsid w:val="00834BDC"/>
    <w:rsid w:val="00836205"/>
    <w:rsid w:val="008418A9"/>
    <w:rsid w:val="008443AF"/>
    <w:rsid w:val="0085098F"/>
    <w:rsid w:val="00856383"/>
    <w:rsid w:val="0085764A"/>
    <w:rsid w:val="00864D09"/>
    <w:rsid w:val="00866C00"/>
    <w:rsid w:val="008717D9"/>
    <w:rsid w:val="00872A21"/>
    <w:rsid w:val="00872A39"/>
    <w:rsid w:val="00884DC1"/>
    <w:rsid w:val="00890F6E"/>
    <w:rsid w:val="0089244A"/>
    <w:rsid w:val="00893649"/>
    <w:rsid w:val="00893861"/>
    <w:rsid w:val="00893A6B"/>
    <w:rsid w:val="00895E0E"/>
    <w:rsid w:val="0089732C"/>
    <w:rsid w:val="008A0160"/>
    <w:rsid w:val="008A02E5"/>
    <w:rsid w:val="008A1AE8"/>
    <w:rsid w:val="008A55FD"/>
    <w:rsid w:val="008A6E28"/>
    <w:rsid w:val="008A7C4F"/>
    <w:rsid w:val="008B5A66"/>
    <w:rsid w:val="008B6642"/>
    <w:rsid w:val="008B73FC"/>
    <w:rsid w:val="008B7E59"/>
    <w:rsid w:val="008C0B19"/>
    <w:rsid w:val="008C1D38"/>
    <w:rsid w:val="008C4B29"/>
    <w:rsid w:val="008C5FC0"/>
    <w:rsid w:val="008C6C27"/>
    <w:rsid w:val="008D63E7"/>
    <w:rsid w:val="008D6C0A"/>
    <w:rsid w:val="008D720A"/>
    <w:rsid w:val="008D7BA4"/>
    <w:rsid w:val="008E4EB0"/>
    <w:rsid w:val="008E6E29"/>
    <w:rsid w:val="008F0503"/>
    <w:rsid w:val="008F4581"/>
    <w:rsid w:val="008F74C5"/>
    <w:rsid w:val="008F7502"/>
    <w:rsid w:val="009020EB"/>
    <w:rsid w:val="00903061"/>
    <w:rsid w:val="00906F99"/>
    <w:rsid w:val="00907E75"/>
    <w:rsid w:val="00912F18"/>
    <w:rsid w:val="00914283"/>
    <w:rsid w:val="00914760"/>
    <w:rsid w:val="0092273D"/>
    <w:rsid w:val="0093223C"/>
    <w:rsid w:val="00934E82"/>
    <w:rsid w:val="00936AE8"/>
    <w:rsid w:val="00941105"/>
    <w:rsid w:val="009443AC"/>
    <w:rsid w:val="0094528C"/>
    <w:rsid w:val="00950EBD"/>
    <w:rsid w:val="00951327"/>
    <w:rsid w:val="00951B86"/>
    <w:rsid w:val="009524F4"/>
    <w:rsid w:val="00955D23"/>
    <w:rsid w:val="0096238D"/>
    <w:rsid w:val="0096484B"/>
    <w:rsid w:val="00966E4D"/>
    <w:rsid w:val="00975D4F"/>
    <w:rsid w:val="009779E4"/>
    <w:rsid w:val="009801E5"/>
    <w:rsid w:val="00984D8E"/>
    <w:rsid w:val="00987DB5"/>
    <w:rsid w:val="00990151"/>
    <w:rsid w:val="00994191"/>
    <w:rsid w:val="0099592D"/>
    <w:rsid w:val="009A044F"/>
    <w:rsid w:val="009A7C96"/>
    <w:rsid w:val="009A7CA7"/>
    <w:rsid w:val="009B632E"/>
    <w:rsid w:val="009B70C8"/>
    <w:rsid w:val="009C0EDD"/>
    <w:rsid w:val="009C5B79"/>
    <w:rsid w:val="009C61F6"/>
    <w:rsid w:val="009D30D3"/>
    <w:rsid w:val="009D3A24"/>
    <w:rsid w:val="009D3C05"/>
    <w:rsid w:val="009D48A1"/>
    <w:rsid w:val="009D7D58"/>
    <w:rsid w:val="009D7D8C"/>
    <w:rsid w:val="009E08A7"/>
    <w:rsid w:val="009E1EE4"/>
    <w:rsid w:val="009E2DCB"/>
    <w:rsid w:val="009E343B"/>
    <w:rsid w:val="009E4187"/>
    <w:rsid w:val="009E577A"/>
    <w:rsid w:val="009F6035"/>
    <w:rsid w:val="009F7C0F"/>
    <w:rsid w:val="00A024E9"/>
    <w:rsid w:val="00A07382"/>
    <w:rsid w:val="00A07BE7"/>
    <w:rsid w:val="00A10161"/>
    <w:rsid w:val="00A106DD"/>
    <w:rsid w:val="00A11FAE"/>
    <w:rsid w:val="00A1395D"/>
    <w:rsid w:val="00A178B7"/>
    <w:rsid w:val="00A2719B"/>
    <w:rsid w:val="00A27484"/>
    <w:rsid w:val="00A30C2A"/>
    <w:rsid w:val="00A327D3"/>
    <w:rsid w:val="00A32859"/>
    <w:rsid w:val="00A328E4"/>
    <w:rsid w:val="00A33C90"/>
    <w:rsid w:val="00A344EE"/>
    <w:rsid w:val="00A357CC"/>
    <w:rsid w:val="00A36A04"/>
    <w:rsid w:val="00A42D77"/>
    <w:rsid w:val="00A446E9"/>
    <w:rsid w:val="00A462E6"/>
    <w:rsid w:val="00A47B4A"/>
    <w:rsid w:val="00A519AA"/>
    <w:rsid w:val="00A53EE9"/>
    <w:rsid w:val="00A5705D"/>
    <w:rsid w:val="00A602A6"/>
    <w:rsid w:val="00A6132D"/>
    <w:rsid w:val="00A72600"/>
    <w:rsid w:val="00A727D5"/>
    <w:rsid w:val="00A74DDB"/>
    <w:rsid w:val="00A80FBA"/>
    <w:rsid w:val="00A8314B"/>
    <w:rsid w:val="00A85B35"/>
    <w:rsid w:val="00A86916"/>
    <w:rsid w:val="00A90110"/>
    <w:rsid w:val="00A95F48"/>
    <w:rsid w:val="00A96BEA"/>
    <w:rsid w:val="00AA227D"/>
    <w:rsid w:val="00AA48FA"/>
    <w:rsid w:val="00AA5196"/>
    <w:rsid w:val="00AA54D1"/>
    <w:rsid w:val="00AB1F97"/>
    <w:rsid w:val="00AB351A"/>
    <w:rsid w:val="00AB4F03"/>
    <w:rsid w:val="00AB7548"/>
    <w:rsid w:val="00AC2F3E"/>
    <w:rsid w:val="00AC7840"/>
    <w:rsid w:val="00AC7FB9"/>
    <w:rsid w:val="00AD0858"/>
    <w:rsid w:val="00AD1D0E"/>
    <w:rsid w:val="00AD1ED1"/>
    <w:rsid w:val="00AD21D6"/>
    <w:rsid w:val="00AD280B"/>
    <w:rsid w:val="00AD4693"/>
    <w:rsid w:val="00AD529E"/>
    <w:rsid w:val="00AE3638"/>
    <w:rsid w:val="00AE476A"/>
    <w:rsid w:val="00AE6A2D"/>
    <w:rsid w:val="00AE75F5"/>
    <w:rsid w:val="00AF00D2"/>
    <w:rsid w:val="00AF0755"/>
    <w:rsid w:val="00AF0CD9"/>
    <w:rsid w:val="00AF224F"/>
    <w:rsid w:val="00B05693"/>
    <w:rsid w:val="00B105CD"/>
    <w:rsid w:val="00B130D5"/>
    <w:rsid w:val="00B1345C"/>
    <w:rsid w:val="00B16F1A"/>
    <w:rsid w:val="00B177EA"/>
    <w:rsid w:val="00B2292B"/>
    <w:rsid w:val="00B243C5"/>
    <w:rsid w:val="00B25790"/>
    <w:rsid w:val="00B26233"/>
    <w:rsid w:val="00B302FB"/>
    <w:rsid w:val="00B30E6B"/>
    <w:rsid w:val="00B31E0D"/>
    <w:rsid w:val="00B332A7"/>
    <w:rsid w:val="00B34369"/>
    <w:rsid w:val="00B344E9"/>
    <w:rsid w:val="00B37CAE"/>
    <w:rsid w:val="00B41DD8"/>
    <w:rsid w:val="00B41F49"/>
    <w:rsid w:val="00B43912"/>
    <w:rsid w:val="00B51490"/>
    <w:rsid w:val="00B54808"/>
    <w:rsid w:val="00B563DE"/>
    <w:rsid w:val="00B57AC5"/>
    <w:rsid w:val="00B60CEF"/>
    <w:rsid w:val="00B61984"/>
    <w:rsid w:val="00B61CD3"/>
    <w:rsid w:val="00B722A0"/>
    <w:rsid w:val="00B73AD6"/>
    <w:rsid w:val="00B8044D"/>
    <w:rsid w:val="00B8386F"/>
    <w:rsid w:val="00B84730"/>
    <w:rsid w:val="00B86557"/>
    <w:rsid w:val="00B90AEE"/>
    <w:rsid w:val="00B90C86"/>
    <w:rsid w:val="00B9375B"/>
    <w:rsid w:val="00B9661D"/>
    <w:rsid w:val="00B97D85"/>
    <w:rsid w:val="00BA1708"/>
    <w:rsid w:val="00BA1C03"/>
    <w:rsid w:val="00BA29F9"/>
    <w:rsid w:val="00BA4141"/>
    <w:rsid w:val="00BB48FD"/>
    <w:rsid w:val="00BE0115"/>
    <w:rsid w:val="00BE3AC7"/>
    <w:rsid w:val="00BE468A"/>
    <w:rsid w:val="00BE579E"/>
    <w:rsid w:val="00BE71B5"/>
    <w:rsid w:val="00BF065C"/>
    <w:rsid w:val="00BF074D"/>
    <w:rsid w:val="00BF2D1C"/>
    <w:rsid w:val="00BF494E"/>
    <w:rsid w:val="00C03BF1"/>
    <w:rsid w:val="00C046AF"/>
    <w:rsid w:val="00C062FC"/>
    <w:rsid w:val="00C07B7D"/>
    <w:rsid w:val="00C07E09"/>
    <w:rsid w:val="00C126B0"/>
    <w:rsid w:val="00C14D90"/>
    <w:rsid w:val="00C14FB2"/>
    <w:rsid w:val="00C20880"/>
    <w:rsid w:val="00C210A1"/>
    <w:rsid w:val="00C217A3"/>
    <w:rsid w:val="00C2453E"/>
    <w:rsid w:val="00C3085C"/>
    <w:rsid w:val="00C3133C"/>
    <w:rsid w:val="00C31BCD"/>
    <w:rsid w:val="00C346C0"/>
    <w:rsid w:val="00C4179B"/>
    <w:rsid w:val="00C41BC3"/>
    <w:rsid w:val="00C44283"/>
    <w:rsid w:val="00C52692"/>
    <w:rsid w:val="00C5325A"/>
    <w:rsid w:val="00C53A95"/>
    <w:rsid w:val="00C55857"/>
    <w:rsid w:val="00C60AF7"/>
    <w:rsid w:val="00C60DFA"/>
    <w:rsid w:val="00C61F23"/>
    <w:rsid w:val="00C623DB"/>
    <w:rsid w:val="00C6251F"/>
    <w:rsid w:val="00C643F9"/>
    <w:rsid w:val="00C64FE1"/>
    <w:rsid w:val="00C700CB"/>
    <w:rsid w:val="00C81D12"/>
    <w:rsid w:val="00C8697B"/>
    <w:rsid w:val="00C86AEE"/>
    <w:rsid w:val="00C90890"/>
    <w:rsid w:val="00C9268A"/>
    <w:rsid w:val="00C94BCF"/>
    <w:rsid w:val="00C95319"/>
    <w:rsid w:val="00C95551"/>
    <w:rsid w:val="00C95A72"/>
    <w:rsid w:val="00CA2CC1"/>
    <w:rsid w:val="00CA4485"/>
    <w:rsid w:val="00CA5BB2"/>
    <w:rsid w:val="00CB4815"/>
    <w:rsid w:val="00CB56AC"/>
    <w:rsid w:val="00CC22F3"/>
    <w:rsid w:val="00CC4920"/>
    <w:rsid w:val="00CC4BF3"/>
    <w:rsid w:val="00CC7401"/>
    <w:rsid w:val="00CD0AB7"/>
    <w:rsid w:val="00CD125C"/>
    <w:rsid w:val="00CD30CE"/>
    <w:rsid w:val="00CD4ABB"/>
    <w:rsid w:val="00CD5685"/>
    <w:rsid w:val="00CD56AE"/>
    <w:rsid w:val="00CE1660"/>
    <w:rsid w:val="00CE239C"/>
    <w:rsid w:val="00CE46B0"/>
    <w:rsid w:val="00CE4EC9"/>
    <w:rsid w:val="00CF25DB"/>
    <w:rsid w:val="00CF3468"/>
    <w:rsid w:val="00CF55BB"/>
    <w:rsid w:val="00D024A1"/>
    <w:rsid w:val="00D02957"/>
    <w:rsid w:val="00D04144"/>
    <w:rsid w:val="00D105C1"/>
    <w:rsid w:val="00D23853"/>
    <w:rsid w:val="00D324E3"/>
    <w:rsid w:val="00D325F6"/>
    <w:rsid w:val="00D35D2C"/>
    <w:rsid w:val="00D411E0"/>
    <w:rsid w:val="00D45E18"/>
    <w:rsid w:val="00D52ADA"/>
    <w:rsid w:val="00D55D1A"/>
    <w:rsid w:val="00D60A97"/>
    <w:rsid w:val="00D62D2B"/>
    <w:rsid w:val="00D679A1"/>
    <w:rsid w:val="00D70698"/>
    <w:rsid w:val="00D70D54"/>
    <w:rsid w:val="00D74064"/>
    <w:rsid w:val="00D76DFB"/>
    <w:rsid w:val="00D77AD7"/>
    <w:rsid w:val="00D82C3A"/>
    <w:rsid w:val="00D835DD"/>
    <w:rsid w:val="00D8382B"/>
    <w:rsid w:val="00D85128"/>
    <w:rsid w:val="00D878D3"/>
    <w:rsid w:val="00D9023B"/>
    <w:rsid w:val="00D90303"/>
    <w:rsid w:val="00D90740"/>
    <w:rsid w:val="00D90894"/>
    <w:rsid w:val="00D95EA3"/>
    <w:rsid w:val="00D97050"/>
    <w:rsid w:val="00DA41AC"/>
    <w:rsid w:val="00DB2E27"/>
    <w:rsid w:val="00DB45B2"/>
    <w:rsid w:val="00DB6064"/>
    <w:rsid w:val="00DC67C0"/>
    <w:rsid w:val="00DC765F"/>
    <w:rsid w:val="00DD167E"/>
    <w:rsid w:val="00DE1A11"/>
    <w:rsid w:val="00DE2AE0"/>
    <w:rsid w:val="00DF34A3"/>
    <w:rsid w:val="00E03E16"/>
    <w:rsid w:val="00E17405"/>
    <w:rsid w:val="00E20CCA"/>
    <w:rsid w:val="00E23558"/>
    <w:rsid w:val="00E251CA"/>
    <w:rsid w:val="00E34F6C"/>
    <w:rsid w:val="00E37F51"/>
    <w:rsid w:val="00E42474"/>
    <w:rsid w:val="00E42D2D"/>
    <w:rsid w:val="00E43F55"/>
    <w:rsid w:val="00E53548"/>
    <w:rsid w:val="00E54E89"/>
    <w:rsid w:val="00E56106"/>
    <w:rsid w:val="00E6168F"/>
    <w:rsid w:val="00E62262"/>
    <w:rsid w:val="00E62468"/>
    <w:rsid w:val="00E6266F"/>
    <w:rsid w:val="00E668FC"/>
    <w:rsid w:val="00E66ADB"/>
    <w:rsid w:val="00E723A5"/>
    <w:rsid w:val="00E7250B"/>
    <w:rsid w:val="00E72CC8"/>
    <w:rsid w:val="00E75FC9"/>
    <w:rsid w:val="00E77536"/>
    <w:rsid w:val="00E80A9C"/>
    <w:rsid w:val="00E84F15"/>
    <w:rsid w:val="00E857AE"/>
    <w:rsid w:val="00E92A32"/>
    <w:rsid w:val="00E92E0B"/>
    <w:rsid w:val="00EA2AEF"/>
    <w:rsid w:val="00EA4355"/>
    <w:rsid w:val="00EA491E"/>
    <w:rsid w:val="00EB042C"/>
    <w:rsid w:val="00EB4DAA"/>
    <w:rsid w:val="00EB5529"/>
    <w:rsid w:val="00EB5CFB"/>
    <w:rsid w:val="00EC2306"/>
    <w:rsid w:val="00EC43B2"/>
    <w:rsid w:val="00ED0674"/>
    <w:rsid w:val="00ED1912"/>
    <w:rsid w:val="00ED1C5F"/>
    <w:rsid w:val="00ED3D1F"/>
    <w:rsid w:val="00ED3E2B"/>
    <w:rsid w:val="00ED45E8"/>
    <w:rsid w:val="00ED5265"/>
    <w:rsid w:val="00ED6EF9"/>
    <w:rsid w:val="00EE0016"/>
    <w:rsid w:val="00EE208C"/>
    <w:rsid w:val="00EE2AAE"/>
    <w:rsid w:val="00EE3CD3"/>
    <w:rsid w:val="00EE45AD"/>
    <w:rsid w:val="00EE48AF"/>
    <w:rsid w:val="00EE4A65"/>
    <w:rsid w:val="00EF41F7"/>
    <w:rsid w:val="00F0716A"/>
    <w:rsid w:val="00F071BE"/>
    <w:rsid w:val="00F07B82"/>
    <w:rsid w:val="00F20D99"/>
    <w:rsid w:val="00F215FA"/>
    <w:rsid w:val="00F23CF8"/>
    <w:rsid w:val="00F24157"/>
    <w:rsid w:val="00F2554D"/>
    <w:rsid w:val="00F31466"/>
    <w:rsid w:val="00F32A16"/>
    <w:rsid w:val="00F33F6F"/>
    <w:rsid w:val="00F40065"/>
    <w:rsid w:val="00F50376"/>
    <w:rsid w:val="00F50DFE"/>
    <w:rsid w:val="00F554C8"/>
    <w:rsid w:val="00F60507"/>
    <w:rsid w:val="00F63BAC"/>
    <w:rsid w:val="00F65153"/>
    <w:rsid w:val="00F674B2"/>
    <w:rsid w:val="00F75AED"/>
    <w:rsid w:val="00F806E3"/>
    <w:rsid w:val="00F8218E"/>
    <w:rsid w:val="00F829E5"/>
    <w:rsid w:val="00F905EA"/>
    <w:rsid w:val="00F90CDE"/>
    <w:rsid w:val="00F93951"/>
    <w:rsid w:val="00F962E7"/>
    <w:rsid w:val="00F96D07"/>
    <w:rsid w:val="00FA05EE"/>
    <w:rsid w:val="00FA57CE"/>
    <w:rsid w:val="00FA5FC4"/>
    <w:rsid w:val="00FB07AE"/>
    <w:rsid w:val="00FB3CD4"/>
    <w:rsid w:val="00FB6C92"/>
    <w:rsid w:val="00FB7971"/>
    <w:rsid w:val="00FC0961"/>
    <w:rsid w:val="00FC385B"/>
    <w:rsid w:val="00FC40DC"/>
    <w:rsid w:val="00FC79D2"/>
    <w:rsid w:val="00FD2097"/>
    <w:rsid w:val="00FD5218"/>
    <w:rsid w:val="00FE0088"/>
    <w:rsid w:val="00FE145A"/>
    <w:rsid w:val="00FE2FEC"/>
    <w:rsid w:val="00FF00A7"/>
    <w:rsid w:val="00FF5BF3"/>
    <w:rsid w:val="00FF5C7F"/>
    <w:rsid w:val="00FF766C"/>
    <w:rsid w:val="013759AE"/>
    <w:rsid w:val="01AC2A27"/>
    <w:rsid w:val="020178DB"/>
    <w:rsid w:val="021C72CE"/>
    <w:rsid w:val="025A2046"/>
    <w:rsid w:val="027348B5"/>
    <w:rsid w:val="0273635F"/>
    <w:rsid w:val="02B45F74"/>
    <w:rsid w:val="02BE65AC"/>
    <w:rsid w:val="02C637E1"/>
    <w:rsid w:val="02DE7965"/>
    <w:rsid w:val="02FC539B"/>
    <w:rsid w:val="03084C36"/>
    <w:rsid w:val="0341385C"/>
    <w:rsid w:val="034A0A30"/>
    <w:rsid w:val="03523C42"/>
    <w:rsid w:val="0356004D"/>
    <w:rsid w:val="03656F0C"/>
    <w:rsid w:val="037879DA"/>
    <w:rsid w:val="03B3702A"/>
    <w:rsid w:val="040916E0"/>
    <w:rsid w:val="041F2C36"/>
    <w:rsid w:val="043B2EAD"/>
    <w:rsid w:val="046F4344"/>
    <w:rsid w:val="047E1A78"/>
    <w:rsid w:val="04C85BF5"/>
    <w:rsid w:val="04D73078"/>
    <w:rsid w:val="05400D56"/>
    <w:rsid w:val="054B5EC6"/>
    <w:rsid w:val="055C2603"/>
    <w:rsid w:val="05887ED4"/>
    <w:rsid w:val="05EA490E"/>
    <w:rsid w:val="062F78B9"/>
    <w:rsid w:val="0639691E"/>
    <w:rsid w:val="067D6210"/>
    <w:rsid w:val="0686171A"/>
    <w:rsid w:val="068A7F9C"/>
    <w:rsid w:val="07012B3E"/>
    <w:rsid w:val="072365A6"/>
    <w:rsid w:val="0773068B"/>
    <w:rsid w:val="078E7641"/>
    <w:rsid w:val="07972E61"/>
    <w:rsid w:val="07C53BD8"/>
    <w:rsid w:val="07F718A5"/>
    <w:rsid w:val="08076A8A"/>
    <w:rsid w:val="082C7314"/>
    <w:rsid w:val="082F1661"/>
    <w:rsid w:val="08500461"/>
    <w:rsid w:val="088237AA"/>
    <w:rsid w:val="08900E24"/>
    <w:rsid w:val="08A63100"/>
    <w:rsid w:val="08A90824"/>
    <w:rsid w:val="08C51F88"/>
    <w:rsid w:val="08C64E40"/>
    <w:rsid w:val="08F35AAD"/>
    <w:rsid w:val="092E4D8E"/>
    <w:rsid w:val="09657CB8"/>
    <w:rsid w:val="099F2993"/>
    <w:rsid w:val="09CB45B8"/>
    <w:rsid w:val="09CF4D4B"/>
    <w:rsid w:val="09DB702E"/>
    <w:rsid w:val="09F314C1"/>
    <w:rsid w:val="09FC3642"/>
    <w:rsid w:val="0A0475D0"/>
    <w:rsid w:val="0A151942"/>
    <w:rsid w:val="0A3D2864"/>
    <w:rsid w:val="0A531227"/>
    <w:rsid w:val="0A690774"/>
    <w:rsid w:val="0A6D128C"/>
    <w:rsid w:val="0A870BFA"/>
    <w:rsid w:val="0A961435"/>
    <w:rsid w:val="0AC23D37"/>
    <w:rsid w:val="0AC92102"/>
    <w:rsid w:val="0AE15667"/>
    <w:rsid w:val="0B260313"/>
    <w:rsid w:val="0B34384A"/>
    <w:rsid w:val="0B3D3CC8"/>
    <w:rsid w:val="0B472834"/>
    <w:rsid w:val="0B75026C"/>
    <w:rsid w:val="0B840330"/>
    <w:rsid w:val="0B87083F"/>
    <w:rsid w:val="0BD55EB7"/>
    <w:rsid w:val="0BEC2882"/>
    <w:rsid w:val="0BFD487B"/>
    <w:rsid w:val="0C1447C8"/>
    <w:rsid w:val="0C2E279F"/>
    <w:rsid w:val="0C310D8F"/>
    <w:rsid w:val="0C44536A"/>
    <w:rsid w:val="0CDF3155"/>
    <w:rsid w:val="0CEB684C"/>
    <w:rsid w:val="0CF04FE7"/>
    <w:rsid w:val="0CF4418A"/>
    <w:rsid w:val="0D1C154D"/>
    <w:rsid w:val="0D3E683E"/>
    <w:rsid w:val="0D5D3392"/>
    <w:rsid w:val="0D6012AA"/>
    <w:rsid w:val="0D697C23"/>
    <w:rsid w:val="0D832544"/>
    <w:rsid w:val="0D892EDB"/>
    <w:rsid w:val="0DB8444D"/>
    <w:rsid w:val="0E664FCA"/>
    <w:rsid w:val="0E827B87"/>
    <w:rsid w:val="0E927B6D"/>
    <w:rsid w:val="0E9658AF"/>
    <w:rsid w:val="0EC046DA"/>
    <w:rsid w:val="0EE87164"/>
    <w:rsid w:val="0EFE2986"/>
    <w:rsid w:val="0F215CB0"/>
    <w:rsid w:val="0F6F1338"/>
    <w:rsid w:val="0F7A347F"/>
    <w:rsid w:val="0F9A3CAA"/>
    <w:rsid w:val="0FA01C5B"/>
    <w:rsid w:val="0FCE6DFD"/>
    <w:rsid w:val="0FD36C49"/>
    <w:rsid w:val="1010343F"/>
    <w:rsid w:val="10521664"/>
    <w:rsid w:val="10662B2B"/>
    <w:rsid w:val="107C1B07"/>
    <w:rsid w:val="10975377"/>
    <w:rsid w:val="109F5A2B"/>
    <w:rsid w:val="10B53B51"/>
    <w:rsid w:val="10E0325E"/>
    <w:rsid w:val="112000BF"/>
    <w:rsid w:val="114853EC"/>
    <w:rsid w:val="11F7415A"/>
    <w:rsid w:val="123571D6"/>
    <w:rsid w:val="124504B7"/>
    <w:rsid w:val="124B7735"/>
    <w:rsid w:val="124C2307"/>
    <w:rsid w:val="124F5E1C"/>
    <w:rsid w:val="125B325B"/>
    <w:rsid w:val="12624DFB"/>
    <w:rsid w:val="1271355F"/>
    <w:rsid w:val="127A31CB"/>
    <w:rsid w:val="128D6607"/>
    <w:rsid w:val="12AA3A8C"/>
    <w:rsid w:val="12BD4314"/>
    <w:rsid w:val="12EE149E"/>
    <w:rsid w:val="13361F99"/>
    <w:rsid w:val="13634763"/>
    <w:rsid w:val="13655850"/>
    <w:rsid w:val="13802684"/>
    <w:rsid w:val="13C756F5"/>
    <w:rsid w:val="13D85498"/>
    <w:rsid w:val="13F07810"/>
    <w:rsid w:val="141E365C"/>
    <w:rsid w:val="14246148"/>
    <w:rsid w:val="14310FC1"/>
    <w:rsid w:val="148D45DC"/>
    <w:rsid w:val="14A00775"/>
    <w:rsid w:val="14A56336"/>
    <w:rsid w:val="14F60FB2"/>
    <w:rsid w:val="14F72EB4"/>
    <w:rsid w:val="15303C50"/>
    <w:rsid w:val="155C1C50"/>
    <w:rsid w:val="15747FCD"/>
    <w:rsid w:val="15893431"/>
    <w:rsid w:val="15B26787"/>
    <w:rsid w:val="15E069C6"/>
    <w:rsid w:val="15E518D3"/>
    <w:rsid w:val="16CE0E1C"/>
    <w:rsid w:val="16D43419"/>
    <w:rsid w:val="172D5A53"/>
    <w:rsid w:val="173558CE"/>
    <w:rsid w:val="17460160"/>
    <w:rsid w:val="174B7723"/>
    <w:rsid w:val="17594E38"/>
    <w:rsid w:val="175C5F2D"/>
    <w:rsid w:val="178E217A"/>
    <w:rsid w:val="17C57A86"/>
    <w:rsid w:val="180E4708"/>
    <w:rsid w:val="182C52BE"/>
    <w:rsid w:val="182D2923"/>
    <w:rsid w:val="18381785"/>
    <w:rsid w:val="185B13F9"/>
    <w:rsid w:val="185E1ECD"/>
    <w:rsid w:val="18772045"/>
    <w:rsid w:val="187E095C"/>
    <w:rsid w:val="189C3682"/>
    <w:rsid w:val="18B20FCE"/>
    <w:rsid w:val="18C8788D"/>
    <w:rsid w:val="18E32A7B"/>
    <w:rsid w:val="190A0907"/>
    <w:rsid w:val="19153875"/>
    <w:rsid w:val="191C3075"/>
    <w:rsid w:val="196172BC"/>
    <w:rsid w:val="19766863"/>
    <w:rsid w:val="19801C10"/>
    <w:rsid w:val="19831DC7"/>
    <w:rsid w:val="198A6011"/>
    <w:rsid w:val="199148E8"/>
    <w:rsid w:val="19957A1F"/>
    <w:rsid w:val="199826A2"/>
    <w:rsid w:val="1A0D6DB6"/>
    <w:rsid w:val="1A27385F"/>
    <w:rsid w:val="1A375AAD"/>
    <w:rsid w:val="1A680241"/>
    <w:rsid w:val="1A797E25"/>
    <w:rsid w:val="1A86178D"/>
    <w:rsid w:val="1A9C00AB"/>
    <w:rsid w:val="1AAF4DA4"/>
    <w:rsid w:val="1AE32516"/>
    <w:rsid w:val="1AFD32CD"/>
    <w:rsid w:val="1B045C3F"/>
    <w:rsid w:val="1B36527E"/>
    <w:rsid w:val="1B3A5427"/>
    <w:rsid w:val="1B4A4017"/>
    <w:rsid w:val="1B956AB3"/>
    <w:rsid w:val="1BAF4FD7"/>
    <w:rsid w:val="1BD07A41"/>
    <w:rsid w:val="1C0539A1"/>
    <w:rsid w:val="1C13053F"/>
    <w:rsid w:val="1C5E7E41"/>
    <w:rsid w:val="1C611A44"/>
    <w:rsid w:val="1C931452"/>
    <w:rsid w:val="1CAC64A5"/>
    <w:rsid w:val="1CCE7A3C"/>
    <w:rsid w:val="1CE4012E"/>
    <w:rsid w:val="1D17405F"/>
    <w:rsid w:val="1D27121F"/>
    <w:rsid w:val="1D545F62"/>
    <w:rsid w:val="1D550812"/>
    <w:rsid w:val="1D670DAF"/>
    <w:rsid w:val="1D961AAB"/>
    <w:rsid w:val="1DCD471E"/>
    <w:rsid w:val="1DF73736"/>
    <w:rsid w:val="1E153F13"/>
    <w:rsid w:val="1E4B3A17"/>
    <w:rsid w:val="1EBB4EBE"/>
    <w:rsid w:val="1EDF6241"/>
    <w:rsid w:val="1EF02DBA"/>
    <w:rsid w:val="1EF50E2C"/>
    <w:rsid w:val="1EFA136F"/>
    <w:rsid w:val="1F1A4831"/>
    <w:rsid w:val="1F3674A4"/>
    <w:rsid w:val="1F3A78BB"/>
    <w:rsid w:val="1F5654A6"/>
    <w:rsid w:val="1F6A2B6C"/>
    <w:rsid w:val="1F75023B"/>
    <w:rsid w:val="1F7A031D"/>
    <w:rsid w:val="1F7A75C4"/>
    <w:rsid w:val="1F8C72B0"/>
    <w:rsid w:val="1FA36E16"/>
    <w:rsid w:val="1FB35D44"/>
    <w:rsid w:val="1FDB75C6"/>
    <w:rsid w:val="20696AB7"/>
    <w:rsid w:val="20A00A01"/>
    <w:rsid w:val="20BC5B59"/>
    <w:rsid w:val="20E902CB"/>
    <w:rsid w:val="210E17D3"/>
    <w:rsid w:val="213F50B4"/>
    <w:rsid w:val="215B571C"/>
    <w:rsid w:val="21713662"/>
    <w:rsid w:val="219519F6"/>
    <w:rsid w:val="21C522EA"/>
    <w:rsid w:val="21F66836"/>
    <w:rsid w:val="22110519"/>
    <w:rsid w:val="22160D89"/>
    <w:rsid w:val="223718C4"/>
    <w:rsid w:val="224551CB"/>
    <w:rsid w:val="224D2C19"/>
    <w:rsid w:val="227106AC"/>
    <w:rsid w:val="227321C4"/>
    <w:rsid w:val="228B7208"/>
    <w:rsid w:val="228C1F46"/>
    <w:rsid w:val="22A068A5"/>
    <w:rsid w:val="22D27325"/>
    <w:rsid w:val="22E82F02"/>
    <w:rsid w:val="23681EC9"/>
    <w:rsid w:val="2390627A"/>
    <w:rsid w:val="23974CE6"/>
    <w:rsid w:val="23B95B4B"/>
    <w:rsid w:val="243376EE"/>
    <w:rsid w:val="24474BEB"/>
    <w:rsid w:val="245E7F9D"/>
    <w:rsid w:val="2462195D"/>
    <w:rsid w:val="2473437E"/>
    <w:rsid w:val="24A02B38"/>
    <w:rsid w:val="24C86E4A"/>
    <w:rsid w:val="24CA19B7"/>
    <w:rsid w:val="24CA251F"/>
    <w:rsid w:val="24F93D93"/>
    <w:rsid w:val="25001D8E"/>
    <w:rsid w:val="250139C8"/>
    <w:rsid w:val="25015C8D"/>
    <w:rsid w:val="25316DBC"/>
    <w:rsid w:val="25374B08"/>
    <w:rsid w:val="25755DC7"/>
    <w:rsid w:val="258C049F"/>
    <w:rsid w:val="259F2E44"/>
    <w:rsid w:val="25E16874"/>
    <w:rsid w:val="25F41E72"/>
    <w:rsid w:val="25F61E1E"/>
    <w:rsid w:val="26684698"/>
    <w:rsid w:val="267616F4"/>
    <w:rsid w:val="267E7EE2"/>
    <w:rsid w:val="269E3515"/>
    <w:rsid w:val="26C8412D"/>
    <w:rsid w:val="26D35A29"/>
    <w:rsid w:val="279D3E9C"/>
    <w:rsid w:val="27AC4934"/>
    <w:rsid w:val="27D368EF"/>
    <w:rsid w:val="27D50D9F"/>
    <w:rsid w:val="27E11438"/>
    <w:rsid w:val="27E162DF"/>
    <w:rsid w:val="28100029"/>
    <w:rsid w:val="2819068F"/>
    <w:rsid w:val="2831159F"/>
    <w:rsid w:val="28C22248"/>
    <w:rsid w:val="28E53263"/>
    <w:rsid w:val="28EC45F2"/>
    <w:rsid w:val="28FE2577"/>
    <w:rsid w:val="29197407"/>
    <w:rsid w:val="293F3248"/>
    <w:rsid w:val="295019C0"/>
    <w:rsid w:val="2964577C"/>
    <w:rsid w:val="2999706E"/>
    <w:rsid w:val="29BD1AEA"/>
    <w:rsid w:val="29E25CCA"/>
    <w:rsid w:val="29F01B4E"/>
    <w:rsid w:val="29F179E6"/>
    <w:rsid w:val="2AE52D81"/>
    <w:rsid w:val="2B5B15BB"/>
    <w:rsid w:val="2B734B48"/>
    <w:rsid w:val="2BD0363D"/>
    <w:rsid w:val="2C2A155C"/>
    <w:rsid w:val="2C561EEC"/>
    <w:rsid w:val="2C6E13AE"/>
    <w:rsid w:val="2CE767D6"/>
    <w:rsid w:val="2D074563"/>
    <w:rsid w:val="2D4A5287"/>
    <w:rsid w:val="2D67208B"/>
    <w:rsid w:val="2D7A6E9A"/>
    <w:rsid w:val="2DDD629F"/>
    <w:rsid w:val="2E09613E"/>
    <w:rsid w:val="2E437485"/>
    <w:rsid w:val="2E5F3401"/>
    <w:rsid w:val="2E8044A4"/>
    <w:rsid w:val="2E8A1F76"/>
    <w:rsid w:val="2EA202D7"/>
    <w:rsid w:val="2EAA79F7"/>
    <w:rsid w:val="2EC60BB1"/>
    <w:rsid w:val="2EDA46C4"/>
    <w:rsid w:val="2EF66244"/>
    <w:rsid w:val="2EFE0BDB"/>
    <w:rsid w:val="2F071DB4"/>
    <w:rsid w:val="2F244019"/>
    <w:rsid w:val="2F327185"/>
    <w:rsid w:val="2FBE5224"/>
    <w:rsid w:val="30010852"/>
    <w:rsid w:val="301D6B03"/>
    <w:rsid w:val="30596B25"/>
    <w:rsid w:val="30C20E8D"/>
    <w:rsid w:val="30DC344D"/>
    <w:rsid w:val="30E24DDB"/>
    <w:rsid w:val="30E618EA"/>
    <w:rsid w:val="30E6596A"/>
    <w:rsid w:val="30ED6EBE"/>
    <w:rsid w:val="31266E06"/>
    <w:rsid w:val="31303ABD"/>
    <w:rsid w:val="31360422"/>
    <w:rsid w:val="313F38FB"/>
    <w:rsid w:val="314B20D2"/>
    <w:rsid w:val="315D46CB"/>
    <w:rsid w:val="318C2A3B"/>
    <w:rsid w:val="31AF2BF4"/>
    <w:rsid w:val="31BF6929"/>
    <w:rsid w:val="31CB077D"/>
    <w:rsid w:val="31D03C89"/>
    <w:rsid w:val="31EC5663"/>
    <w:rsid w:val="320902DE"/>
    <w:rsid w:val="3264344B"/>
    <w:rsid w:val="328A6E09"/>
    <w:rsid w:val="32AC7386"/>
    <w:rsid w:val="32E763D3"/>
    <w:rsid w:val="32EB46F7"/>
    <w:rsid w:val="3320497C"/>
    <w:rsid w:val="336A0B90"/>
    <w:rsid w:val="341615CD"/>
    <w:rsid w:val="34291EBA"/>
    <w:rsid w:val="342B71FC"/>
    <w:rsid w:val="34366616"/>
    <w:rsid w:val="34437189"/>
    <w:rsid w:val="34437DE0"/>
    <w:rsid w:val="34A72A94"/>
    <w:rsid w:val="34F32864"/>
    <w:rsid w:val="35211D0E"/>
    <w:rsid w:val="35246ED2"/>
    <w:rsid w:val="354F336C"/>
    <w:rsid w:val="355210D0"/>
    <w:rsid w:val="361651B5"/>
    <w:rsid w:val="36452593"/>
    <w:rsid w:val="366B0FB7"/>
    <w:rsid w:val="36750F60"/>
    <w:rsid w:val="36B34424"/>
    <w:rsid w:val="36D466C5"/>
    <w:rsid w:val="36EA5A89"/>
    <w:rsid w:val="36F32FEF"/>
    <w:rsid w:val="37046FAB"/>
    <w:rsid w:val="371C2878"/>
    <w:rsid w:val="3720430A"/>
    <w:rsid w:val="374A385F"/>
    <w:rsid w:val="37511C4C"/>
    <w:rsid w:val="37682A67"/>
    <w:rsid w:val="37A023EF"/>
    <w:rsid w:val="37AF6CD2"/>
    <w:rsid w:val="380F0952"/>
    <w:rsid w:val="38211866"/>
    <w:rsid w:val="384761DC"/>
    <w:rsid w:val="384956BC"/>
    <w:rsid w:val="384E559F"/>
    <w:rsid w:val="388218D8"/>
    <w:rsid w:val="389A33CF"/>
    <w:rsid w:val="389C3C67"/>
    <w:rsid w:val="38AA6B44"/>
    <w:rsid w:val="38C74D5D"/>
    <w:rsid w:val="391101D2"/>
    <w:rsid w:val="39340ACC"/>
    <w:rsid w:val="393565A8"/>
    <w:rsid w:val="396F7468"/>
    <w:rsid w:val="397353CB"/>
    <w:rsid w:val="39772D95"/>
    <w:rsid w:val="39E24C0B"/>
    <w:rsid w:val="39FD2B64"/>
    <w:rsid w:val="3A237EAC"/>
    <w:rsid w:val="3A2F4904"/>
    <w:rsid w:val="3A3C6A5B"/>
    <w:rsid w:val="3A400359"/>
    <w:rsid w:val="3A6022D2"/>
    <w:rsid w:val="3A6C5666"/>
    <w:rsid w:val="3A791A5E"/>
    <w:rsid w:val="3A8C2A28"/>
    <w:rsid w:val="3A9D3900"/>
    <w:rsid w:val="3AA21583"/>
    <w:rsid w:val="3AAB2255"/>
    <w:rsid w:val="3ADA0651"/>
    <w:rsid w:val="3AED33A6"/>
    <w:rsid w:val="3B965493"/>
    <w:rsid w:val="3C345458"/>
    <w:rsid w:val="3C585DB9"/>
    <w:rsid w:val="3C590E34"/>
    <w:rsid w:val="3C735C71"/>
    <w:rsid w:val="3CB45D1C"/>
    <w:rsid w:val="3CC24379"/>
    <w:rsid w:val="3D124605"/>
    <w:rsid w:val="3D1E5F2E"/>
    <w:rsid w:val="3D51281E"/>
    <w:rsid w:val="3D6375C9"/>
    <w:rsid w:val="3D66752E"/>
    <w:rsid w:val="3D7477C9"/>
    <w:rsid w:val="3D832F6C"/>
    <w:rsid w:val="3D8355D3"/>
    <w:rsid w:val="3DAF2283"/>
    <w:rsid w:val="3DCE5637"/>
    <w:rsid w:val="3DDF7E2A"/>
    <w:rsid w:val="3DEA7988"/>
    <w:rsid w:val="3DF80EEB"/>
    <w:rsid w:val="3E510035"/>
    <w:rsid w:val="3E625925"/>
    <w:rsid w:val="3E742DDB"/>
    <w:rsid w:val="3E7560B2"/>
    <w:rsid w:val="3E832B8C"/>
    <w:rsid w:val="3E8A5EF5"/>
    <w:rsid w:val="3EA00548"/>
    <w:rsid w:val="3EA6208F"/>
    <w:rsid w:val="3EB86F6D"/>
    <w:rsid w:val="3ED3317C"/>
    <w:rsid w:val="3EF1250A"/>
    <w:rsid w:val="3F3B1055"/>
    <w:rsid w:val="3F4D0892"/>
    <w:rsid w:val="3F5E56C6"/>
    <w:rsid w:val="3F84512C"/>
    <w:rsid w:val="3F8B6965"/>
    <w:rsid w:val="3F960A1B"/>
    <w:rsid w:val="3FBB73C9"/>
    <w:rsid w:val="40032728"/>
    <w:rsid w:val="40353AA7"/>
    <w:rsid w:val="40552425"/>
    <w:rsid w:val="406330B7"/>
    <w:rsid w:val="406659D4"/>
    <w:rsid w:val="406F52BF"/>
    <w:rsid w:val="40B84D47"/>
    <w:rsid w:val="40C87655"/>
    <w:rsid w:val="40D140B5"/>
    <w:rsid w:val="40D53766"/>
    <w:rsid w:val="410822AE"/>
    <w:rsid w:val="41105E87"/>
    <w:rsid w:val="41886A2A"/>
    <w:rsid w:val="41C62E3A"/>
    <w:rsid w:val="41E965F5"/>
    <w:rsid w:val="420E5CD2"/>
    <w:rsid w:val="423D7335"/>
    <w:rsid w:val="42664BB6"/>
    <w:rsid w:val="42AB3D97"/>
    <w:rsid w:val="42F56DF0"/>
    <w:rsid w:val="431C04DF"/>
    <w:rsid w:val="435D51AB"/>
    <w:rsid w:val="4364272C"/>
    <w:rsid w:val="437C611B"/>
    <w:rsid w:val="438254A7"/>
    <w:rsid w:val="43AE32D9"/>
    <w:rsid w:val="43D63C39"/>
    <w:rsid w:val="43E07371"/>
    <w:rsid w:val="44011802"/>
    <w:rsid w:val="44AC0997"/>
    <w:rsid w:val="44B25A40"/>
    <w:rsid w:val="44B7378C"/>
    <w:rsid w:val="44C91833"/>
    <w:rsid w:val="44CB55AC"/>
    <w:rsid w:val="450B7FC6"/>
    <w:rsid w:val="451505D5"/>
    <w:rsid w:val="4521341D"/>
    <w:rsid w:val="453942C3"/>
    <w:rsid w:val="454871E1"/>
    <w:rsid w:val="45712FED"/>
    <w:rsid w:val="45D1241A"/>
    <w:rsid w:val="45D55AA5"/>
    <w:rsid w:val="45DC7897"/>
    <w:rsid w:val="45EB5E6A"/>
    <w:rsid w:val="461452CB"/>
    <w:rsid w:val="463A7640"/>
    <w:rsid w:val="466E0287"/>
    <w:rsid w:val="4674536F"/>
    <w:rsid w:val="46B42F90"/>
    <w:rsid w:val="46C67A90"/>
    <w:rsid w:val="470D1DC4"/>
    <w:rsid w:val="471E51AA"/>
    <w:rsid w:val="472B6F91"/>
    <w:rsid w:val="476E0C2F"/>
    <w:rsid w:val="4807663C"/>
    <w:rsid w:val="48124C91"/>
    <w:rsid w:val="4814271D"/>
    <w:rsid w:val="481B63C6"/>
    <w:rsid w:val="482507B5"/>
    <w:rsid w:val="483B59A8"/>
    <w:rsid w:val="484E4529"/>
    <w:rsid w:val="48883FAF"/>
    <w:rsid w:val="48DB77BF"/>
    <w:rsid w:val="48F06888"/>
    <w:rsid w:val="49322CB9"/>
    <w:rsid w:val="493A1BE1"/>
    <w:rsid w:val="495C6F05"/>
    <w:rsid w:val="49913F18"/>
    <w:rsid w:val="499B3E8C"/>
    <w:rsid w:val="4A0B211B"/>
    <w:rsid w:val="4A673417"/>
    <w:rsid w:val="4A930F0B"/>
    <w:rsid w:val="4A9D1F49"/>
    <w:rsid w:val="4ABC6B6C"/>
    <w:rsid w:val="4AD93481"/>
    <w:rsid w:val="4B306D59"/>
    <w:rsid w:val="4B3B5DB8"/>
    <w:rsid w:val="4B525B6F"/>
    <w:rsid w:val="4B596C8E"/>
    <w:rsid w:val="4BC0119A"/>
    <w:rsid w:val="4BC845E0"/>
    <w:rsid w:val="4BCB52A8"/>
    <w:rsid w:val="4BEE0D35"/>
    <w:rsid w:val="4C136147"/>
    <w:rsid w:val="4C3752D5"/>
    <w:rsid w:val="4C6C2A35"/>
    <w:rsid w:val="4CC402ED"/>
    <w:rsid w:val="4CFB24DA"/>
    <w:rsid w:val="4D075E19"/>
    <w:rsid w:val="4D407E56"/>
    <w:rsid w:val="4D616C23"/>
    <w:rsid w:val="4D6420F9"/>
    <w:rsid w:val="4D85197B"/>
    <w:rsid w:val="4DCE39AF"/>
    <w:rsid w:val="4DF43316"/>
    <w:rsid w:val="4E28149C"/>
    <w:rsid w:val="4E4A12EF"/>
    <w:rsid w:val="4E705957"/>
    <w:rsid w:val="4E727F06"/>
    <w:rsid w:val="4E7A3D43"/>
    <w:rsid w:val="4E9911BC"/>
    <w:rsid w:val="4EA115E0"/>
    <w:rsid w:val="4EA35395"/>
    <w:rsid w:val="4EC703E0"/>
    <w:rsid w:val="4ED4439C"/>
    <w:rsid w:val="4EEC578E"/>
    <w:rsid w:val="4F430EB3"/>
    <w:rsid w:val="4F827102"/>
    <w:rsid w:val="4F9E7CCA"/>
    <w:rsid w:val="4FF15EC7"/>
    <w:rsid w:val="500C5118"/>
    <w:rsid w:val="5019759F"/>
    <w:rsid w:val="504601DC"/>
    <w:rsid w:val="50576452"/>
    <w:rsid w:val="50655768"/>
    <w:rsid w:val="50723D8A"/>
    <w:rsid w:val="50E823D6"/>
    <w:rsid w:val="510C62EA"/>
    <w:rsid w:val="512D1D23"/>
    <w:rsid w:val="512E314A"/>
    <w:rsid w:val="51522536"/>
    <w:rsid w:val="51C160C4"/>
    <w:rsid w:val="51CD2F0F"/>
    <w:rsid w:val="51E657BD"/>
    <w:rsid w:val="51F02CB6"/>
    <w:rsid w:val="52014762"/>
    <w:rsid w:val="52220D7A"/>
    <w:rsid w:val="524F093C"/>
    <w:rsid w:val="5267525C"/>
    <w:rsid w:val="5288177F"/>
    <w:rsid w:val="52B665F5"/>
    <w:rsid w:val="52CE3ED6"/>
    <w:rsid w:val="52F96ACC"/>
    <w:rsid w:val="531133C7"/>
    <w:rsid w:val="53247CD4"/>
    <w:rsid w:val="53316F22"/>
    <w:rsid w:val="533A753E"/>
    <w:rsid w:val="536223FA"/>
    <w:rsid w:val="538319C4"/>
    <w:rsid w:val="53C47D96"/>
    <w:rsid w:val="53CC510F"/>
    <w:rsid w:val="53CF02CD"/>
    <w:rsid w:val="53DA1367"/>
    <w:rsid w:val="54314647"/>
    <w:rsid w:val="544D7446"/>
    <w:rsid w:val="54CD37CC"/>
    <w:rsid w:val="54DF20E2"/>
    <w:rsid w:val="54EF0E42"/>
    <w:rsid w:val="54F416B3"/>
    <w:rsid w:val="555E653C"/>
    <w:rsid w:val="556257B9"/>
    <w:rsid w:val="55990BA9"/>
    <w:rsid w:val="55EC5382"/>
    <w:rsid w:val="55FB1948"/>
    <w:rsid w:val="56116B96"/>
    <w:rsid w:val="561454D8"/>
    <w:rsid w:val="56385CF2"/>
    <w:rsid w:val="5644548A"/>
    <w:rsid w:val="56450BEE"/>
    <w:rsid w:val="564B683B"/>
    <w:rsid w:val="56766BEA"/>
    <w:rsid w:val="568127DC"/>
    <w:rsid w:val="568C7B87"/>
    <w:rsid w:val="568E6439"/>
    <w:rsid w:val="56911EA5"/>
    <w:rsid w:val="569451A6"/>
    <w:rsid w:val="56A75AEB"/>
    <w:rsid w:val="572D35E6"/>
    <w:rsid w:val="573E766F"/>
    <w:rsid w:val="57661158"/>
    <w:rsid w:val="57870BC6"/>
    <w:rsid w:val="583E3A5A"/>
    <w:rsid w:val="5841471C"/>
    <w:rsid w:val="58460EE3"/>
    <w:rsid w:val="585A57CC"/>
    <w:rsid w:val="58796074"/>
    <w:rsid w:val="58871D28"/>
    <w:rsid w:val="58A93115"/>
    <w:rsid w:val="58D2142B"/>
    <w:rsid w:val="59175852"/>
    <w:rsid w:val="593E407D"/>
    <w:rsid w:val="594E6328"/>
    <w:rsid w:val="595F6B5F"/>
    <w:rsid w:val="599C00E4"/>
    <w:rsid w:val="59DB3743"/>
    <w:rsid w:val="59E3084A"/>
    <w:rsid w:val="5A7E1016"/>
    <w:rsid w:val="5ABF282E"/>
    <w:rsid w:val="5AEE6194"/>
    <w:rsid w:val="5B790776"/>
    <w:rsid w:val="5BCD2D42"/>
    <w:rsid w:val="5BFA37C8"/>
    <w:rsid w:val="5C0C30A9"/>
    <w:rsid w:val="5C111FC8"/>
    <w:rsid w:val="5C1473E0"/>
    <w:rsid w:val="5C246B2C"/>
    <w:rsid w:val="5C4211A9"/>
    <w:rsid w:val="5C49084E"/>
    <w:rsid w:val="5C842ABA"/>
    <w:rsid w:val="5CBC2305"/>
    <w:rsid w:val="5CF66C96"/>
    <w:rsid w:val="5D4E646B"/>
    <w:rsid w:val="5DA17670"/>
    <w:rsid w:val="5DC50372"/>
    <w:rsid w:val="5DF23751"/>
    <w:rsid w:val="5DFF43DE"/>
    <w:rsid w:val="5E211531"/>
    <w:rsid w:val="5E3B75FD"/>
    <w:rsid w:val="5EA26F25"/>
    <w:rsid w:val="5EC428DB"/>
    <w:rsid w:val="5ED509A5"/>
    <w:rsid w:val="5EF7101F"/>
    <w:rsid w:val="5F1228CC"/>
    <w:rsid w:val="5F1A0FD8"/>
    <w:rsid w:val="5F231C25"/>
    <w:rsid w:val="5FCA6EB5"/>
    <w:rsid w:val="5FCF3D4A"/>
    <w:rsid w:val="5FFC02EC"/>
    <w:rsid w:val="5FFE53D0"/>
    <w:rsid w:val="6023339D"/>
    <w:rsid w:val="603737DD"/>
    <w:rsid w:val="60567FC7"/>
    <w:rsid w:val="60702C40"/>
    <w:rsid w:val="60884FB9"/>
    <w:rsid w:val="609C67F0"/>
    <w:rsid w:val="60EF2757"/>
    <w:rsid w:val="610A7DBC"/>
    <w:rsid w:val="611D00EF"/>
    <w:rsid w:val="61432D9A"/>
    <w:rsid w:val="614E6EF1"/>
    <w:rsid w:val="6166423A"/>
    <w:rsid w:val="619F7A9A"/>
    <w:rsid w:val="61E04298"/>
    <w:rsid w:val="620A075F"/>
    <w:rsid w:val="621974FF"/>
    <w:rsid w:val="622B128F"/>
    <w:rsid w:val="62400005"/>
    <w:rsid w:val="624126D0"/>
    <w:rsid w:val="62BD4921"/>
    <w:rsid w:val="62D54756"/>
    <w:rsid w:val="62D8406E"/>
    <w:rsid w:val="631250C8"/>
    <w:rsid w:val="632E6981"/>
    <w:rsid w:val="63447021"/>
    <w:rsid w:val="6362757D"/>
    <w:rsid w:val="63733AA8"/>
    <w:rsid w:val="63BA4CBB"/>
    <w:rsid w:val="63E75A88"/>
    <w:rsid w:val="6402578D"/>
    <w:rsid w:val="64203DB7"/>
    <w:rsid w:val="64252661"/>
    <w:rsid w:val="64486F95"/>
    <w:rsid w:val="64A56B97"/>
    <w:rsid w:val="64A85D79"/>
    <w:rsid w:val="64AE26C6"/>
    <w:rsid w:val="64E556A9"/>
    <w:rsid w:val="64ED07CF"/>
    <w:rsid w:val="64F87A99"/>
    <w:rsid w:val="64FA53BB"/>
    <w:rsid w:val="64FD5FA7"/>
    <w:rsid w:val="65095591"/>
    <w:rsid w:val="65144757"/>
    <w:rsid w:val="652D27EE"/>
    <w:rsid w:val="654404B1"/>
    <w:rsid w:val="654E0736"/>
    <w:rsid w:val="655B553D"/>
    <w:rsid w:val="65607EBC"/>
    <w:rsid w:val="657513D6"/>
    <w:rsid w:val="659E2A46"/>
    <w:rsid w:val="65AF0979"/>
    <w:rsid w:val="65B51D67"/>
    <w:rsid w:val="65C936A6"/>
    <w:rsid w:val="65DB6D58"/>
    <w:rsid w:val="65E81919"/>
    <w:rsid w:val="66455C4A"/>
    <w:rsid w:val="66C01E90"/>
    <w:rsid w:val="66CA0D51"/>
    <w:rsid w:val="66D02156"/>
    <w:rsid w:val="66FE3167"/>
    <w:rsid w:val="671850B3"/>
    <w:rsid w:val="67378CB7"/>
    <w:rsid w:val="67417141"/>
    <w:rsid w:val="67983ABC"/>
    <w:rsid w:val="67BF1B44"/>
    <w:rsid w:val="67D02A2A"/>
    <w:rsid w:val="683E2F8B"/>
    <w:rsid w:val="68520577"/>
    <w:rsid w:val="687C2D74"/>
    <w:rsid w:val="68811093"/>
    <w:rsid w:val="68BB03CC"/>
    <w:rsid w:val="68BC1203"/>
    <w:rsid w:val="68D77A31"/>
    <w:rsid w:val="68F064E9"/>
    <w:rsid w:val="691177C7"/>
    <w:rsid w:val="695C2B81"/>
    <w:rsid w:val="695E7EE9"/>
    <w:rsid w:val="696D441A"/>
    <w:rsid w:val="698024FA"/>
    <w:rsid w:val="69872FA0"/>
    <w:rsid w:val="69B0517D"/>
    <w:rsid w:val="6A2429FA"/>
    <w:rsid w:val="6AAB4CB0"/>
    <w:rsid w:val="6B0967D2"/>
    <w:rsid w:val="6B171A04"/>
    <w:rsid w:val="6B561487"/>
    <w:rsid w:val="6B6364BD"/>
    <w:rsid w:val="6B6926E0"/>
    <w:rsid w:val="6B817C03"/>
    <w:rsid w:val="6B8F555B"/>
    <w:rsid w:val="6B916358"/>
    <w:rsid w:val="6BAC7798"/>
    <w:rsid w:val="6BBB05FB"/>
    <w:rsid w:val="6BF73767"/>
    <w:rsid w:val="6C6A0E2B"/>
    <w:rsid w:val="6C6B584D"/>
    <w:rsid w:val="6C964109"/>
    <w:rsid w:val="6CA87DFD"/>
    <w:rsid w:val="6CB34B3B"/>
    <w:rsid w:val="6CE772EA"/>
    <w:rsid w:val="6CF471E3"/>
    <w:rsid w:val="6CF5088D"/>
    <w:rsid w:val="6CF71B3F"/>
    <w:rsid w:val="6CF952B4"/>
    <w:rsid w:val="6D0B1D5B"/>
    <w:rsid w:val="6D3135F4"/>
    <w:rsid w:val="6D602485"/>
    <w:rsid w:val="6DA22F30"/>
    <w:rsid w:val="6DAF7423"/>
    <w:rsid w:val="6E0779DC"/>
    <w:rsid w:val="6E0A2842"/>
    <w:rsid w:val="6E3222C6"/>
    <w:rsid w:val="6E3C417A"/>
    <w:rsid w:val="6E8B16E4"/>
    <w:rsid w:val="6E9B7109"/>
    <w:rsid w:val="6ED962E7"/>
    <w:rsid w:val="6F125ADD"/>
    <w:rsid w:val="6F356DDA"/>
    <w:rsid w:val="6F59550F"/>
    <w:rsid w:val="6F753DFA"/>
    <w:rsid w:val="6F8D6E36"/>
    <w:rsid w:val="6FB7683A"/>
    <w:rsid w:val="6FCA1239"/>
    <w:rsid w:val="6FD4771A"/>
    <w:rsid w:val="702A6C39"/>
    <w:rsid w:val="706B1A0E"/>
    <w:rsid w:val="70757707"/>
    <w:rsid w:val="708C5396"/>
    <w:rsid w:val="70970597"/>
    <w:rsid w:val="70B61536"/>
    <w:rsid w:val="70D340B6"/>
    <w:rsid w:val="70EB475C"/>
    <w:rsid w:val="70ED76C7"/>
    <w:rsid w:val="70FD48F5"/>
    <w:rsid w:val="710E1AF9"/>
    <w:rsid w:val="711D5A16"/>
    <w:rsid w:val="715A7A98"/>
    <w:rsid w:val="715E0807"/>
    <w:rsid w:val="71753CA0"/>
    <w:rsid w:val="717906ED"/>
    <w:rsid w:val="71AF2002"/>
    <w:rsid w:val="71B27028"/>
    <w:rsid w:val="72297139"/>
    <w:rsid w:val="722B08F1"/>
    <w:rsid w:val="723B30F9"/>
    <w:rsid w:val="724A3704"/>
    <w:rsid w:val="72803F57"/>
    <w:rsid w:val="72960D09"/>
    <w:rsid w:val="72B240D9"/>
    <w:rsid w:val="72C35F13"/>
    <w:rsid w:val="72CA21FE"/>
    <w:rsid w:val="72FA2F75"/>
    <w:rsid w:val="72FE2F74"/>
    <w:rsid w:val="73013330"/>
    <w:rsid w:val="730D1A7F"/>
    <w:rsid w:val="732F6B4F"/>
    <w:rsid w:val="735E35D8"/>
    <w:rsid w:val="736B3932"/>
    <w:rsid w:val="73880BCD"/>
    <w:rsid w:val="7388368D"/>
    <w:rsid w:val="7391343C"/>
    <w:rsid w:val="73981611"/>
    <w:rsid w:val="73E31BE1"/>
    <w:rsid w:val="7404785C"/>
    <w:rsid w:val="740E1BEA"/>
    <w:rsid w:val="740F729D"/>
    <w:rsid w:val="74220495"/>
    <w:rsid w:val="74260706"/>
    <w:rsid w:val="743A7791"/>
    <w:rsid w:val="74D85048"/>
    <w:rsid w:val="74DE41A5"/>
    <w:rsid w:val="74F35D48"/>
    <w:rsid w:val="75226DAD"/>
    <w:rsid w:val="75281F95"/>
    <w:rsid w:val="755820BB"/>
    <w:rsid w:val="75747E57"/>
    <w:rsid w:val="757D534F"/>
    <w:rsid w:val="7589197D"/>
    <w:rsid w:val="75AB1644"/>
    <w:rsid w:val="75B86BA4"/>
    <w:rsid w:val="75C23B36"/>
    <w:rsid w:val="75E858CF"/>
    <w:rsid w:val="761D3C95"/>
    <w:rsid w:val="761D6CDC"/>
    <w:rsid w:val="76361FD5"/>
    <w:rsid w:val="7650389E"/>
    <w:rsid w:val="76593F16"/>
    <w:rsid w:val="766D6E7A"/>
    <w:rsid w:val="767D6EE6"/>
    <w:rsid w:val="76B5566B"/>
    <w:rsid w:val="76BD7F94"/>
    <w:rsid w:val="76C0086F"/>
    <w:rsid w:val="76C44A92"/>
    <w:rsid w:val="76D26D4E"/>
    <w:rsid w:val="77140608"/>
    <w:rsid w:val="771728F8"/>
    <w:rsid w:val="772636E9"/>
    <w:rsid w:val="77A13FDF"/>
    <w:rsid w:val="77A22BF4"/>
    <w:rsid w:val="77D72EF4"/>
    <w:rsid w:val="780F3AA6"/>
    <w:rsid w:val="7810510F"/>
    <w:rsid w:val="781F337D"/>
    <w:rsid w:val="78244A5D"/>
    <w:rsid w:val="7826045F"/>
    <w:rsid w:val="78837E34"/>
    <w:rsid w:val="789D5DA5"/>
    <w:rsid w:val="78AD18DE"/>
    <w:rsid w:val="78E75DA3"/>
    <w:rsid w:val="78F971DB"/>
    <w:rsid w:val="78FE08A5"/>
    <w:rsid w:val="791F174B"/>
    <w:rsid w:val="794175E4"/>
    <w:rsid w:val="794403D0"/>
    <w:rsid w:val="79687467"/>
    <w:rsid w:val="798A28B4"/>
    <w:rsid w:val="79955969"/>
    <w:rsid w:val="79983E20"/>
    <w:rsid w:val="79D9517B"/>
    <w:rsid w:val="79F74697"/>
    <w:rsid w:val="7A0676A2"/>
    <w:rsid w:val="7A281E19"/>
    <w:rsid w:val="7A4F53D5"/>
    <w:rsid w:val="7A625229"/>
    <w:rsid w:val="7A6624AB"/>
    <w:rsid w:val="7ADB48B0"/>
    <w:rsid w:val="7B152CE2"/>
    <w:rsid w:val="7B387814"/>
    <w:rsid w:val="7BA52143"/>
    <w:rsid w:val="7BD05EC4"/>
    <w:rsid w:val="7BE14791"/>
    <w:rsid w:val="7BE252E1"/>
    <w:rsid w:val="7C18217D"/>
    <w:rsid w:val="7C2610D5"/>
    <w:rsid w:val="7C632D86"/>
    <w:rsid w:val="7C83492B"/>
    <w:rsid w:val="7C985B01"/>
    <w:rsid w:val="7CA37C99"/>
    <w:rsid w:val="7CF46F83"/>
    <w:rsid w:val="7D073EA8"/>
    <w:rsid w:val="7D3B4375"/>
    <w:rsid w:val="7D3C0898"/>
    <w:rsid w:val="7D473285"/>
    <w:rsid w:val="7D746231"/>
    <w:rsid w:val="7D867805"/>
    <w:rsid w:val="7DAF714D"/>
    <w:rsid w:val="7DB3477D"/>
    <w:rsid w:val="7DC64DD6"/>
    <w:rsid w:val="7DF21AFA"/>
    <w:rsid w:val="7E3C7D0D"/>
    <w:rsid w:val="7E3F45C2"/>
    <w:rsid w:val="7E6C50BF"/>
    <w:rsid w:val="7EAC05F7"/>
    <w:rsid w:val="7EE07A0E"/>
    <w:rsid w:val="7F48034D"/>
    <w:rsid w:val="7F582BD6"/>
    <w:rsid w:val="7F6649C2"/>
    <w:rsid w:val="7F715E01"/>
    <w:rsid w:val="7FB65F35"/>
    <w:rsid w:val="7FD962A0"/>
    <w:rsid w:val="7FFA6AB4"/>
    <w:rsid w:val="AD818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9"/>
    <w:qFormat/>
    <w:uiPriority w:val="0"/>
    <w:pPr>
      <w:snapToGrid w:val="0"/>
      <w:spacing w:before="50" w:beforeLines="50" w:after="50" w:afterLines="50" w:line="240" w:lineRule="auto"/>
      <w:jc w:val="left"/>
      <w:outlineLvl w:val="0"/>
    </w:pPr>
    <w:rPr>
      <w:rFonts w:ascii="宋体" w:hAnsi="宋体" w:eastAsia="黑体"/>
      <w:b/>
      <w:sz w:val="28"/>
      <w:szCs w:val="44"/>
    </w:rPr>
  </w:style>
  <w:style w:type="paragraph" w:styleId="3">
    <w:name w:val="heading 2"/>
    <w:basedOn w:val="1"/>
    <w:next w:val="1"/>
    <w:link w:val="55"/>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0"/>
    <w:pPr>
      <w:keepNext/>
      <w:keepLines/>
      <w:widowControl/>
      <w:spacing w:after="104" w:line="256" w:lineRule="auto"/>
      <w:ind w:left="10" w:hanging="10"/>
      <w:jc w:val="left"/>
      <w:outlineLvl w:val="3"/>
    </w:pPr>
    <w:rPr>
      <w:rFonts w:hint="eastAsia" w:ascii="微软雅黑" w:hAnsi="微软雅黑" w:eastAsia="微软雅黑"/>
      <w:color w:val="000000"/>
      <w:sz w:val="30"/>
      <w:szCs w:val="22"/>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440"/>
      <w:jc w:val="left"/>
    </w:pPr>
    <w:rPr>
      <w:rFonts w:ascii="等线" w:eastAsia="等线"/>
      <w:sz w:val="20"/>
      <w:szCs w:val="20"/>
    </w:rPr>
  </w:style>
  <w:style w:type="paragraph" w:styleId="7">
    <w:name w:val="index 8"/>
    <w:basedOn w:val="1"/>
    <w:next w:val="1"/>
    <w:qFormat/>
    <w:uiPriority w:val="0"/>
    <w:pPr>
      <w:ind w:left="1680" w:hanging="210"/>
    </w:pPr>
  </w:style>
  <w:style w:type="paragraph" w:styleId="8">
    <w:name w:val="index 5"/>
    <w:basedOn w:val="1"/>
    <w:next w:val="1"/>
    <w:qFormat/>
    <w:uiPriority w:val="0"/>
    <w:pPr>
      <w:ind w:left="1050" w:hanging="210"/>
    </w:pPr>
  </w:style>
  <w:style w:type="paragraph" w:styleId="9">
    <w:name w:val="Document Map"/>
    <w:basedOn w:val="1"/>
    <w:link w:val="51"/>
    <w:qFormat/>
    <w:uiPriority w:val="0"/>
  </w:style>
  <w:style w:type="paragraph" w:styleId="10">
    <w:name w:val="annotation text"/>
    <w:basedOn w:val="1"/>
    <w:link w:val="57"/>
    <w:qFormat/>
    <w:uiPriority w:val="0"/>
    <w:pPr>
      <w:jc w:val="left"/>
    </w:pPr>
  </w:style>
  <w:style w:type="paragraph" w:styleId="11">
    <w:name w:val="index 6"/>
    <w:basedOn w:val="1"/>
    <w:next w:val="1"/>
    <w:qFormat/>
    <w:uiPriority w:val="0"/>
    <w:pPr>
      <w:ind w:left="1260" w:hanging="210"/>
    </w:pPr>
  </w:style>
  <w:style w:type="paragraph" w:styleId="12">
    <w:name w:val="Salutation"/>
    <w:basedOn w:val="1"/>
    <w:next w:val="1"/>
    <w:qFormat/>
    <w:uiPriority w:val="0"/>
  </w:style>
  <w:style w:type="paragraph" w:styleId="13">
    <w:name w:val="Body Text"/>
    <w:basedOn w:val="1"/>
    <w:next w:val="1"/>
    <w:qFormat/>
    <w:uiPriority w:val="0"/>
    <w:pPr>
      <w:spacing w:after="120" w:afterLines="0" w:afterAutospacing="0"/>
    </w:pPr>
  </w:style>
  <w:style w:type="paragraph" w:styleId="14">
    <w:name w:val="Body Text Indent"/>
    <w:basedOn w:val="1"/>
    <w:next w:val="15"/>
    <w:qFormat/>
    <w:uiPriority w:val="0"/>
    <w:pPr>
      <w:ind w:left="482"/>
    </w:pPr>
    <w:rPr>
      <w:rFonts w:ascii="宋体" w:hAnsi="宋体"/>
      <w:b/>
      <w:bCs/>
    </w:rPr>
  </w:style>
  <w:style w:type="paragraph" w:styleId="15">
    <w:name w:val="Body Text First Indent 2"/>
    <w:basedOn w:val="14"/>
    <w:next w:val="16"/>
    <w:qFormat/>
    <w:uiPriority w:val="0"/>
    <w:pPr>
      <w:ind w:firstLine="420"/>
    </w:pPr>
  </w:style>
  <w:style w:type="paragraph" w:styleId="16">
    <w:name w:val="Plain Text"/>
    <w:basedOn w:val="1"/>
    <w:qFormat/>
    <w:uiPriority w:val="0"/>
    <w:rPr>
      <w:rFonts w:ascii="宋体" w:hAnsi="Courier New"/>
      <w:sz w:val="21"/>
      <w:szCs w:val="21"/>
    </w:rPr>
  </w:style>
  <w:style w:type="paragraph" w:styleId="17">
    <w:name w:val="index 4"/>
    <w:basedOn w:val="1"/>
    <w:next w:val="1"/>
    <w:qFormat/>
    <w:uiPriority w:val="0"/>
    <w:pPr>
      <w:ind w:left="840" w:hanging="210"/>
    </w:pPr>
  </w:style>
  <w:style w:type="paragraph" w:styleId="18">
    <w:name w:val="toc 5"/>
    <w:basedOn w:val="1"/>
    <w:next w:val="1"/>
    <w:qFormat/>
    <w:uiPriority w:val="0"/>
    <w:pPr>
      <w:ind w:left="960"/>
      <w:jc w:val="left"/>
    </w:pPr>
    <w:rPr>
      <w:rFonts w:ascii="等线" w:eastAsia="等线"/>
      <w:sz w:val="20"/>
      <w:szCs w:val="20"/>
    </w:rPr>
  </w:style>
  <w:style w:type="paragraph" w:styleId="19">
    <w:name w:val="toc 3"/>
    <w:basedOn w:val="1"/>
    <w:next w:val="1"/>
    <w:unhideWhenUsed/>
    <w:qFormat/>
    <w:uiPriority w:val="39"/>
    <w:pPr>
      <w:ind w:left="480"/>
      <w:jc w:val="left"/>
    </w:pPr>
    <w:rPr>
      <w:rFonts w:ascii="等线" w:eastAsia="等线"/>
      <w:sz w:val="22"/>
      <w:szCs w:val="22"/>
    </w:rPr>
  </w:style>
  <w:style w:type="paragraph" w:styleId="20">
    <w:name w:val="toc 8"/>
    <w:basedOn w:val="1"/>
    <w:next w:val="1"/>
    <w:qFormat/>
    <w:uiPriority w:val="0"/>
    <w:pPr>
      <w:ind w:left="1680"/>
      <w:jc w:val="left"/>
    </w:pPr>
    <w:rPr>
      <w:rFonts w:ascii="等线" w:eastAsia="等线"/>
      <w:sz w:val="20"/>
      <w:szCs w:val="20"/>
    </w:rPr>
  </w:style>
  <w:style w:type="paragraph" w:styleId="21">
    <w:name w:val="index 3"/>
    <w:basedOn w:val="1"/>
    <w:next w:val="1"/>
    <w:qFormat/>
    <w:uiPriority w:val="0"/>
    <w:pPr>
      <w:ind w:left="630" w:hanging="210"/>
    </w:pPr>
  </w:style>
  <w:style w:type="paragraph" w:styleId="22">
    <w:name w:val="Body Text Indent 2"/>
    <w:basedOn w:val="1"/>
    <w:qFormat/>
    <w:uiPriority w:val="0"/>
    <w:pPr>
      <w:ind w:firstLine="570"/>
    </w:pPr>
    <w:rPr>
      <w:rFonts w:ascii="楷体_GB2312" w:eastAsia="楷体_GB2312"/>
      <w:szCs w:val="20"/>
    </w:rPr>
  </w:style>
  <w:style w:type="paragraph" w:styleId="23">
    <w:name w:val="Balloon Text"/>
    <w:basedOn w:val="1"/>
    <w:link w:val="56"/>
    <w:qFormat/>
    <w:uiPriority w:val="0"/>
    <w:pPr>
      <w:spacing w:line="240" w:lineRule="auto"/>
    </w:pPr>
    <w:rPr>
      <w:sz w:val="18"/>
      <w:szCs w:val="18"/>
    </w:rPr>
  </w:style>
  <w:style w:type="paragraph" w:styleId="24">
    <w:name w:val="footer"/>
    <w:basedOn w:val="1"/>
    <w:qFormat/>
    <w:uiPriority w:val="0"/>
    <w:pPr>
      <w:tabs>
        <w:tab w:val="center" w:pos="4153"/>
        <w:tab w:val="right" w:pos="8306"/>
      </w:tabs>
      <w:snapToGrid w:val="0"/>
      <w:jc w:val="left"/>
    </w:pPr>
    <w:rPr>
      <w:sz w:val="18"/>
      <w:szCs w:val="18"/>
    </w:rPr>
  </w:style>
  <w:style w:type="paragraph" w:styleId="25">
    <w:name w:val="header"/>
    <w:basedOn w:val="1"/>
    <w:link w:val="5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spacing w:before="120"/>
      <w:jc w:val="left"/>
    </w:pPr>
    <w:rPr>
      <w:rFonts w:ascii="等线" w:eastAsia="等线"/>
      <w:b/>
      <w:bCs/>
    </w:rPr>
  </w:style>
  <w:style w:type="paragraph" w:styleId="27">
    <w:name w:val="toc 4"/>
    <w:basedOn w:val="1"/>
    <w:next w:val="1"/>
    <w:qFormat/>
    <w:uiPriority w:val="0"/>
    <w:pPr>
      <w:ind w:left="720"/>
      <w:jc w:val="left"/>
    </w:pPr>
    <w:rPr>
      <w:rFonts w:ascii="等线" w:eastAsia="等线"/>
      <w:sz w:val="20"/>
      <w:szCs w:val="20"/>
    </w:rPr>
  </w:style>
  <w:style w:type="paragraph" w:styleId="28">
    <w:name w:val="index heading"/>
    <w:basedOn w:val="1"/>
    <w:next w:val="29"/>
    <w:qFormat/>
    <w:uiPriority w:val="0"/>
  </w:style>
  <w:style w:type="paragraph" w:styleId="29">
    <w:name w:val="index 1"/>
    <w:basedOn w:val="1"/>
    <w:next w:val="1"/>
    <w:qFormat/>
    <w:uiPriority w:val="0"/>
    <w:pPr>
      <w:ind w:left="210" w:hanging="210"/>
    </w:pPr>
  </w:style>
  <w:style w:type="paragraph" w:styleId="30">
    <w:name w:val="footnote text"/>
    <w:basedOn w:val="1"/>
    <w:link w:val="47"/>
    <w:qFormat/>
    <w:uiPriority w:val="0"/>
    <w:pPr>
      <w:snapToGrid w:val="0"/>
      <w:jc w:val="left"/>
    </w:pPr>
    <w:rPr>
      <w:sz w:val="18"/>
      <w:szCs w:val="18"/>
    </w:rPr>
  </w:style>
  <w:style w:type="paragraph" w:styleId="31">
    <w:name w:val="toc 6"/>
    <w:basedOn w:val="1"/>
    <w:next w:val="1"/>
    <w:qFormat/>
    <w:uiPriority w:val="0"/>
    <w:pPr>
      <w:ind w:left="1200"/>
      <w:jc w:val="left"/>
    </w:pPr>
    <w:rPr>
      <w:rFonts w:ascii="等线" w:eastAsia="等线"/>
      <w:sz w:val="20"/>
      <w:szCs w:val="20"/>
    </w:rPr>
  </w:style>
  <w:style w:type="paragraph" w:styleId="32">
    <w:name w:val="index 7"/>
    <w:basedOn w:val="1"/>
    <w:next w:val="1"/>
    <w:qFormat/>
    <w:uiPriority w:val="0"/>
    <w:pPr>
      <w:ind w:left="1470" w:hanging="210"/>
    </w:pPr>
  </w:style>
  <w:style w:type="paragraph" w:styleId="33">
    <w:name w:val="index 9"/>
    <w:basedOn w:val="1"/>
    <w:next w:val="1"/>
    <w:qFormat/>
    <w:uiPriority w:val="0"/>
    <w:pPr>
      <w:ind w:left="1890" w:hanging="210"/>
    </w:pPr>
  </w:style>
  <w:style w:type="paragraph" w:styleId="34">
    <w:name w:val="table of figures"/>
    <w:basedOn w:val="1"/>
    <w:next w:val="1"/>
    <w:qFormat/>
    <w:uiPriority w:val="0"/>
    <w:pPr>
      <w:ind w:left="420" w:hanging="420"/>
    </w:pPr>
  </w:style>
  <w:style w:type="paragraph" w:styleId="35">
    <w:name w:val="toc 2"/>
    <w:basedOn w:val="1"/>
    <w:next w:val="1"/>
    <w:unhideWhenUsed/>
    <w:qFormat/>
    <w:uiPriority w:val="39"/>
    <w:pPr>
      <w:ind w:left="240"/>
      <w:jc w:val="left"/>
    </w:pPr>
    <w:rPr>
      <w:rFonts w:ascii="等线" w:eastAsia="等线"/>
      <w:b/>
      <w:bCs/>
      <w:sz w:val="22"/>
      <w:szCs w:val="22"/>
    </w:rPr>
  </w:style>
  <w:style w:type="paragraph" w:styleId="36">
    <w:name w:val="toc 9"/>
    <w:basedOn w:val="1"/>
    <w:next w:val="1"/>
    <w:qFormat/>
    <w:uiPriority w:val="0"/>
    <w:pPr>
      <w:ind w:left="1920"/>
      <w:jc w:val="left"/>
    </w:pPr>
    <w:rPr>
      <w:rFonts w:ascii="等线" w:eastAsia="等线"/>
      <w:sz w:val="20"/>
      <w:szCs w:val="20"/>
    </w:rPr>
  </w:style>
  <w:style w:type="paragraph" w:styleId="37">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rPr>
  </w:style>
  <w:style w:type="paragraph" w:styleId="38">
    <w:name w:val="index 2"/>
    <w:basedOn w:val="1"/>
    <w:next w:val="1"/>
    <w:qFormat/>
    <w:uiPriority w:val="0"/>
    <w:pPr>
      <w:ind w:left="420" w:hanging="210"/>
    </w:pPr>
  </w:style>
  <w:style w:type="paragraph" w:styleId="39">
    <w:name w:val="annotation subject"/>
    <w:basedOn w:val="10"/>
    <w:next w:val="10"/>
    <w:link w:val="60"/>
    <w:qFormat/>
    <w:uiPriority w:val="0"/>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unhideWhenUsed/>
    <w:qFormat/>
    <w:uiPriority w:val="99"/>
    <w:rPr>
      <w:color w:val="0563C1"/>
      <w:u w:val="single"/>
    </w:rPr>
  </w:style>
  <w:style w:type="character" w:styleId="45">
    <w:name w:val="annotation reference"/>
    <w:qFormat/>
    <w:uiPriority w:val="0"/>
    <w:rPr>
      <w:sz w:val="21"/>
      <w:szCs w:val="21"/>
    </w:rPr>
  </w:style>
  <w:style w:type="character" w:styleId="46">
    <w:name w:val="footnote reference"/>
    <w:qFormat/>
    <w:uiPriority w:val="0"/>
    <w:rPr>
      <w:vertAlign w:val="superscript"/>
    </w:rPr>
  </w:style>
  <w:style w:type="character" w:customStyle="1" w:styleId="47">
    <w:name w:val="脚注文本 字符"/>
    <w:link w:val="30"/>
    <w:qFormat/>
    <w:uiPriority w:val="0"/>
    <w:rPr>
      <w:kern w:val="2"/>
      <w:sz w:val="18"/>
      <w:szCs w:val="18"/>
    </w:rPr>
  </w:style>
  <w:style w:type="character" w:customStyle="1" w:styleId="48">
    <w:name w:val="font41"/>
    <w:qFormat/>
    <w:uiPriority w:val="0"/>
    <w:rPr>
      <w:rFonts w:hint="eastAsia" w:ascii="宋体" w:hAnsi="宋体" w:eastAsia="宋体" w:cs="宋体"/>
      <w:color w:val="000000"/>
      <w:sz w:val="16"/>
      <w:szCs w:val="16"/>
      <w:u w:val="none"/>
    </w:rPr>
  </w:style>
  <w:style w:type="character" w:customStyle="1" w:styleId="49">
    <w:name w:val="标题 1 字符"/>
    <w:link w:val="2"/>
    <w:qFormat/>
    <w:uiPriority w:val="0"/>
    <w:rPr>
      <w:rFonts w:ascii="宋体" w:hAnsi="宋体" w:eastAsia="黑体"/>
      <w:b/>
      <w:kern w:val="2"/>
      <w:sz w:val="28"/>
      <w:szCs w:val="44"/>
    </w:rPr>
  </w:style>
  <w:style w:type="character" w:customStyle="1" w:styleId="50">
    <w:name w:val="标题 3 字符"/>
    <w:link w:val="4"/>
    <w:semiHidden/>
    <w:qFormat/>
    <w:uiPriority w:val="0"/>
    <w:rPr>
      <w:b/>
      <w:bCs/>
      <w:kern w:val="2"/>
      <w:sz w:val="32"/>
      <w:szCs w:val="32"/>
    </w:rPr>
  </w:style>
  <w:style w:type="character" w:customStyle="1" w:styleId="51">
    <w:name w:val="文档结构图 字符"/>
    <w:link w:val="9"/>
    <w:qFormat/>
    <w:uiPriority w:val="0"/>
    <w:rPr>
      <w:kern w:val="2"/>
      <w:sz w:val="24"/>
      <w:szCs w:val="24"/>
    </w:rPr>
  </w:style>
  <w:style w:type="character" w:customStyle="1" w:styleId="52">
    <w:name w:val="font01"/>
    <w:qFormat/>
    <w:uiPriority w:val="0"/>
    <w:rPr>
      <w:rFonts w:ascii="Wingdings 2" w:hAnsi="Wingdings 2" w:eastAsia="Wingdings 2" w:cs="Wingdings 2"/>
      <w:color w:val="000000"/>
      <w:sz w:val="16"/>
      <w:szCs w:val="16"/>
      <w:u w:val="none"/>
    </w:rPr>
  </w:style>
  <w:style w:type="character" w:customStyle="1" w:styleId="53">
    <w:name w:val="font11"/>
    <w:qFormat/>
    <w:uiPriority w:val="0"/>
    <w:rPr>
      <w:rFonts w:hint="eastAsia" w:ascii="宋体" w:hAnsi="宋体" w:eastAsia="宋体" w:cs="宋体"/>
      <w:color w:val="000000"/>
      <w:sz w:val="16"/>
      <w:szCs w:val="16"/>
      <w:u w:val="none"/>
    </w:rPr>
  </w:style>
  <w:style w:type="character" w:customStyle="1" w:styleId="54">
    <w:name w:val="页眉 字符"/>
    <w:link w:val="25"/>
    <w:qFormat/>
    <w:uiPriority w:val="0"/>
    <w:rPr>
      <w:kern w:val="2"/>
      <w:sz w:val="18"/>
      <w:szCs w:val="18"/>
    </w:rPr>
  </w:style>
  <w:style w:type="character" w:customStyle="1" w:styleId="55">
    <w:name w:val="标题 2 字符"/>
    <w:link w:val="3"/>
    <w:semiHidden/>
    <w:qFormat/>
    <w:uiPriority w:val="0"/>
    <w:rPr>
      <w:rFonts w:ascii="等线 Light" w:hAnsi="等线 Light" w:eastAsia="等线 Light" w:cs="Times New Roman"/>
      <w:b/>
      <w:bCs/>
      <w:kern w:val="2"/>
      <w:sz w:val="32"/>
      <w:szCs w:val="32"/>
    </w:rPr>
  </w:style>
  <w:style w:type="character" w:customStyle="1" w:styleId="56">
    <w:name w:val="批注框文本 字符"/>
    <w:link w:val="23"/>
    <w:qFormat/>
    <w:uiPriority w:val="0"/>
    <w:rPr>
      <w:kern w:val="2"/>
      <w:sz w:val="18"/>
      <w:szCs w:val="18"/>
    </w:rPr>
  </w:style>
  <w:style w:type="character" w:customStyle="1" w:styleId="57">
    <w:name w:val="批注文字 字符"/>
    <w:link w:val="10"/>
    <w:qFormat/>
    <w:uiPriority w:val="0"/>
    <w:rPr>
      <w:kern w:val="2"/>
      <w:sz w:val="24"/>
      <w:szCs w:val="24"/>
    </w:rPr>
  </w:style>
  <w:style w:type="character" w:customStyle="1" w:styleId="58">
    <w:name w:val="font21"/>
    <w:qFormat/>
    <w:uiPriority w:val="0"/>
    <w:rPr>
      <w:rFonts w:hint="eastAsia" w:ascii="宋体" w:hAnsi="宋体" w:eastAsia="宋体" w:cs="宋体"/>
      <w:color w:val="000000"/>
      <w:sz w:val="16"/>
      <w:szCs w:val="16"/>
      <w:u w:val="none"/>
    </w:rPr>
  </w:style>
  <w:style w:type="character" w:customStyle="1" w:styleId="59">
    <w:name w:val="标题 4 字符"/>
    <w:link w:val="5"/>
    <w:qFormat/>
    <w:uiPriority w:val="0"/>
    <w:rPr>
      <w:rFonts w:hint="eastAsia" w:ascii="微软雅黑" w:hAnsi="微软雅黑" w:eastAsia="微软雅黑" w:cs="微软雅黑"/>
      <w:color w:val="000000"/>
      <w:sz w:val="30"/>
    </w:rPr>
  </w:style>
  <w:style w:type="character" w:customStyle="1" w:styleId="60">
    <w:name w:val="批注主题 字符"/>
    <w:link w:val="39"/>
    <w:qFormat/>
    <w:uiPriority w:val="0"/>
    <w:rPr>
      <w:b/>
      <w:bCs/>
      <w:kern w:val="2"/>
      <w:sz w:val="24"/>
      <w:szCs w:val="24"/>
    </w:rPr>
  </w:style>
  <w:style w:type="paragraph" w:customStyle="1" w:styleId="61">
    <w:name w:val="Char"/>
    <w:basedOn w:val="1"/>
    <w:qFormat/>
    <w:uiPriority w:val="0"/>
    <w:pPr>
      <w:widowControl/>
      <w:spacing w:after="160" w:line="240" w:lineRule="exact"/>
      <w:jc w:val="left"/>
    </w:pPr>
    <w:rPr>
      <w:rFonts w:ascii="Arial" w:hAnsi="Arial" w:eastAsia="Times New Roman" w:cs="Verdana"/>
      <w:b/>
      <w:kern w:val="0"/>
      <w:lang w:eastAsia="en-US"/>
    </w:rPr>
  </w:style>
  <w:style w:type="paragraph" w:customStyle="1" w:styleId="62">
    <w:name w:val="Char Char Char Char Char Char Char Char Char Char Char Char Char"/>
    <w:basedOn w:val="1"/>
    <w:next w:val="1"/>
    <w:qFormat/>
    <w:uiPriority w:val="0"/>
    <w:pPr>
      <w:ind w:firstLine="200"/>
    </w:pPr>
  </w:style>
  <w:style w:type="paragraph" w:customStyle="1" w:styleId="63">
    <w:name w:val="目录标题"/>
    <w:basedOn w:val="2"/>
    <w:next w:val="1"/>
    <w:qFormat/>
    <w:uiPriority w:val="39"/>
    <w:pPr>
      <w:widowControl/>
      <w:spacing w:before="480" w:after="0" w:line="276" w:lineRule="auto"/>
      <w:outlineLvl w:val="9"/>
    </w:pPr>
    <w:rPr>
      <w:rFonts w:ascii="等线 Light" w:hAnsi="等线 Light" w:eastAsia="等线 Light"/>
      <w:color w:val="2F5496"/>
      <w:kern w:val="0"/>
      <w:szCs w:val="28"/>
    </w:rPr>
  </w:style>
  <w:style w:type="paragraph" w:customStyle="1" w:styleId="64">
    <w:name w:val="标题②"/>
    <w:basedOn w:val="3"/>
    <w:next w:val="3"/>
    <w:qFormat/>
    <w:uiPriority w:val="0"/>
    <w:pPr>
      <w:widowControl/>
      <w:spacing w:before="50" w:beforeLines="50" w:after="50" w:afterLines="50" w:line="240" w:lineRule="auto"/>
      <w:jc w:val="left"/>
    </w:pPr>
    <w:rPr>
      <w:rFonts w:ascii="楷体_GB2312" w:hAnsi="楷体_GB2312" w:eastAsia="楷体"/>
      <w:color w:val="000000"/>
      <w:sz w:val="24"/>
    </w:rPr>
  </w:style>
  <w:style w:type="paragraph" w:customStyle="1" w:styleId="65">
    <w:name w:val="表格"/>
    <w:basedOn w:val="1"/>
    <w:next w:val="1"/>
    <w:qFormat/>
    <w:uiPriority w:val="0"/>
    <w:pPr>
      <w:adjustRightInd w:val="0"/>
      <w:snapToGrid w:val="0"/>
      <w:spacing w:line="180" w:lineRule="exact"/>
      <w:ind w:firstLine="0" w:firstLineChars="0"/>
    </w:pPr>
    <w:rPr>
      <w:sz w:val="13"/>
    </w:rPr>
  </w:style>
  <w:style w:type="paragraph" w:customStyle="1" w:styleId="66">
    <w:name w:val="标题2"/>
    <w:basedOn w:val="3"/>
    <w:next w:val="3"/>
    <w:qFormat/>
    <w:uiPriority w:val="0"/>
    <w:pPr>
      <w:spacing w:before="50" w:beforeLines="50" w:after="50" w:afterLines="50" w:line="240" w:lineRule="auto"/>
      <w:jc w:val="left"/>
    </w:pPr>
    <w:rPr>
      <w:rFonts w:ascii="楷体_GB2312" w:hAnsi="楷体_GB2312" w:eastAsia="楷体"/>
      <w:color w:val="000000"/>
      <w:sz w:val="24"/>
    </w:rPr>
  </w:style>
  <w:style w:type="paragraph" w:customStyle="1" w:styleId="67">
    <w:name w:val="默认段落字体 Para Char Char Char Char"/>
    <w:basedOn w:val="1"/>
    <w:qFormat/>
    <w:uiPriority w:val="0"/>
    <w:rPr>
      <w:szCs w:val="20"/>
    </w:rPr>
  </w:style>
  <w:style w:type="paragraph" w:customStyle="1" w:styleId="68">
    <w:name w:val="标题3"/>
    <w:basedOn w:val="4"/>
    <w:next w:val="4"/>
    <w:qFormat/>
    <w:uiPriority w:val="0"/>
    <w:pPr>
      <w:spacing w:before="100" w:after="100" w:line="240" w:lineRule="auto"/>
      <w:jc w:val="left"/>
    </w:pPr>
    <w:rPr>
      <w:rFonts w:eastAsia="楷体"/>
      <w:b w:val="0"/>
      <w:sz w:val="24"/>
    </w:rPr>
  </w:style>
  <w:style w:type="paragraph" w:customStyle="1" w:styleId="69">
    <w:name w:val="Char4 Char Char Char"/>
    <w:basedOn w:val="1"/>
    <w:qFormat/>
    <w:uiPriority w:val="0"/>
    <w:pPr>
      <w:adjustRightInd w:val="0"/>
      <w:snapToGrid w:val="0"/>
      <w:ind w:firstLine="200"/>
    </w:pPr>
  </w:style>
  <w:style w:type="paragraph" w:customStyle="1" w:styleId="70">
    <w:name w:val="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1">
    <w:name w:val="四号正文"/>
    <w:basedOn w:val="1"/>
    <w:qFormat/>
    <w:uiPriority w:val="0"/>
    <w:pPr>
      <w:spacing w:line="360" w:lineRule="auto"/>
    </w:pPr>
    <w:rPr>
      <w:rFonts w:ascii="??" w:hAnsi="??" w:eastAsia="宋体"/>
      <w:color w:val="000000"/>
      <w:kern w:val="0"/>
      <w:sz w:val="28"/>
      <w:szCs w:val="21"/>
    </w:rPr>
  </w:style>
  <w:style w:type="paragraph" w:customStyle="1" w:styleId="7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customStyle="1" w:styleId="73">
    <w:name w:val="List Paragraph"/>
    <w:basedOn w:val="1"/>
    <w:qFormat/>
    <w:uiPriority w:val="0"/>
    <w:pPr>
      <w:ind w:firstLine="420" w:firstLineChars="200"/>
    </w:pPr>
    <w:rPr>
      <w:rFonts w:ascii="Calibri" w:hAnsi="Calibri"/>
      <w:szCs w:val="22"/>
    </w:rPr>
  </w:style>
  <w:style w:type="character" w:customStyle="1" w:styleId="74">
    <w:name w:val="font31"/>
    <w:basedOn w:val="42"/>
    <w:qFormat/>
    <w:uiPriority w:val="0"/>
    <w:rPr>
      <w:rFonts w:hint="eastAsia" w:ascii="仿宋_GB2312" w:eastAsia="仿宋_GB2312" w:cs="仿宋_GB2312"/>
      <w:b/>
      <w:bCs/>
      <w:color w:val="000000"/>
      <w:sz w:val="21"/>
      <w:szCs w:val="21"/>
      <w:u w:val="none"/>
    </w:rPr>
  </w:style>
  <w:style w:type="character" w:customStyle="1" w:styleId="75">
    <w:name w:val="font61"/>
    <w:basedOn w:val="42"/>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15828</Words>
  <Characters>18660</Characters>
  <Lines>100</Lines>
  <Paragraphs>28</Paragraphs>
  <TotalTime>5</TotalTime>
  <ScaleCrop>false</ScaleCrop>
  <LinksUpToDate>false</LinksUpToDate>
  <CharactersWithSpaces>18811</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2020-11-03T08:17:00Z</dcterms:created>
  <dc:creator>friend78</dc:creator>
  <cp:lastModifiedBy>user</cp:lastModifiedBy>
  <cp:lastPrinted>2023-01-06T19:06:00Z</cp:lastPrinted>
  <dcterms:modified xsi:type="dcterms:W3CDTF">2026-04-30T15:46:53Z</dcterms:modified>
  <dc:title>项目绩效评价报告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BB594A54D8194DF0B6B72938FDD2228C</vt:lpwstr>
  </property>
</Properties>
</file>