
<file path=[Content_Types].xml><?xml version="1.0" encoding="utf-8"?>
<Types xmlns="http://schemas.openxmlformats.org/package/2006/content-types">
  <Default Extension="xml" ContentType="application/xml"/>
  <Default Extension="jpeg" ContentType="image/jpeg"/>
  <Default Extension="JPG" ContentType="image/.jpg"/>
  <Default Extension="png" ContentType="image/pn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nts/font1.odttf" ContentType="application/vnd.openxmlformats-officedocument.obfuscatedFont"/>
  <Override PartName="/word/fonts/font2.odttf" ContentType="application/vnd.openxmlformats-officedocument.obfuscatedFont"/>
  <Override PartName="/word/fonts/font3.odttf" ContentType="application/vnd.openxmlformats-officedocument.obfuscatedFont"/>
  <Override PartName="/word/fonts/font4.odttf" ContentType="application/vnd.openxmlformats-officedocument.obfuscatedFont"/>
  <Override PartName="/word/fonts/font5.odttf" ContentType="application/vnd.openxmlformats-officedocument.obfuscatedFont"/>
  <Override PartName="/word/fonts/font6.odttf" ContentType="application/vnd.openxmlformats-officedocument.obfuscatedFont"/>
  <Override PartName="/word/fonts/font7.odttf" ContentType="application/vnd.openxmlformats-officedocument.obfuscatedFont"/>
  <Override PartName="/word/fonts/font8.odttf" ContentType="application/vnd.openxmlformats-officedocument.obfuscatedFont"/>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header2.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13"/>
        <w:jc w:val="both"/>
        <w:rPr>
          <w:rFonts w:ascii="Times New Roman" w:hAnsi="Times New Roman" w:cs="Times New Roman"/>
          <w:sz w:val="20"/>
        </w:rPr>
      </w:pPr>
      <w:r>
        <mc:AlternateContent>
          <mc:Choice Requires="wps">
            <w:drawing>
              <wp:anchor distT="0" distB="0" distL="114300" distR="114300" simplePos="0" relativeHeight="251659264" behindDoc="0" locked="0" layoutInCell="1" allowOverlap="1">
                <wp:simplePos x="0" y="0"/>
                <wp:positionH relativeFrom="column">
                  <wp:posOffset>1452245</wp:posOffset>
                </wp:positionH>
                <wp:positionV relativeFrom="paragraph">
                  <wp:posOffset>-43180</wp:posOffset>
                </wp:positionV>
                <wp:extent cx="540385" cy="1064260"/>
                <wp:effectExtent l="0" t="0" r="0" b="0"/>
                <wp:wrapNone/>
                <wp:docPr id="9" name="矩形 9"/>
                <wp:cNvGraphicFramePr/>
                <a:graphic xmlns:a="http://schemas.openxmlformats.org/drawingml/2006/main">
                  <a:graphicData uri="http://schemas.microsoft.com/office/word/2010/wordprocessingShape">
                    <wps:wsp>
                      <wps:cNvSpPr/>
                      <wps:spPr>
                        <a:xfrm flipH="1">
                          <a:off x="0" y="0"/>
                          <a:ext cx="540385" cy="1064260"/>
                        </a:xfrm>
                        <a:prstGeom prst="rect">
                          <a:avLst/>
                        </a:prstGeom>
                        <a:noFill/>
                        <a:ln>
                          <a:noFill/>
                        </a:ln>
                      </wps:spPr>
                      <wps:txbx>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wps:txbx>
                      <wps:bodyPr anchor="ctr" anchorCtr="0" upright="1">
                        <a:spAutoFit/>
                      </wps:bodyPr>
                    </wps:wsp>
                  </a:graphicData>
                </a:graphic>
              </wp:anchor>
            </w:drawing>
          </mc:Choice>
          <mc:Fallback>
            <w:pict>
              <v:rect id="_x0000_s1026" o:spid="_x0000_s1026" o:spt="1" style="position:absolute;left:0pt;flip:x;margin-left:114.35pt;margin-top:-3.4pt;height:83.8pt;width:42.55pt;z-index:251659264;v-text-anchor:middle;mso-width-relative:page;mso-height-relative:page;" filled="f" stroked="f" coordsize="21600,21600" o:gfxdata="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">
                <v:fill on="f" focussize="0,0"/>
                <v:stroke on="f"/>
                <v:imagedata o:title=""/>
                <o:lock v:ext="edit" aspectratio="f"/>
                <v:textbox style="mso-fit-shape-to-text:t;">
                  <w:txbxContent>
                    <w:p>
                      <w:pPr>
                        <w:kinsoku w:val="0"/>
                        <w:overflowPunct w:val="0"/>
                        <w:ind w:firstLine="640"/>
                        <w:textAlignment w:val="baseline"/>
                        <w:rPr>
                          <w:rFonts w:ascii="Calibri" w:hAnsi="Calibri" w:cs="华康行楷体 W5"/>
                          <w:color w:val="000000"/>
                          <w:kern w:val="24"/>
                          <w:sz w:val="32"/>
                          <w:szCs w:val="32"/>
                        </w:rPr>
                      </w:pPr>
                      <w:r>
                        <w:rPr>
                          <w:rFonts w:ascii="Calibri" w:hAnsi="Calibri" w:cs="华康行楷体 W5"/>
                          <w:color w:val="000000"/>
                          <w:kern w:val="24"/>
                          <w:sz w:val="32"/>
                          <w:szCs w:val="32"/>
                        </w:rPr>
                        <w:t xml:space="preserve"> </w:t>
                      </w:r>
                      <w:r>
                        <w:rPr>
                          <w:rFonts w:hint="eastAsia" w:ascii="Calibri" w:cs="华康行楷体 W5"/>
                          <w:b/>
                          <w:bCs/>
                          <w:color w:val="000000"/>
                          <w:kern w:val="24"/>
                          <w:sz w:val="44"/>
                          <w:szCs w:val="44"/>
                        </w:rPr>
                        <w:t>融  策</w:t>
                      </w:r>
                    </w:p>
                  </w:txbxContent>
                </v:textbox>
              </v:rect>
            </w:pict>
          </mc:Fallback>
        </mc:AlternateContent>
      </w:r>
      <w:r>
        <w:drawing>
          <wp:inline distT="0" distB="0" distL="114300" distR="114300">
            <wp:extent cx="1209040" cy="1215390"/>
            <wp:effectExtent l="0" t="0" r="10160" b="3810"/>
            <wp:docPr id="8" name="图片 3" descr="40298525532955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3" descr="402985255329551457"/>
                    <pic:cNvPicPr>
                      <a:picLocks noChangeAspect="1"/>
                    </pic:cNvPicPr>
                  </pic:nvPicPr>
                  <pic:blipFill>
                    <a:blip r:embed="rId13"/>
                    <a:stretch>
                      <a:fillRect/>
                    </a:stretch>
                  </pic:blipFill>
                  <pic:spPr>
                    <a:xfrm>
                      <a:off x="0" y="0"/>
                      <a:ext cx="1209040" cy="1215390"/>
                    </a:xfrm>
                    <a:prstGeom prst="rect">
                      <a:avLst/>
                    </a:prstGeom>
                    <a:solidFill>
                      <a:srgbClr val="FFFFFF"/>
                    </a:solidFill>
                    <a:ln>
                      <a:noFill/>
                    </a:ln>
                  </pic:spPr>
                </pic:pic>
              </a:graphicData>
            </a:graphic>
          </wp:inline>
        </w:drawing>
      </w:r>
    </w:p>
    <w:p>
      <w:pPr>
        <w:widowControl/>
        <w:spacing w:after="172" w:line="259" w:lineRule="auto"/>
        <w:ind w:firstLine="0" w:firstLineChars="0"/>
        <w:jc w:val="both"/>
        <w:rPr>
          <w:rFonts w:hint="default" w:ascii="Times New Roman" w:hAnsi="Times New Roman" w:cs="Times New Roman"/>
          <w:b/>
          <w:bCs/>
          <w:sz w:val="44"/>
          <w:szCs w:val="44"/>
          <w:lang w:eastAsia="zh-CN"/>
        </w:rPr>
      </w:pPr>
    </w:p>
    <w:p>
      <w:pPr>
        <w:rPr>
          <w:rFonts w:hint="default" w:ascii="Times New Roman" w:hAnsi="Times New Roman" w:cs="Times New Roman"/>
          <w:b/>
          <w:bCs/>
          <w:sz w:val="32"/>
          <w:szCs w:val="32"/>
          <w:lang w:eastAsia="zh-CN"/>
        </w:rPr>
      </w:pPr>
    </w:p>
    <w:p>
      <w:pPr>
        <w:rPr>
          <w:rFonts w:hint="default" w:ascii="Times New Roman" w:hAnsi="Times New Roman" w:cs="Times New Roman"/>
          <w:b/>
          <w:bCs/>
          <w:sz w:val="32"/>
          <w:szCs w:val="32"/>
          <w:lang w:eastAsia="zh-CN"/>
        </w:rPr>
      </w:pPr>
    </w:p>
    <w:p>
      <w:pPr>
        <w:pStyle w:val="12"/>
        <w:rPr>
          <w:rFonts w:hint="default" w:ascii="Times New Roman" w:hAnsi="Times New Roman" w:cs="Times New Roman"/>
          <w:b/>
          <w:bCs/>
          <w:sz w:val="32"/>
          <w:szCs w:val="32"/>
          <w:lang w:eastAsia="zh-CN"/>
        </w:rPr>
      </w:pPr>
    </w:p>
    <w:p>
      <w:pPr>
        <w:rPr>
          <w:rFonts w:hint="default"/>
          <w:lang w:eastAsia="zh-CN"/>
        </w:rPr>
      </w:pPr>
    </w:p>
    <w:p>
      <w:pPr>
        <w:pStyle w:val="34"/>
        <w:rPr>
          <w:rFonts w:hint="default" w:ascii="Times New Roman" w:hAnsi="Times New Roman" w:cs="Times New Roman"/>
          <w:b/>
          <w:bCs/>
          <w:sz w:val="32"/>
          <w:szCs w:val="32"/>
          <w:lang w:eastAsia="zh-CN"/>
        </w:rPr>
      </w:pPr>
    </w:p>
    <w:p>
      <w:pPr>
        <w:jc w:val="center"/>
        <w:rPr>
          <w:rFonts w:hint="default"/>
          <w:sz w:val="32"/>
          <w:szCs w:val="32"/>
          <w:lang w:eastAsia="zh-CN"/>
        </w:rPr>
      </w:pPr>
    </w:p>
    <w:p>
      <w:pPr>
        <w:pStyle w:val="24"/>
        <w:autoSpaceDE w:val="0"/>
        <w:autoSpaceDN w:val="0"/>
        <w:spacing w:line="600" w:lineRule="exact"/>
        <w:ind w:firstLine="0" w:firstLineChars="0"/>
        <w:jc w:val="center"/>
        <w:rPr>
          <w:rFonts w:hint="eastAsia"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阿坝县统计局</w:t>
      </w:r>
    </w:p>
    <w:p>
      <w:pPr>
        <w:pStyle w:val="24"/>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2022年部门整体支出</w:t>
      </w:r>
      <w:r>
        <w:rPr>
          <w:rFonts w:hint="default" w:ascii="Times New Roman" w:hAnsi="Times New Roman" w:eastAsia="方正小标宋简体" w:cs="Times New Roman"/>
          <w:kern w:val="0"/>
          <w:sz w:val="44"/>
          <w:szCs w:val="44"/>
          <w:lang w:val="en-US" w:eastAsia="zh-CN" w:bidi="zh-CN"/>
        </w:rPr>
        <w:t>绩效评价报告</w:t>
      </w:r>
    </w:p>
    <w:p>
      <w:pPr>
        <w:pStyle w:val="24"/>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（征求意见稿）</w:t>
      </w:r>
    </w:p>
    <w:p>
      <w:pPr>
        <w:spacing w:line="240" w:lineRule="auto"/>
        <w:ind w:firstLine="0" w:firstLineChars="0"/>
        <w:jc w:val="center"/>
        <w:rPr>
          <w:rFonts w:hint="default" w:ascii="黑体" w:hAnsi="黑体" w:eastAsia="黑体" w:cs="Times New Roman"/>
          <w:b/>
          <w:sz w:val="32"/>
          <w:szCs w:val="32"/>
        </w:rPr>
      </w:pPr>
      <w:r>
        <w:rPr>
          <w:rFonts w:hint="default" w:ascii="黑体" w:hAnsi="黑体" w:eastAsia="黑体" w:cs="Times New Roman"/>
          <w:b/>
          <w:sz w:val="32"/>
          <w:szCs w:val="32"/>
        </w:rPr>
        <w:t>川</w:t>
      </w:r>
      <w:r>
        <w:rPr>
          <w:rFonts w:hint="default" w:ascii="黑体" w:hAnsi="黑体" w:eastAsia="黑体" w:cs="Times New Roman"/>
          <w:b/>
          <w:sz w:val="32"/>
          <w:szCs w:val="32"/>
          <w:lang w:val="en-US" w:eastAsia="zh-CN"/>
        </w:rPr>
        <w:t>融策</w:t>
      </w:r>
      <w:r>
        <w:rPr>
          <w:rFonts w:hint="default" w:ascii="黑体" w:hAnsi="黑体" w:eastAsia="黑体" w:cs="Times New Roman"/>
          <w:b/>
          <w:sz w:val="32"/>
          <w:szCs w:val="32"/>
        </w:rPr>
        <w:t>绩评〔202</w:t>
      </w:r>
      <w:r>
        <w:rPr>
          <w:rFonts w:hint="eastAsia" w:ascii="黑体" w:hAnsi="黑体" w:eastAsia="黑体" w:cs="Times New Roman"/>
          <w:b/>
          <w:sz w:val="32"/>
          <w:szCs w:val="32"/>
          <w:lang w:val="en-US" w:eastAsia="zh-CN"/>
        </w:rPr>
        <w:t>3</w:t>
      </w:r>
      <w:r>
        <w:rPr>
          <w:rFonts w:hint="default" w:ascii="黑体" w:hAnsi="黑体" w:eastAsia="黑体" w:cs="Times New Roman"/>
          <w:b/>
          <w:sz w:val="32"/>
          <w:szCs w:val="32"/>
        </w:rPr>
        <w:t>〕第</w:t>
      </w:r>
      <w:r>
        <w:rPr>
          <w:rFonts w:hint="eastAsia" w:ascii="黑体" w:hAnsi="黑体" w:eastAsia="黑体" w:cs="Times New Roman"/>
          <w:b/>
          <w:sz w:val="32"/>
          <w:szCs w:val="32"/>
          <w:lang w:val="en-US" w:eastAsia="zh-CN"/>
        </w:rPr>
        <w:t>××</w:t>
      </w:r>
      <w:r>
        <w:rPr>
          <w:rFonts w:hint="default" w:ascii="黑体" w:hAnsi="黑体" w:eastAsia="黑体" w:cs="Times New Roman"/>
          <w:b/>
          <w:sz w:val="32"/>
          <w:szCs w:val="32"/>
        </w:rPr>
        <w:t>号</w:t>
      </w:r>
    </w:p>
    <w:p>
      <w:pPr>
        <w:pStyle w:val="24"/>
        <w:rPr>
          <w:rFonts w:hint="default" w:ascii="Times New Roman" w:hAnsi="Times New Roman" w:cs="Times New Roman"/>
          <w:sz w:val="32"/>
          <w:szCs w:val="32"/>
        </w:rPr>
      </w:pPr>
    </w:p>
    <w:p>
      <w:pPr>
        <w:pStyle w:val="24"/>
        <w:rPr>
          <w:rFonts w:hint="default" w:ascii="Times New Roman" w:hAnsi="Times New Roman" w:cs="Times New Roman"/>
          <w:sz w:val="32"/>
          <w:szCs w:val="32"/>
        </w:rPr>
      </w:pPr>
    </w:p>
    <w:p>
      <w:pPr>
        <w:pStyle w:val="24"/>
        <w:ind w:left="0" w:leftChars="0" w:firstLine="0" w:firstLineChars="0"/>
        <w:rPr>
          <w:rFonts w:hint="default" w:ascii="Times New Roman" w:hAnsi="Times New Roman" w:cs="Times New Roman"/>
          <w:sz w:val="32"/>
          <w:szCs w:val="32"/>
        </w:rPr>
      </w:pPr>
    </w:p>
    <w:p>
      <w:pPr>
        <w:autoSpaceDE w:val="0"/>
        <w:autoSpaceDN w:val="0"/>
        <w:spacing w:line="600" w:lineRule="exact"/>
        <w:ind w:firstLine="0" w:firstLineChars="0"/>
        <w:jc w:val="center"/>
        <w:rPr>
          <w:rFonts w:ascii="Times New Roman" w:hAnsi="Times New Roman" w:eastAsia="黑体" w:cs="Times New Roman"/>
          <w:b/>
          <w:bCs/>
          <w:color w:val="000000"/>
          <w:w w:val="90"/>
          <w:kern w:val="0"/>
          <w:sz w:val="44"/>
          <w:szCs w:val="44"/>
          <w:lang w:val="zh-CN" w:bidi="zh-CN"/>
        </w:rPr>
      </w:pPr>
      <w:r>
        <w:rPr>
          <w:rFonts w:ascii="Times New Roman" w:hAnsi="Times New Roman" w:eastAsia="黑体" w:cs="Times New Roman"/>
          <w:b/>
          <w:bCs/>
          <w:color w:val="000000"/>
          <w:w w:val="90"/>
          <w:kern w:val="0"/>
          <w:sz w:val="44"/>
          <w:szCs w:val="44"/>
          <w:lang w:val="zh-CN" w:bidi="zh-CN"/>
        </w:rPr>
        <w:t>四 川 融 策 会 计 师 事 务 所 有 限 公 司</w:t>
      </w:r>
    </w:p>
    <w:p>
      <w:pPr>
        <w:spacing w:line="600" w:lineRule="exact"/>
        <w:ind w:firstLine="0" w:firstLineChars="0"/>
        <w:jc w:val="center"/>
        <w:rPr>
          <w:rFonts w:ascii="Times New Roman" w:hAnsi="Times New Roman" w:eastAsia="黑体" w:cs="Times New Roman"/>
          <w:b/>
          <w:bCs/>
          <w:color w:val="000000"/>
          <w:sz w:val="44"/>
          <w:szCs w:val="44"/>
          <w:lang w:val="en-US"/>
        </w:rPr>
      </w:pPr>
      <w:r>
        <w:rPr>
          <w:rFonts w:ascii="Times New Roman" w:hAnsi="Times New Roman" w:eastAsia="黑体" w:cs="Times New Roman"/>
          <w:b/>
          <w:bCs/>
          <w:color w:val="000000"/>
          <w:sz w:val="44"/>
          <w:szCs w:val="44"/>
          <w:lang w:val="en-US"/>
        </w:rPr>
        <w:t>Sichuan Rongce Accounting Firm Co</w:t>
      </w:r>
      <w:r>
        <w:rPr>
          <w:rFonts w:hint="eastAsia" w:ascii="Times New Roman" w:hAnsi="Times New Roman" w:eastAsia="黑体" w:cs="Times New Roman"/>
          <w:b/>
          <w:bCs/>
          <w:color w:val="000000"/>
          <w:sz w:val="44"/>
          <w:szCs w:val="44"/>
          <w:lang w:val="en-US"/>
        </w:rPr>
        <w:t>.</w:t>
      </w:r>
      <w:r>
        <w:rPr>
          <w:rFonts w:ascii="Times New Roman" w:hAnsi="Times New Roman" w:eastAsia="黑体" w:cs="Times New Roman"/>
          <w:b/>
          <w:bCs/>
          <w:color w:val="000000"/>
          <w:sz w:val="44"/>
          <w:szCs w:val="44"/>
          <w:lang w:val="en-US"/>
        </w:rPr>
        <w:t xml:space="preserve"> Ltd</w:t>
      </w:r>
    </w:p>
    <w:p>
      <w:pPr>
        <w:spacing w:line="240" w:lineRule="auto"/>
        <w:ind w:firstLine="0" w:firstLineChars="0"/>
        <w:jc w:val="center"/>
        <w:rPr>
          <w:rFonts w:hint="eastAsia" w:ascii="Times New Roman" w:hAnsi="Times New Roman" w:eastAsia="黑体" w:cs="Times New Roman"/>
          <w:b/>
          <w:bCs/>
          <w:color w:val="000000"/>
          <w:sz w:val="44"/>
          <w:szCs w:val="44"/>
        </w:rPr>
      </w:pPr>
      <w:r>
        <w:rPr>
          <w:rFonts w:ascii="Times New Roman" w:hAnsi="Times New Roman" w:eastAsia="黑体" w:cs="Times New Roman"/>
          <w:b/>
          <w:bCs/>
          <w:color w:val="000000"/>
          <w:sz w:val="44"/>
          <w:szCs w:val="44"/>
        </w:rPr>
        <w:t>202</w:t>
      </w:r>
      <w:r>
        <w:rPr>
          <w:rFonts w:hint="eastAsia" w:ascii="Times New Roman" w:hAnsi="Times New Roman" w:eastAsia="黑体" w:cs="Times New Roman"/>
          <w:b/>
          <w:bCs/>
          <w:color w:val="000000"/>
          <w:sz w:val="44"/>
          <w:szCs w:val="44"/>
          <w:lang w:val="en-US"/>
        </w:rPr>
        <w:t>3</w:t>
      </w:r>
      <w:r>
        <w:rPr>
          <w:rFonts w:ascii="Times New Roman" w:hAnsi="Times New Roman" w:eastAsia="黑体" w:cs="Times New Roman"/>
          <w:b/>
          <w:bCs/>
          <w:color w:val="000000"/>
          <w:sz w:val="44"/>
          <w:szCs w:val="44"/>
        </w:rPr>
        <w:t>年</w:t>
      </w:r>
      <w:r>
        <w:rPr>
          <w:rFonts w:hint="eastAsia" w:ascii="Times New Roman" w:hAnsi="Times New Roman" w:eastAsia="黑体" w:cs="Times New Roman"/>
          <w:b/>
          <w:bCs/>
          <w:color w:val="000000"/>
          <w:sz w:val="44"/>
          <w:szCs w:val="44"/>
          <w:lang w:val="en-US" w:eastAsia="zh-CN"/>
        </w:rPr>
        <w:t>11</w:t>
      </w:r>
      <w:r>
        <w:rPr>
          <w:rFonts w:ascii="Times New Roman" w:hAnsi="Times New Roman" w:eastAsia="黑体" w:cs="Times New Roman"/>
          <w:b/>
          <w:bCs/>
          <w:color w:val="000000"/>
          <w:sz w:val="44"/>
          <w:szCs w:val="44"/>
        </w:rPr>
        <w:t>月</w:t>
      </w:r>
      <w:r>
        <w:rPr>
          <w:rFonts w:hint="eastAsia" w:eastAsia="黑体" w:cs="Times New Roman"/>
          <w:b/>
          <w:bCs/>
          <w:color w:val="000000"/>
          <w:sz w:val="44"/>
          <w:szCs w:val="44"/>
          <w:lang w:val="en-US" w:eastAsia="zh-CN"/>
        </w:rPr>
        <w:t>30</w:t>
      </w:r>
      <w:r>
        <w:rPr>
          <w:rFonts w:ascii="Times New Roman" w:hAnsi="Times New Roman" w:eastAsia="黑体" w:cs="Times New Roman"/>
          <w:b/>
          <w:bCs/>
          <w:color w:val="000000"/>
          <w:sz w:val="44"/>
          <w:szCs w:val="44"/>
        </w:rPr>
        <w:t>日</w:t>
      </w:r>
    </w:p>
    <w:p>
      <w:pPr>
        <w:spacing w:line="240" w:lineRule="auto"/>
        <w:ind w:firstLine="0" w:firstLineChars="0"/>
        <w:jc w:val="center"/>
        <w:rPr>
          <w:rFonts w:hint="eastAsia" w:ascii="Times New Roman" w:hAnsi="Times New Roman" w:eastAsia="黑体" w:cs="Times New Roman"/>
          <w:b/>
          <w:bCs/>
          <w:color w:val="000000"/>
          <w:sz w:val="44"/>
          <w:szCs w:val="44"/>
        </w:rPr>
        <w:sectPr>
          <w:headerReference r:id="rId5" w:type="default"/>
          <w:footerReference r:id="rId6" w:type="default"/>
          <w:footerReference r:id="rId7" w:type="even"/>
          <w:pgSz w:w="11906" w:h="16838"/>
          <w:pgMar w:top="1417" w:right="1417" w:bottom="1417" w:left="1417" w:header="851" w:footer="992" w:gutter="283"/>
          <w:pgBorders>
            <w:top w:val="none" w:sz="0" w:space="0"/>
            <w:left w:val="none" w:sz="0" w:space="0"/>
            <w:bottom w:val="none" w:sz="0" w:space="0"/>
            <w:right w:val="none" w:sz="0" w:space="0"/>
          </w:pgBorders>
          <w:cols w:space="720" w:num="1"/>
          <w:docGrid w:type="lines" w:linePitch="318" w:charSpace="0"/>
        </w:sectPr>
      </w:pPr>
    </w:p>
    <w:p>
      <w:pPr>
        <w:pStyle w:val="26"/>
        <w:keepNext w:val="0"/>
        <w:keepLines w:val="0"/>
        <w:pageBreakBefore w:val="0"/>
        <w:widowControl/>
        <w:tabs>
          <w:tab w:val="right" w:leader="dot" w:pos="8786"/>
        </w:tabs>
        <w:kinsoku/>
        <w:wordWrap/>
        <w:overflowPunct/>
        <w:topLinePunct w:val="0"/>
        <w:autoSpaceDE/>
        <w:autoSpaceDN/>
        <w:bidi w:val="0"/>
        <w:adjustRightInd/>
        <w:snapToGrid/>
        <w:spacing w:line="600" w:lineRule="exact"/>
        <w:ind w:firstLine="560" w:firstLineChars="0"/>
        <w:jc w:val="center"/>
        <w:textAlignment w:val="auto"/>
        <w:rPr>
          <w:rFonts w:hint="eastAsia" w:ascii="仿宋_GB2312" w:hAnsi="仿宋_GB2312" w:eastAsia="仿宋_GB2312" w:cs="仿宋_GB2312"/>
          <w:b/>
          <w:bCs w:val="0"/>
          <w:kern w:val="2"/>
          <w:sz w:val="24"/>
          <w:szCs w:val="28"/>
          <w:lang w:val="en-US" w:eastAsia="zh-CN" w:bidi="ar-SA"/>
        </w:rPr>
      </w:pPr>
      <w:r>
        <w:rPr>
          <w:rFonts w:hint="default" w:ascii="Times New Roman" w:hAnsi="Times New Roman" w:eastAsia="黑体" w:cs="Times New Roman"/>
          <w:b/>
          <w:bCs w:val="0"/>
          <w:sz w:val="36"/>
          <w:szCs w:val="36"/>
        </w:rPr>
        <w:t>目  录</w:t>
      </w:r>
      <w:r>
        <w:rPr>
          <w:rFonts w:hint="eastAsia" w:ascii="仿宋_GB2312" w:hAnsi="仿宋_GB2312" w:eastAsia="仿宋_GB2312" w:cs="仿宋_GB2312"/>
          <w:b w:val="0"/>
          <w:bCs w:val="0"/>
          <w:sz w:val="28"/>
          <w:szCs w:val="28"/>
        </w:rPr>
        <w:fldChar w:fldCharType="begin"/>
      </w:r>
      <w:r>
        <w:rPr>
          <w:rFonts w:hint="eastAsia" w:ascii="仿宋_GB2312" w:hAnsi="仿宋_GB2312" w:eastAsia="仿宋_GB2312" w:cs="仿宋_GB2312"/>
          <w:b w:val="0"/>
          <w:bCs w:val="0"/>
          <w:sz w:val="28"/>
          <w:szCs w:val="28"/>
        </w:rPr>
        <w:instrText xml:space="preserve"> TOC \o "1-4" \h \z \u </w:instrText>
      </w:r>
      <w:r>
        <w:rPr>
          <w:rFonts w:hint="eastAsia" w:ascii="仿宋_GB2312" w:hAnsi="仿宋_GB2312" w:eastAsia="仿宋_GB2312" w:cs="仿宋_GB2312"/>
          <w:b w:val="0"/>
          <w:bCs w:val="0"/>
          <w:sz w:val="28"/>
          <w:szCs w:val="28"/>
        </w:rPr>
        <w:fldChar w:fldCharType="separate"/>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_Toc28689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摘  要</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_Toc28689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_Toc27707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一、部门概况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_Toc27707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_Toc4305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（一）部门机构设置、编制、职责</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_Toc4305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_Toc4863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1、</w:t>
      </w:r>
      <w:r>
        <w:rPr>
          <w:rFonts w:hint="eastAsia" w:ascii="仿宋_GB2312" w:hAnsi="仿宋_GB2312" w:eastAsia="仿宋_GB2312" w:cs="仿宋_GB2312"/>
          <w:b w:val="0"/>
          <w:bCs/>
          <w:sz w:val="28"/>
          <w:szCs w:val="28"/>
        </w:rPr>
        <w:t>部门机构设置</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_Toc4863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_Toc19218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lang w:val="en-US" w:eastAsia="zh-CN"/>
        </w:rPr>
        <w:t>2</w:t>
      </w:r>
      <w:r>
        <w:rPr>
          <w:rFonts w:hint="eastAsia" w:ascii="仿宋_GB2312" w:hAnsi="仿宋_GB2312" w:eastAsia="仿宋_GB2312" w:cs="仿宋_GB2312"/>
          <w:b w:val="0"/>
          <w:bCs/>
          <w:sz w:val="28"/>
          <w:szCs w:val="28"/>
          <w:highlight w:val="none"/>
        </w:rPr>
        <w:t>、部门编制</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_Toc19218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_Toc31666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3、部门职能</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_Toc31666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_Toc24890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lang w:val="en-US" w:eastAsia="zh-CN"/>
        </w:rPr>
        <w:t>（二）部门预算</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_Toc24890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_Toc1176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w:t>
      </w:r>
      <w:r>
        <w:rPr>
          <w:rFonts w:hint="eastAsia" w:ascii="仿宋_GB2312" w:hAnsi="仿宋_GB2312" w:eastAsia="仿宋_GB2312" w:cs="仿宋_GB2312"/>
          <w:b w:val="0"/>
          <w:bCs/>
          <w:kern w:val="0"/>
          <w:sz w:val="28"/>
          <w:szCs w:val="28"/>
          <w:highlight w:val="none"/>
          <w:lang w:val="en-US" w:eastAsia="zh-CN" w:bidi="ar"/>
        </w:rPr>
        <w:t>近三年</w:t>
      </w:r>
      <w:r>
        <w:rPr>
          <w:rFonts w:hint="eastAsia" w:ascii="仿宋_GB2312" w:hAnsi="仿宋_GB2312" w:eastAsia="仿宋_GB2312" w:cs="仿宋_GB2312"/>
          <w:b w:val="0"/>
          <w:bCs/>
          <w:sz w:val="28"/>
          <w:szCs w:val="28"/>
          <w:highlight w:val="none"/>
          <w:lang w:eastAsia="zh-CN"/>
        </w:rPr>
        <w:t>阿坝县统计局</w:t>
      </w:r>
      <w:r>
        <w:rPr>
          <w:rFonts w:hint="eastAsia" w:ascii="仿宋_GB2312" w:hAnsi="仿宋_GB2312" w:eastAsia="仿宋_GB2312" w:cs="仿宋_GB2312"/>
          <w:b w:val="0"/>
          <w:bCs/>
          <w:sz w:val="28"/>
          <w:szCs w:val="28"/>
          <w:highlight w:val="none"/>
        </w:rPr>
        <w:t>整体支出预算及使用情况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_Toc1176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5</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_Toc12301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rPr>
        <w:t>2、</w:t>
      </w:r>
      <w:r>
        <w:rPr>
          <w:rFonts w:hint="eastAsia" w:ascii="仿宋_GB2312" w:hAnsi="仿宋_GB2312" w:eastAsia="仿宋_GB2312" w:cs="仿宋_GB2312"/>
          <w:b w:val="0"/>
          <w:bCs/>
          <w:sz w:val="28"/>
          <w:szCs w:val="28"/>
          <w:highlight w:val="none"/>
          <w:lang w:eastAsia="zh-CN"/>
        </w:rPr>
        <w:t>2022年阿坝县统计局</w:t>
      </w:r>
      <w:r>
        <w:rPr>
          <w:rFonts w:hint="eastAsia" w:ascii="仿宋_GB2312" w:hAnsi="仿宋_GB2312" w:eastAsia="仿宋_GB2312" w:cs="仿宋_GB2312"/>
          <w:b w:val="0"/>
          <w:bCs/>
          <w:sz w:val="28"/>
          <w:szCs w:val="28"/>
          <w:highlight w:val="none"/>
        </w:rPr>
        <w:t>预算及支出情况</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_Toc12301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6</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_Toc30895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lang w:val="en-US" w:eastAsia="zh-CN"/>
        </w:rPr>
        <w:t>（三）部门固定资产</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_Toc30895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7</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_Toc23218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（四）部门管理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_Toc23218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8</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_Toc27168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1、决策管理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_Toc27168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8</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_Toc8163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2、财务管理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_Toc8163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8</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_Toc1315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rPr>
        <w:t>3、资产管理</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_Toc1315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_Toc27064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highlight w:val="none"/>
        </w:rPr>
        <w:t>（五）</w:t>
      </w:r>
      <w:r>
        <w:rPr>
          <w:rFonts w:hint="eastAsia" w:ascii="仿宋_GB2312" w:hAnsi="仿宋_GB2312" w:eastAsia="仿宋_GB2312" w:cs="仿宋_GB2312"/>
          <w:b w:val="0"/>
          <w:bCs/>
          <w:sz w:val="28"/>
          <w:szCs w:val="28"/>
          <w:highlight w:val="none"/>
          <w:lang w:eastAsia="zh-CN"/>
        </w:rPr>
        <w:t>阿坝县统计局2022年</w:t>
      </w:r>
      <w:r>
        <w:rPr>
          <w:rFonts w:hint="eastAsia" w:ascii="仿宋_GB2312" w:hAnsi="仿宋_GB2312" w:eastAsia="仿宋_GB2312" w:cs="仿宋_GB2312"/>
          <w:b w:val="0"/>
          <w:bCs/>
          <w:sz w:val="28"/>
          <w:szCs w:val="28"/>
          <w:highlight w:val="none"/>
        </w:rPr>
        <w:t>重点工作</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_Toc27064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_Toc18219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二、评价思路和实施过程</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_Toc18219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_Toc29867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（一）评价目的</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_Toc29867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_Toc9303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（二）评价方法</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_Toc9303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_Toc4029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（三）数据采集方法及过程</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_Toc4029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_Toc13687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三、评价结论及绩效分析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_Toc13687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_Toc18166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（一）评价结论</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_Toc18166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35"/>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_Toc6949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（二）绩效分析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_Toc6949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_Toc4742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1、部门预算管理情况分析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_Toc4742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13</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_Toc26309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2</w:t>
      </w:r>
      <w:r>
        <w:rPr>
          <w:rFonts w:hint="eastAsia" w:ascii="仿宋_GB2312" w:hAnsi="仿宋_GB2312" w:eastAsia="仿宋_GB2312" w:cs="仿宋_GB2312"/>
          <w:b w:val="0"/>
          <w:bCs/>
          <w:sz w:val="28"/>
          <w:szCs w:val="28"/>
        </w:rPr>
        <w:t>、</w:t>
      </w:r>
      <w:r>
        <w:rPr>
          <w:rFonts w:hint="eastAsia" w:ascii="仿宋_GB2312" w:hAnsi="仿宋_GB2312" w:eastAsia="仿宋_GB2312" w:cs="仿宋_GB2312"/>
          <w:b w:val="0"/>
          <w:bCs/>
          <w:sz w:val="28"/>
          <w:szCs w:val="28"/>
          <w:lang w:val="en-US" w:eastAsia="zh-CN"/>
        </w:rPr>
        <w:t>绩效结果应用</w:t>
      </w:r>
      <w:r>
        <w:rPr>
          <w:rFonts w:hint="eastAsia" w:ascii="仿宋_GB2312" w:hAnsi="仿宋_GB2312" w:eastAsia="仿宋_GB2312" w:cs="仿宋_GB2312"/>
          <w:b w:val="0"/>
          <w:bCs/>
          <w:sz w:val="28"/>
          <w:szCs w:val="28"/>
        </w:rPr>
        <w:t>情况分析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_Toc26309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18</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_Toc14422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3、自评质量情况</w:t>
      </w:r>
      <w:r>
        <w:rPr>
          <w:rFonts w:hint="eastAsia" w:ascii="仿宋_GB2312" w:hAnsi="仿宋_GB2312" w:eastAsia="仿宋_GB2312" w:cs="仿宋_GB2312"/>
          <w:b w:val="0"/>
          <w:bCs/>
          <w:sz w:val="28"/>
          <w:szCs w:val="28"/>
        </w:rPr>
        <w:t>分析</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_Toc14422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19</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_Toc8296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四</w:t>
      </w:r>
      <w:r>
        <w:rPr>
          <w:rFonts w:hint="eastAsia" w:ascii="仿宋_GB2312" w:hAnsi="仿宋_GB2312" w:eastAsia="仿宋_GB2312" w:cs="仿宋_GB2312"/>
          <w:b w:val="0"/>
          <w:bCs/>
          <w:sz w:val="28"/>
          <w:szCs w:val="28"/>
        </w:rPr>
        <w:t>、评价发现的主要问题</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_Toc8296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_Toc15057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1、发票开具方与实际支出内容不符、无发票</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_Toc15057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20</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_Toc30951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2、合同签订不规范</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_Toc30951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21</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19"/>
        <w:tabs>
          <w:tab w:val="right" w:leader="dot" w:pos="8786"/>
        </w:tabs>
        <w:rPr>
          <w:rFonts w:hint="eastAsia" w:ascii="仿宋_GB2312" w:hAnsi="仿宋_GB2312" w:eastAsia="仿宋_GB2312" w:cs="仿宋_GB2312"/>
          <w:b w:val="0"/>
          <w:bCs/>
          <w:sz w:val="28"/>
          <w:szCs w:val="28"/>
        </w:rPr>
      </w:pP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HYPERLINK \l _Toc18209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lang w:val="en-US" w:eastAsia="zh-CN"/>
        </w:rPr>
        <w:t>3、审批不规范</w:t>
      </w:r>
      <w:r>
        <w:rPr>
          <w:rFonts w:hint="eastAsia" w:ascii="仿宋_GB2312" w:hAnsi="仿宋_GB2312" w:eastAsia="仿宋_GB2312" w:cs="仿宋_GB2312"/>
          <w:b w:val="0"/>
          <w:bCs/>
          <w:sz w:val="28"/>
          <w:szCs w:val="28"/>
        </w:rPr>
        <w:tab/>
      </w:r>
      <w:r>
        <w:rPr>
          <w:rFonts w:hint="eastAsia" w:ascii="仿宋_GB2312" w:hAnsi="仿宋_GB2312" w:eastAsia="仿宋_GB2312" w:cs="仿宋_GB2312"/>
          <w:b w:val="0"/>
          <w:bCs/>
          <w:sz w:val="28"/>
          <w:szCs w:val="28"/>
        </w:rPr>
        <w:fldChar w:fldCharType="begin"/>
      </w:r>
      <w:r>
        <w:rPr>
          <w:rFonts w:hint="eastAsia" w:ascii="仿宋_GB2312" w:hAnsi="仿宋_GB2312" w:eastAsia="仿宋_GB2312" w:cs="仿宋_GB2312"/>
          <w:b w:val="0"/>
          <w:bCs/>
          <w:sz w:val="28"/>
          <w:szCs w:val="28"/>
        </w:rPr>
        <w:instrText xml:space="preserve"> PAGEREF _Toc18209 \h </w:instrText>
      </w:r>
      <w:r>
        <w:rPr>
          <w:rFonts w:hint="eastAsia" w:ascii="仿宋_GB2312" w:hAnsi="仿宋_GB2312" w:eastAsia="仿宋_GB2312" w:cs="仿宋_GB2312"/>
          <w:b w:val="0"/>
          <w:bCs/>
          <w:sz w:val="28"/>
          <w:szCs w:val="28"/>
        </w:rPr>
        <w:fldChar w:fldCharType="separate"/>
      </w:r>
      <w:r>
        <w:rPr>
          <w:rFonts w:hint="eastAsia" w:ascii="仿宋_GB2312" w:hAnsi="仿宋_GB2312" w:eastAsia="仿宋_GB2312" w:cs="仿宋_GB2312"/>
          <w:b w:val="0"/>
          <w:bCs/>
          <w:sz w:val="28"/>
          <w:szCs w:val="28"/>
        </w:rPr>
        <w:t>22</w:t>
      </w:r>
      <w:r>
        <w:rPr>
          <w:rFonts w:hint="eastAsia" w:ascii="仿宋_GB2312" w:hAnsi="仿宋_GB2312" w:eastAsia="仿宋_GB2312" w:cs="仿宋_GB2312"/>
          <w:b w:val="0"/>
          <w:bCs/>
          <w:sz w:val="28"/>
          <w:szCs w:val="28"/>
        </w:rPr>
        <w:fldChar w:fldCharType="end"/>
      </w:r>
      <w:r>
        <w:rPr>
          <w:rFonts w:hint="eastAsia" w:ascii="仿宋_GB2312" w:hAnsi="仿宋_GB2312" w:eastAsia="仿宋_GB2312" w:cs="仿宋_GB2312"/>
          <w:b w:val="0"/>
          <w:bCs/>
          <w:sz w:val="28"/>
          <w:szCs w:val="28"/>
        </w:rPr>
        <w:fldChar w:fldCharType="end"/>
      </w:r>
    </w:p>
    <w:p>
      <w:pPr>
        <w:pStyle w:val="26"/>
        <w:keepNext w:val="0"/>
        <w:keepLines w:val="0"/>
        <w:pageBreakBefore w:val="0"/>
        <w:widowControl/>
        <w:tabs>
          <w:tab w:val="right" w:leader="dot" w:pos="8786"/>
        </w:tabs>
        <w:kinsoku/>
        <w:wordWrap/>
        <w:overflowPunct/>
        <w:topLinePunct w:val="0"/>
        <w:autoSpaceDE/>
        <w:autoSpaceDN/>
        <w:bidi w:val="0"/>
        <w:adjustRightInd/>
        <w:snapToGrid/>
        <w:spacing w:line="600" w:lineRule="exact"/>
        <w:ind w:firstLine="560" w:firstLineChars="0"/>
        <w:jc w:val="center"/>
        <w:textAlignment w:val="auto"/>
        <w:rPr>
          <w:rFonts w:hint="eastAsia" w:ascii="仿宋_GB2312" w:hAnsi="仿宋_GB2312" w:eastAsia="仿宋_GB2312" w:cs="仿宋_GB2312"/>
          <w:bCs w:val="0"/>
          <w:szCs w:val="28"/>
        </w:rPr>
      </w:pPr>
      <w:r>
        <w:rPr>
          <w:rFonts w:hint="eastAsia" w:ascii="仿宋_GB2312" w:hAnsi="仿宋_GB2312" w:eastAsia="仿宋_GB2312" w:cs="仿宋_GB2312"/>
          <w:bCs w:val="0"/>
          <w:szCs w:val="28"/>
        </w:rPr>
        <w:fldChar w:fldCharType="end"/>
      </w:r>
      <w:bookmarkStart w:id="0" w:name="_Toc15798"/>
      <w:bookmarkStart w:id="1" w:name="_Toc149"/>
    </w:p>
    <w:p>
      <w:pPr>
        <w:pStyle w:val="2"/>
        <w:spacing w:before="156" w:after="156"/>
        <w:ind w:firstLine="640"/>
        <w:jc w:val="center"/>
        <w:rPr>
          <w:rFonts w:hint="default" w:ascii="Times New Roman" w:hAnsi="Times New Roman" w:eastAsia="微软雅黑" w:cs="Times New Roman"/>
          <w:sz w:val="32"/>
        </w:rPr>
        <w:sectPr>
          <w:headerReference r:id="rId8" w:type="default"/>
          <w:footerReference r:id="rId9"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pPr>
      <w:bookmarkStart w:id="2" w:name="_Toc31126"/>
      <w:bookmarkStart w:id="3" w:name="_Toc8978"/>
      <w:bookmarkStart w:id="4" w:name="_Toc16510"/>
    </w:p>
    <w:p>
      <w:pPr>
        <w:pStyle w:val="2"/>
        <w:spacing w:before="156" w:after="156"/>
        <w:ind w:firstLine="640"/>
        <w:jc w:val="center"/>
        <w:rPr>
          <w:rFonts w:hint="default" w:ascii="Times New Roman" w:hAnsi="Times New Roman" w:eastAsia="微软雅黑" w:cs="Times New Roman"/>
          <w:sz w:val="32"/>
          <w:szCs w:val="32"/>
        </w:rPr>
      </w:pPr>
      <w:bookmarkStart w:id="5" w:name="_Toc28689"/>
      <w:bookmarkStart w:id="6" w:name="_Toc20668"/>
      <w:bookmarkStart w:id="7" w:name="_Toc10231"/>
      <w:r>
        <w:rPr>
          <w:rFonts w:hint="default" w:ascii="Times New Roman" w:hAnsi="Times New Roman" w:eastAsia="微软雅黑" w:cs="Times New Roman"/>
          <w:sz w:val="32"/>
        </w:rPr>
        <w:t>摘  要</w:t>
      </w:r>
      <w:bookmarkEnd w:id="0"/>
      <w:bookmarkEnd w:id="1"/>
      <w:bookmarkEnd w:id="2"/>
      <w:bookmarkEnd w:id="3"/>
      <w:bookmarkEnd w:id="4"/>
      <w:bookmarkEnd w:id="5"/>
      <w:bookmarkEnd w:id="6"/>
      <w:bookmarkEnd w:id="7"/>
    </w:p>
    <w:p>
      <w:pPr>
        <w:numPr>
          <w:ilvl w:val="0"/>
          <w:numId w:val="1"/>
        </w:num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rPr>
      </w:pPr>
      <w:r>
        <w:rPr>
          <w:rFonts w:hint="default" w:ascii="Times New Roman" w:hAnsi="Times New Roman" w:eastAsia="黑体" w:cs="Times New Roman"/>
          <w:b/>
          <w:bCs/>
          <w:sz w:val="30"/>
          <w:szCs w:val="30"/>
        </w:rPr>
        <w:t>概述</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auto"/>
          <w:kern w:val="0"/>
          <w:sz w:val="32"/>
          <w:szCs w:val="32"/>
          <w:highlight w:val="none"/>
          <w:shd w:val="clear" w:color="auto" w:fill="FFFFFF"/>
          <w:lang w:val="en-US" w:eastAsia="zh-CN" w:bidi="ar-SA"/>
        </w:rPr>
      </w:pPr>
      <w:r>
        <w:rPr>
          <w:rFonts w:hint="eastAsia" w:eastAsia="仿宋_GB2312" w:cs="Times New Roman"/>
          <w:color w:val="auto"/>
          <w:kern w:val="0"/>
          <w:sz w:val="32"/>
          <w:szCs w:val="32"/>
          <w:highlight w:val="none"/>
          <w:shd w:val="clear" w:color="auto" w:fill="FFFFFF"/>
          <w:lang w:val="en-US" w:eastAsia="zh-CN" w:bidi="ar-SA"/>
        </w:rPr>
        <w:t>阿坝县统计局（简称县统计局）是阿坝县人民政府工作部门。阿坝县统计局下设办公室、统计执法股、业务综合股、阿坝县统计局下属二级单位1个，其中参公单位1个为普查中心。</w:t>
      </w:r>
    </w:p>
    <w:p>
      <w:pPr>
        <w:pStyle w:val="24"/>
        <w:keepNext w:val="0"/>
        <w:keepLines w:val="0"/>
        <w:pageBreakBefore w:val="0"/>
        <w:widowControl w:val="0"/>
        <w:kinsoku/>
        <w:wordWrap/>
        <w:overflowPunct/>
        <w:topLinePunct w:val="0"/>
        <w:autoSpaceDE/>
        <w:autoSpaceDN/>
        <w:bidi w:val="0"/>
        <w:adjustRightInd/>
        <w:snapToGrid w:val="0"/>
        <w:spacing w:line="600" w:lineRule="exact"/>
        <w:ind w:firstLine="0" w:firstLineChars="0"/>
        <w:jc w:val="both"/>
        <w:textAlignment w:val="auto"/>
        <w:rPr>
          <w:rFonts w:hint="default" w:ascii="Times New Roman" w:hAnsi="Times New Roman" w:eastAsia="仿宋_GB2312" w:cs="Times New Roman"/>
          <w:b w:val="0"/>
          <w:bCs w:val="0"/>
          <w:color w:val="000000"/>
          <w:kern w:val="0"/>
          <w:sz w:val="32"/>
          <w:szCs w:val="32"/>
          <w:highlight w:val="none"/>
          <w:lang w:val="en-US" w:eastAsia="zh-CN" w:bidi="ar"/>
        </w:rPr>
      </w:pPr>
      <w:r>
        <w:rPr>
          <w:rFonts w:hint="eastAsia" w:eastAsia="仿宋_GB2312" w:cs="Times New Roman"/>
          <w:color w:val="auto"/>
          <w:kern w:val="0"/>
          <w:sz w:val="32"/>
          <w:szCs w:val="32"/>
          <w:highlight w:val="none"/>
          <w:shd w:val="clear" w:color="auto" w:fill="FFFFFF"/>
          <w:lang w:val="en-US" w:eastAsia="zh-CN" w:bidi="ar-SA"/>
        </w:rPr>
        <w:t>根据阿坝县人民政府办公室《关于印发县统计局主要职责、内设机构和人员编制规定的通知》（阿县府办发〔2014〕116号）阿坝县统计局为正科级行政机构，行政编制6名。其中：局长1名、副局长2名；正科级领导职数1名，副科级领导职数2名。机关工勤人员编制1名。</w:t>
      </w:r>
      <w:r>
        <w:rPr>
          <w:rFonts w:hint="default" w:ascii="Times New Roman" w:hAnsi="Times New Roman" w:eastAsia="仿宋_GB2312" w:cs="Times New Roman"/>
          <w:color w:val="auto"/>
          <w:kern w:val="0"/>
          <w:sz w:val="32"/>
          <w:szCs w:val="32"/>
          <w:highlight w:val="none"/>
          <w:shd w:val="clear" w:color="auto" w:fill="FFFFFF"/>
          <w:lang w:val="en-US" w:eastAsia="zh-CN" w:bidi="ar-SA"/>
        </w:rPr>
        <w:t>截至绩效评价日，</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在</w:t>
      </w:r>
      <w:r>
        <w:rPr>
          <w:rFonts w:hint="default" w:ascii="Times New Roman" w:hAnsi="Times New Roman" w:eastAsia="仿宋_GB2312" w:cs="Times New Roman"/>
          <w:color w:val="auto"/>
          <w:kern w:val="0"/>
          <w:sz w:val="32"/>
          <w:szCs w:val="32"/>
          <w:highlight w:val="none"/>
          <w:shd w:val="clear" w:color="auto" w:fill="FFFFFF"/>
          <w:lang w:val="en-US" w:eastAsia="zh-CN" w:bidi="ar-SA"/>
        </w:rPr>
        <w:t>编人员共计</w:t>
      </w:r>
      <w:r>
        <w:rPr>
          <w:rFonts w:hint="eastAsia" w:eastAsia="仿宋_GB2312" w:cs="Times New Roman"/>
          <w:color w:val="auto"/>
          <w:kern w:val="0"/>
          <w:sz w:val="32"/>
          <w:szCs w:val="32"/>
          <w:highlight w:val="none"/>
          <w:shd w:val="clear" w:color="auto" w:fill="FFFFFF"/>
          <w:lang w:val="en-US" w:eastAsia="zh-CN" w:bidi="ar-SA"/>
        </w:rPr>
        <w:t>16</w:t>
      </w:r>
      <w:r>
        <w:rPr>
          <w:rFonts w:hint="default" w:ascii="Times New Roman" w:hAnsi="Times New Roman" w:eastAsia="仿宋_GB2312" w:cs="Times New Roman"/>
          <w:color w:val="auto"/>
          <w:kern w:val="0"/>
          <w:sz w:val="32"/>
          <w:szCs w:val="32"/>
          <w:highlight w:val="none"/>
          <w:shd w:val="clear" w:color="auto" w:fill="FFFFFF"/>
          <w:lang w:val="en-US" w:eastAsia="zh-CN" w:bidi="ar-SA"/>
        </w:rPr>
        <w:t>名</w:t>
      </w:r>
      <w:r>
        <w:rPr>
          <w:rFonts w:hint="eastAsia" w:ascii="Times New Roman" w:hAnsi="Times New Roman" w:eastAsia="仿宋_GB2312" w:cs="Times New Roman"/>
          <w:b w:val="0"/>
          <w:bCs w:val="0"/>
          <w:color w:val="000000"/>
          <w:kern w:val="0"/>
          <w:sz w:val="32"/>
          <w:szCs w:val="32"/>
          <w:highlight w:val="none"/>
          <w:lang w:val="en-US" w:eastAsia="zh-CN" w:bidi="ar"/>
        </w:rPr>
        <w:t>。</w:t>
      </w:r>
    </w:p>
    <w:p>
      <w:pPr>
        <w:tabs>
          <w:tab w:val="center" w:pos="4405"/>
        </w:tabs>
        <w:overflowPunct w:val="0"/>
        <w:autoSpaceDE w:val="0"/>
        <w:autoSpaceDN w:val="0"/>
        <w:adjustRightInd w:val="0"/>
        <w:spacing w:line="600" w:lineRule="exact"/>
        <w:ind w:firstLine="0" w:firstLineChars="0"/>
        <w:rPr>
          <w:rFonts w:hint="default" w:ascii="Times New Roman" w:hAnsi="Times New Roman" w:eastAsia="黑体" w:cs="Times New Roman"/>
          <w:b/>
          <w:bCs/>
          <w:sz w:val="30"/>
          <w:szCs w:val="30"/>
          <w:highlight w:val="none"/>
        </w:rPr>
      </w:pPr>
      <w:r>
        <w:rPr>
          <w:rFonts w:hint="default" w:ascii="Times New Roman" w:hAnsi="Times New Roman" w:eastAsia="黑体" w:cs="Times New Roman"/>
          <w:b/>
          <w:bCs/>
          <w:sz w:val="30"/>
          <w:szCs w:val="30"/>
          <w:highlight w:val="none"/>
        </w:rPr>
        <w:t>二、评价结论和绩效分析</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2022年1月-2022年12月</w:t>
      </w:r>
      <w:r>
        <w:rPr>
          <w:rFonts w:hint="eastAsia"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49.94</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，百分制换算</w:t>
      </w:r>
      <w:r>
        <w:rPr>
          <w:rFonts w:hint="default" w:ascii="Times New Roman" w:hAnsi="Times New Roman" w:eastAsia="仿宋_GB2312" w:cs="Times New Roman"/>
          <w:color w:val="auto"/>
          <w:kern w:val="0"/>
          <w:sz w:val="32"/>
          <w:szCs w:val="32"/>
          <w:highlight w:val="none"/>
          <w:shd w:val="clear" w:color="auto" w:fill="FFFFFF"/>
          <w:lang w:val="en-US" w:eastAsia="zh-CN" w:bidi="ar-SA"/>
        </w:rPr>
        <w:t>得分69.36分。</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ascii="Times New Roman" w:hAnsi="Times New Roman"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0"/>
        <w:tblW w:w="833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668"/>
        <w:gridCol w:w="1206"/>
        <w:gridCol w:w="1386"/>
        <w:gridCol w:w="1788"/>
        <w:gridCol w:w="12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5" w:hRule="atLeast"/>
          <w:jc w:val="center"/>
        </w:trPr>
        <w:tc>
          <w:tcPr>
            <w:tcW w:w="2668"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指标</w:t>
            </w:r>
          </w:p>
        </w:tc>
        <w:tc>
          <w:tcPr>
            <w:tcW w:w="1206"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权重</w:t>
            </w:r>
          </w:p>
        </w:tc>
        <w:tc>
          <w:tcPr>
            <w:tcW w:w="1386"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评价权重</w:t>
            </w:r>
          </w:p>
        </w:tc>
        <w:tc>
          <w:tcPr>
            <w:tcW w:w="1788"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评价权重得分</w:t>
            </w:r>
          </w:p>
        </w:tc>
        <w:tc>
          <w:tcPr>
            <w:tcW w:w="1286"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得分率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2" w:hRule="atLeast"/>
          <w:jc w:val="center"/>
        </w:trPr>
        <w:tc>
          <w:tcPr>
            <w:tcW w:w="266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部门预算项目绩效管理</w:t>
            </w:r>
          </w:p>
        </w:tc>
        <w:tc>
          <w:tcPr>
            <w:tcW w:w="120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80</w:t>
            </w:r>
          </w:p>
        </w:tc>
        <w:tc>
          <w:tcPr>
            <w:tcW w:w="13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60</w:t>
            </w:r>
          </w:p>
        </w:tc>
        <w:tc>
          <w:tcPr>
            <w:tcW w:w="178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47.94</w:t>
            </w:r>
          </w:p>
        </w:tc>
        <w:tc>
          <w:tcPr>
            <w:tcW w:w="12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79.90%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0" w:hRule="atLeast"/>
          <w:jc w:val="center"/>
        </w:trPr>
        <w:tc>
          <w:tcPr>
            <w:tcW w:w="266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绩效结果应用</w:t>
            </w:r>
          </w:p>
        </w:tc>
        <w:tc>
          <w:tcPr>
            <w:tcW w:w="120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w:t>
            </w:r>
          </w:p>
        </w:tc>
        <w:tc>
          <w:tcPr>
            <w:tcW w:w="13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2</w:t>
            </w:r>
          </w:p>
        </w:tc>
        <w:tc>
          <w:tcPr>
            <w:tcW w:w="178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2</w:t>
            </w:r>
          </w:p>
        </w:tc>
        <w:tc>
          <w:tcPr>
            <w:tcW w:w="12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266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自评质量</w:t>
            </w:r>
          </w:p>
        </w:tc>
        <w:tc>
          <w:tcPr>
            <w:tcW w:w="120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w:t>
            </w:r>
          </w:p>
        </w:tc>
        <w:tc>
          <w:tcPr>
            <w:tcW w:w="13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w:t>
            </w:r>
          </w:p>
        </w:tc>
        <w:tc>
          <w:tcPr>
            <w:tcW w:w="178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0</w:t>
            </w:r>
          </w:p>
        </w:tc>
        <w:tc>
          <w:tcPr>
            <w:tcW w:w="12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2668"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得分合计</w:t>
            </w:r>
          </w:p>
        </w:tc>
        <w:tc>
          <w:tcPr>
            <w:tcW w:w="1206"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100</w:t>
            </w:r>
          </w:p>
        </w:tc>
        <w:tc>
          <w:tcPr>
            <w:tcW w:w="1386"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72</w:t>
            </w:r>
          </w:p>
        </w:tc>
        <w:tc>
          <w:tcPr>
            <w:tcW w:w="1788"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49.94</w:t>
            </w:r>
          </w:p>
        </w:tc>
        <w:tc>
          <w:tcPr>
            <w:tcW w:w="1286"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69.36%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5260" w:type="dxa"/>
            <w:gridSpan w:val="3"/>
            <w:tcBorders>
              <w:top w:val="nil"/>
              <w:left w:val="single" w:color="000000" w:sz="8" w:space="0"/>
              <w:bottom w:val="single" w:color="000000" w:sz="8" w:space="0"/>
              <w:right w:val="single" w:color="000000" w:sz="8" w:space="0"/>
            </w:tcBorders>
            <w:shd w:val="clear" w:color="auto" w:fill="BEBEBE" w:themeFill="background1" w:themeFillShade="BF"/>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百分制换算得分合计</w:t>
            </w:r>
          </w:p>
        </w:tc>
        <w:tc>
          <w:tcPr>
            <w:tcW w:w="1788"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69.36</w:t>
            </w:r>
          </w:p>
        </w:tc>
        <w:tc>
          <w:tcPr>
            <w:tcW w:w="1286"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69.36%</w:t>
            </w:r>
          </w:p>
        </w:tc>
      </w:tr>
    </w:tbl>
    <w:p>
      <w:pPr>
        <w:pageBreakBefore w:val="0"/>
        <w:tabs>
          <w:tab w:val="center" w:pos="4405"/>
        </w:tabs>
        <w:kinsoku/>
        <w:wordWrap/>
        <w:overflowPunct w:val="0"/>
        <w:topLinePunct w:val="0"/>
        <w:autoSpaceDE w:val="0"/>
        <w:autoSpaceDN w:val="0"/>
        <w:bidi w:val="0"/>
        <w:adjustRightInd w:val="0"/>
        <w:spacing w:line="600" w:lineRule="exact"/>
        <w:ind w:left="0" w:leftChars="0" w:firstLine="0" w:firstLineChars="0"/>
        <w:textAlignment w:val="auto"/>
        <w:rPr>
          <w:rFonts w:hint="default" w:ascii="Times New Roman" w:hAnsi="Times New Roman" w:eastAsia="黑体" w:cs="Times New Roman"/>
          <w:b/>
          <w:bCs/>
          <w:sz w:val="30"/>
          <w:szCs w:val="30"/>
        </w:rPr>
      </w:pPr>
    </w:p>
    <w:p>
      <w:pPr>
        <w:snapToGrid w:val="0"/>
        <w:spacing w:line="600" w:lineRule="atLeast"/>
        <w:ind w:left="0" w:leftChars="0" w:firstLine="0" w:firstLineChars="0"/>
        <w:jc w:val="left"/>
        <w:rPr>
          <w:rFonts w:hint="default" w:ascii="Times New Roman" w:hAnsi="Times New Roman" w:eastAsia="仿宋" w:cs="Times New Roman"/>
          <w:b/>
          <w:sz w:val="36"/>
          <w:szCs w:val="44"/>
          <w:lang w:eastAsia="zh-CN"/>
        </w:rPr>
        <w:sectPr>
          <w:footerReference r:id="rId10"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pPr>
    </w:p>
    <w:p>
      <w:pPr>
        <w:snapToGrid w:val="0"/>
        <w:spacing w:line="600" w:lineRule="atLeast"/>
        <w:ind w:left="0" w:leftChars="0" w:firstLine="0" w:firstLineChars="0"/>
        <w:jc w:val="left"/>
        <w:rPr>
          <w:rFonts w:hint="default" w:ascii="Times New Roman" w:hAnsi="Times New Roman" w:eastAsia="仿宋" w:cs="Times New Roman"/>
          <w:b/>
          <w:sz w:val="36"/>
          <w:szCs w:val="44"/>
          <w:lang w:eastAsia="zh-CN"/>
        </w:rPr>
      </w:pPr>
      <w:r>
        <w:rPr>
          <w:rFonts w:hint="eastAsia"/>
          <w:b/>
          <w:sz w:val="44"/>
          <w:szCs w:val="44"/>
          <w:u w:val="single"/>
          <w:shd w:val="clear" w:color="auto" w:fill="FFFFFF"/>
        </w:rPr>
        <w:drawing>
          <wp:inline distT="0" distB="0" distL="114300" distR="114300">
            <wp:extent cx="5481320" cy="1125220"/>
            <wp:effectExtent l="0" t="0" r="5080" b="2540"/>
            <wp:docPr id="1" name="图片 1" descr="113e0fc710a5a4f3d65bc20155a406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113e0fc710a5a4f3d65bc20155a406f"/>
                    <pic:cNvPicPr>
                      <a:picLocks noChangeAspect="1"/>
                    </pic:cNvPicPr>
                  </pic:nvPicPr>
                  <pic:blipFill>
                    <a:blip r:embed="rId14"/>
                    <a:stretch>
                      <a:fillRect/>
                    </a:stretch>
                  </pic:blipFill>
                  <pic:spPr>
                    <a:xfrm>
                      <a:off x="0" y="0"/>
                      <a:ext cx="5481320" cy="1125220"/>
                    </a:xfrm>
                    <a:prstGeom prst="rect">
                      <a:avLst/>
                    </a:prstGeom>
                    <a:noFill/>
                    <a:ln>
                      <a:noFill/>
                    </a:ln>
                  </pic:spPr>
                </pic:pic>
              </a:graphicData>
            </a:graphic>
          </wp:inline>
        </w:drawing>
      </w:r>
    </w:p>
    <w:p>
      <w:pPr>
        <w:snapToGrid w:val="0"/>
        <w:spacing w:line="600" w:lineRule="atLeast"/>
        <w:ind w:firstLine="723"/>
        <w:jc w:val="center"/>
        <w:rPr>
          <w:rFonts w:hint="default" w:ascii="Times New Roman" w:hAnsi="Times New Roman" w:eastAsia="黑体" w:cs="Times New Roman"/>
          <w:b/>
          <w:sz w:val="36"/>
          <w:szCs w:val="36"/>
          <w:lang w:val="en-US" w:eastAsia="zh-CN"/>
        </w:rPr>
      </w:pPr>
      <w:r>
        <w:rPr>
          <w:rFonts w:hint="default" w:ascii="Times New Roman" w:hAnsi="Times New Roman" w:eastAsia="仿宋" w:cs="Times New Roman"/>
          <w:b/>
          <w:sz w:val="36"/>
          <w:szCs w:val="44"/>
          <w:lang w:val="en-US" w:eastAsia="zh-CN"/>
        </w:rPr>
        <w:t xml:space="preserve">                 </w:t>
      </w:r>
      <w:r>
        <w:rPr>
          <w:rFonts w:hint="default" w:ascii="Times New Roman" w:hAnsi="Times New Roman" w:eastAsia="黑体" w:cs="Times New Roman"/>
          <w:b/>
          <w:sz w:val="32"/>
          <w:szCs w:val="32"/>
          <w:lang w:val="en-US" w:eastAsia="zh-CN"/>
        </w:rPr>
        <w:t>川融策绩评〔2023〕第</w:t>
      </w:r>
      <w:r>
        <w:rPr>
          <w:rFonts w:hint="eastAsia" w:eastAsia="黑体" w:cs="Times New Roman"/>
          <w:b/>
          <w:sz w:val="32"/>
          <w:szCs w:val="32"/>
          <w:lang w:val="en-US" w:eastAsia="zh-CN"/>
        </w:rPr>
        <w:t>××</w:t>
      </w:r>
      <w:r>
        <w:rPr>
          <w:rFonts w:hint="default" w:ascii="Times New Roman" w:hAnsi="Times New Roman" w:eastAsia="黑体" w:cs="Times New Roman"/>
          <w:b/>
          <w:sz w:val="32"/>
          <w:szCs w:val="32"/>
          <w:lang w:val="en-US" w:eastAsia="zh-CN"/>
        </w:rPr>
        <w:t>号</w:t>
      </w:r>
    </w:p>
    <w:p>
      <w:pPr>
        <w:ind w:firstLine="0" w:firstLineChars="0"/>
        <w:jc w:val="center"/>
        <w:rPr>
          <w:rFonts w:hint="default" w:ascii="Times New Roman" w:hAnsi="Times New Roman" w:cs="Times New Roman"/>
          <w:b/>
          <w:bCs/>
          <w:spacing w:val="-14"/>
          <w:sz w:val="36"/>
          <w:szCs w:val="36"/>
          <w:lang w:val="en-US" w:eastAsia="zh-CN"/>
        </w:rPr>
      </w:pPr>
    </w:p>
    <w:p>
      <w:pPr>
        <w:autoSpaceDE w:val="0"/>
        <w:autoSpaceDN w:val="0"/>
        <w:spacing w:line="600" w:lineRule="exact"/>
        <w:ind w:firstLine="0" w:firstLineChars="0"/>
        <w:jc w:val="center"/>
        <w:rPr>
          <w:rFonts w:hint="eastAsia"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阿坝县统计局</w:t>
      </w:r>
    </w:p>
    <w:p>
      <w:pPr>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r>
        <w:rPr>
          <w:rFonts w:hint="eastAsia" w:ascii="Times New Roman" w:hAnsi="Times New Roman" w:eastAsia="方正小标宋简体" w:cs="Times New Roman"/>
          <w:kern w:val="0"/>
          <w:sz w:val="44"/>
          <w:szCs w:val="44"/>
          <w:lang w:val="en-US" w:eastAsia="zh-CN" w:bidi="zh-CN"/>
        </w:rPr>
        <w:t>2022年部门整体支出</w:t>
      </w:r>
      <w:r>
        <w:rPr>
          <w:rFonts w:hint="default" w:ascii="Times New Roman" w:hAnsi="Times New Roman" w:eastAsia="方正小标宋简体" w:cs="Times New Roman"/>
          <w:kern w:val="0"/>
          <w:sz w:val="44"/>
          <w:szCs w:val="44"/>
          <w:lang w:val="en-US" w:eastAsia="zh-CN" w:bidi="zh-CN"/>
        </w:rPr>
        <w:t>绩效评价报告</w:t>
      </w:r>
    </w:p>
    <w:p>
      <w:pPr>
        <w:autoSpaceDE w:val="0"/>
        <w:autoSpaceDN w:val="0"/>
        <w:spacing w:line="600" w:lineRule="exact"/>
        <w:ind w:firstLine="0" w:firstLineChars="0"/>
        <w:jc w:val="center"/>
        <w:rPr>
          <w:rFonts w:hint="default" w:ascii="Times New Roman" w:hAnsi="Times New Roman" w:eastAsia="方正小标宋简体" w:cs="Times New Roman"/>
          <w:kern w:val="0"/>
          <w:sz w:val="44"/>
          <w:szCs w:val="44"/>
          <w:lang w:val="en-US" w:eastAsia="zh-CN" w:bidi="zh-CN"/>
        </w:rPr>
      </w:pPr>
    </w:p>
    <w:p>
      <w:pPr>
        <w:spacing w:line="520" w:lineRule="exact"/>
        <w:ind w:firstLine="0" w:firstLineChars="0"/>
        <w:rPr>
          <w:rFonts w:hint="default" w:ascii="黑体" w:hAnsi="黑体" w:eastAsia="黑体" w:cs="黑体"/>
          <w:b/>
          <w:sz w:val="32"/>
          <w:szCs w:val="32"/>
          <w:lang w:val="zh-CN" w:eastAsia="zh-CN"/>
        </w:rPr>
      </w:pPr>
      <w:r>
        <w:rPr>
          <w:rFonts w:hint="eastAsia" w:ascii="黑体" w:hAnsi="黑体" w:eastAsia="黑体" w:cs="黑体"/>
          <w:b/>
          <w:sz w:val="32"/>
          <w:szCs w:val="32"/>
          <w:lang w:val="en-US" w:eastAsia="zh-CN"/>
        </w:rPr>
        <w:t>阿坝县财政局</w:t>
      </w:r>
      <w:r>
        <w:rPr>
          <w:rFonts w:hint="default" w:ascii="黑体" w:hAnsi="黑体" w:eastAsia="黑体" w:cs="黑体"/>
          <w:b/>
          <w:sz w:val="32"/>
          <w:szCs w:val="32"/>
          <w:lang w:val="zh-CN" w:eastAsia="zh-CN"/>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我们接受委托，于2023年10月2</w:t>
      </w:r>
      <w:r>
        <w:rPr>
          <w:rFonts w:hint="eastAsia" w:eastAsia="仿宋_GB2312" w:cs="Times New Roman"/>
          <w:color w:val="000000"/>
          <w:kern w:val="0"/>
          <w:sz w:val="32"/>
          <w:szCs w:val="32"/>
          <w:highlight w:val="none"/>
          <w:lang w:val="en-US" w:eastAsia="zh-CN" w:bidi="ar"/>
        </w:rPr>
        <w:t>2</w:t>
      </w:r>
      <w:r>
        <w:rPr>
          <w:rFonts w:hint="eastAsia" w:ascii="Times New Roman" w:hAnsi="Times New Roman" w:eastAsia="仿宋_GB2312" w:cs="Times New Roman"/>
          <w:color w:val="000000"/>
          <w:kern w:val="0"/>
          <w:sz w:val="32"/>
          <w:szCs w:val="32"/>
          <w:highlight w:val="none"/>
          <w:lang w:val="en-US" w:eastAsia="zh-CN" w:bidi="ar"/>
        </w:rPr>
        <w:t>日-2023年11月30日对“阿坝县统计局</w:t>
      </w:r>
      <w:r>
        <w:rPr>
          <w:rFonts w:hint="eastAsia" w:eastAsia="仿宋_GB2312" w:cs="Times New Roman"/>
          <w:color w:val="000000"/>
          <w:kern w:val="0"/>
          <w:sz w:val="32"/>
          <w:szCs w:val="32"/>
          <w:highlight w:val="none"/>
          <w:lang w:val="en-US" w:eastAsia="zh-CN" w:bidi="ar"/>
        </w:rPr>
        <w:t>2022年</w:t>
      </w:r>
      <w:r>
        <w:rPr>
          <w:rFonts w:hint="eastAsia" w:ascii="Times New Roman" w:hAnsi="Times New Roman" w:eastAsia="仿宋_GB2312" w:cs="Times New Roman"/>
          <w:color w:val="000000"/>
          <w:kern w:val="0"/>
          <w:sz w:val="32"/>
          <w:szCs w:val="32"/>
          <w:highlight w:val="none"/>
          <w:lang w:val="en-US" w:eastAsia="zh-CN" w:bidi="ar"/>
        </w:rPr>
        <w:t>部门整体”财政支出进行绩效评价。阿坝县统计局作为被评价单位，提供了与本次部门整体支出绩效评价相关的资料，并对这些资料的真实性、合法性和完整性负责。我们的责任是依据被评价单位提供的评价基础资料，根据《国务院关于深化预算管理制度改革的决定》（国发〔2014〕45号）、《预算法》以及《四川省财政支出绩效评价管理办法》的规定，按照《中共四川省委 四川省人民政府关于全面实施预算绩效管理的实施意见》（川委发〔2019〕8号）</w:t>
      </w:r>
      <w:r>
        <w:rPr>
          <w:rFonts w:hint="eastAsia" w:ascii="Times New Roman" w:hAnsi="Times New Roman" w:eastAsia="仿宋_GB2312" w:cs="Times New Roman"/>
          <w:color w:val="auto"/>
          <w:kern w:val="0"/>
          <w:sz w:val="32"/>
          <w:szCs w:val="32"/>
          <w:highlight w:val="none"/>
          <w:shd w:val="clear" w:color="auto" w:fill="FFFFFF"/>
          <w:lang w:val="en-US" w:eastAsia="zh-CN"/>
        </w:rPr>
        <w:t>和《阿坝州财政局关于做好财政厅2023年政策和项目支出绩效评价工作的通知》（阿州财监绩〔2023〕21号）</w:t>
      </w:r>
      <w:r>
        <w:rPr>
          <w:rFonts w:hint="eastAsia" w:eastAsia="仿宋_GB2312" w:cs="Times New Roman"/>
          <w:color w:val="auto"/>
          <w:kern w:val="0"/>
          <w:sz w:val="32"/>
          <w:szCs w:val="32"/>
          <w:highlight w:val="none"/>
          <w:shd w:val="clear" w:color="auto" w:fill="FFFFFF"/>
          <w:lang w:val="en-US" w:eastAsia="zh-CN"/>
        </w:rPr>
        <w:t>《阿坝县财政局关于开展2023年部门、政策和项目支出绩效评价工作的通知》（阿县财监绩〔2023〕30号）</w:t>
      </w:r>
      <w:r>
        <w:rPr>
          <w:rFonts w:hint="eastAsia" w:ascii="Times New Roman" w:hAnsi="Times New Roman" w:eastAsia="仿宋_GB2312" w:cs="Times New Roman"/>
          <w:color w:val="000000"/>
          <w:kern w:val="0"/>
          <w:sz w:val="32"/>
          <w:szCs w:val="32"/>
          <w:highlight w:val="none"/>
          <w:lang w:val="en-US" w:eastAsia="zh-CN" w:bidi="ar"/>
        </w:rPr>
        <w:t>的相关要求，遵循科学性、规范性、客观性和公正性的原则，对“阿坝县统计局</w:t>
      </w:r>
      <w:r>
        <w:rPr>
          <w:rFonts w:hint="eastAsia" w:eastAsia="仿宋_GB2312" w:cs="Times New Roman"/>
          <w:color w:val="000000"/>
          <w:kern w:val="0"/>
          <w:sz w:val="32"/>
          <w:szCs w:val="32"/>
          <w:highlight w:val="none"/>
          <w:lang w:val="en-US" w:eastAsia="zh-CN" w:bidi="ar"/>
        </w:rPr>
        <w:t>2022年</w:t>
      </w:r>
      <w:r>
        <w:rPr>
          <w:rFonts w:hint="eastAsia" w:ascii="Times New Roman" w:hAnsi="Times New Roman" w:eastAsia="仿宋_GB2312" w:cs="Times New Roman"/>
          <w:color w:val="000000"/>
          <w:kern w:val="0"/>
          <w:sz w:val="32"/>
          <w:szCs w:val="32"/>
          <w:highlight w:val="none"/>
          <w:lang w:val="en-US" w:eastAsia="zh-CN" w:bidi="ar"/>
        </w:rPr>
        <w:t>部门整体支出”财政支出绩效实施了评价，形成本评价报告。我们相信，我们的评价工作为发表意见提供了合理的基础。本次评价具体情况如下：</w:t>
      </w:r>
    </w:p>
    <w:p>
      <w:pPr>
        <w:pStyle w:val="2"/>
        <w:spacing w:before="156" w:after="156" w:line="600" w:lineRule="exact"/>
        <w:ind w:firstLine="602"/>
        <w:rPr>
          <w:rFonts w:hint="default" w:ascii="Times New Roman" w:hAnsi="Times New Roman" w:cs="Times New Roman"/>
          <w:sz w:val="30"/>
          <w:szCs w:val="30"/>
        </w:rPr>
      </w:pPr>
      <w:bookmarkStart w:id="8" w:name="_Toc16362"/>
      <w:bookmarkStart w:id="9" w:name="_Toc686"/>
      <w:bookmarkStart w:id="10" w:name="_Toc28860"/>
      <w:bookmarkStart w:id="11" w:name="_Toc27707"/>
      <w:bookmarkStart w:id="12" w:name="_Toc5235"/>
      <w:bookmarkStart w:id="13" w:name="_Toc8760"/>
      <w:bookmarkStart w:id="14" w:name="_Toc8512"/>
      <w:r>
        <w:rPr>
          <w:rFonts w:hint="default" w:ascii="Times New Roman" w:hAnsi="Times New Roman" w:cs="Times New Roman"/>
          <w:sz w:val="30"/>
          <w:szCs w:val="30"/>
        </w:rPr>
        <w:t>一、</w:t>
      </w:r>
      <w:bookmarkEnd w:id="8"/>
      <w:r>
        <w:rPr>
          <w:rFonts w:hint="default" w:ascii="Times New Roman" w:hAnsi="Times New Roman" w:cs="Times New Roman"/>
          <w:sz w:val="30"/>
          <w:szCs w:val="30"/>
        </w:rPr>
        <w:t>部门概况</w:t>
      </w:r>
      <w:bookmarkEnd w:id="9"/>
      <w:bookmarkEnd w:id="10"/>
      <w:bookmarkEnd w:id="11"/>
      <w:bookmarkEnd w:id="12"/>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15" w:name="_Toc1048"/>
      <w:bookmarkStart w:id="16" w:name="_Toc4305"/>
      <w:bookmarkStart w:id="17" w:name="_Toc771"/>
      <w:bookmarkStart w:id="18" w:name="_Toc30031"/>
      <w:r>
        <w:rPr>
          <w:rFonts w:hint="default" w:ascii="Times New Roman" w:hAnsi="Times New Roman" w:eastAsia="楷体_GB2312" w:cs="Times New Roman"/>
          <w:color w:val="auto"/>
          <w:sz w:val="32"/>
        </w:rPr>
        <w:t>（一）部门机构设置、编制、职责</w:t>
      </w:r>
      <w:bookmarkEnd w:id="15"/>
      <w:bookmarkEnd w:id="16"/>
      <w:bookmarkEnd w:id="17"/>
      <w:bookmarkEnd w:id="18"/>
    </w:p>
    <w:p>
      <w:pPr>
        <w:pStyle w:val="4"/>
        <w:pageBreakBefore w:val="0"/>
        <w:widowControl w:val="0"/>
        <w:kinsoku/>
        <w:wordWrap/>
        <w:overflowPunct/>
        <w:topLinePunct w:val="0"/>
        <w:autoSpaceDE/>
        <w:autoSpaceDN/>
        <w:bidi w:val="0"/>
        <w:adjustRightInd/>
        <w:spacing w:line="600" w:lineRule="exact"/>
        <w:ind w:firstLine="640"/>
        <w:textAlignment w:val="auto"/>
        <w:rPr>
          <w:rFonts w:hint="default" w:ascii="Times New Roman" w:hAnsi="Times New Roman" w:eastAsia="仿宋_GB2312" w:cs="Times New Roman"/>
        </w:rPr>
      </w:pPr>
      <w:bookmarkStart w:id="19" w:name="_Toc4863"/>
      <w:bookmarkStart w:id="20" w:name="_Toc55586766"/>
      <w:bookmarkStart w:id="21" w:name="_Toc25483"/>
      <w:bookmarkStart w:id="22" w:name="_Toc1639"/>
      <w:bookmarkStart w:id="23" w:name="_Toc19267"/>
      <w:bookmarkStart w:id="24" w:name="_Toc20206"/>
      <w:r>
        <w:rPr>
          <w:rFonts w:hint="default" w:ascii="Times New Roman" w:hAnsi="Times New Roman" w:eastAsia="仿宋_GB2312" w:cs="Times New Roman"/>
          <w:lang w:val="en-US" w:eastAsia="zh-CN"/>
        </w:rPr>
        <w:t>1、</w:t>
      </w:r>
      <w:r>
        <w:rPr>
          <w:rFonts w:hint="default" w:ascii="Times New Roman" w:hAnsi="Times New Roman" w:eastAsia="仿宋_GB2312" w:cs="Times New Roman"/>
        </w:rPr>
        <w:t>部门机构设置</w:t>
      </w:r>
      <w:bookmarkEnd w:id="19"/>
      <w:bookmarkEnd w:id="20"/>
      <w:bookmarkEnd w:id="21"/>
      <w:bookmarkEnd w:id="22"/>
      <w:bookmarkEnd w:id="23"/>
      <w:bookmarkEnd w:id="2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阿坝县统计局（简称县统计局）是阿坝县人民政府工作部门。阿坝县统计局下设办公室、统计执法股、业务综合股、阿坝县统计局下属二级单位1个，其中参公单位1个为普查中心。</w:t>
      </w:r>
    </w:p>
    <w:p>
      <w:pPr>
        <w:pStyle w:val="4"/>
        <w:spacing w:line="600" w:lineRule="exact"/>
        <w:rPr>
          <w:rFonts w:hint="default" w:ascii="Times New Roman" w:hAnsi="Times New Roman" w:eastAsia="仿宋_GB2312" w:cs="Times New Roman"/>
          <w:kern w:val="0"/>
          <w:sz w:val="32"/>
          <w:szCs w:val="32"/>
          <w:highlight w:val="none"/>
          <w:shd w:val="clear" w:color="auto" w:fill="FFFFFF"/>
        </w:rPr>
      </w:pPr>
      <w:bookmarkStart w:id="25" w:name="_Toc6985"/>
      <w:bookmarkStart w:id="26" w:name="_Toc19218"/>
      <w:bookmarkStart w:id="27" w:name="_Toc22863"/>
      <w:bookmarkStart w:id="28" w:name="_Toc29000"/>
      <w:bookmarkStart w:id="29" w:name="_Toc55586767"/>
      <w:bookmarkStart w:id="30" w:name="_Toc5620"/>
      <w:r>
        <w:rPr>
          <w:rFonts w:hint="default" w:ascii="Times New Roman" w:hAnsi="Times New Roman" w:eastAsia="仿宋_GB2312" w:cs="Times New Roman"/>
          <w:highlight w:val="none"/>
          <w:lang w:val="en-US" w:eastAsia="zh-CN"/>
        </w:rPr>
        <w:t>2</w:t>
      </w:r>
      <w:r>
        <w:rPr>
          <w:rFonts w:hint="default" w:ascii="Times New Roman" w:hAnsi="Times New Roman" w:eastAsia="仿宋_GB2312" w:cs="Times New Roman"/>
          <w:highlight w:val="none"/>
        </w:rPr>
        <w:t>、部门编制</w:t>
      </w:r>
      <w:bookmarkEnd w:id="25"/>
      <w:bookmarkEnd w:id="26"/>
      <w:bookmarkEnd w:id="27"/>
      <w:bookmarkEnd w:id="28"/>
      <w:bookmarkEnd w:id="29"/>
      <w:bookmarkEnd w:id="30"/>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28"/>
          <w:szCs w:val="28"/>
          <w:shd w:val="clear" w:color="auto" w:fill="FFFFFF"/>
          <w:lang w:val="en-US" w:eastAsia="zh-CN"/>
        </w:rPr>
      </w:pPr>
      <w:r>
        <w:rPr>
          <w:rFonts w:hint="default" w:ascii="Times New Roman" w:hAnsi="Times New Roman" w:eastAsia="仿宋_GB2312" w:cs="Times New Roman"/>
          <w:b/>
          <w:bCs/>
          <w:kern w:val="2"/>
          <w:sz w:val="32"/>
          <w:szCs w:val="32"/>
          <w:lang w:val="en-US" w:eastAsia="zh-CN" w:bidi="ar-SA"/>
        </w:rPr>
        <w:t>（1）人员配备</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根据阿坝县人民政府办公室《关于印发县统计局主要职责、内设机构和人员编制规定的通知》（阿县府办发〔2014〕116号）阿坝县统计局为正科级行政机构，行政编制6名。其中：局长1名、副局长2名；正科级领导职数1名，副科级领导职数2名。机关工勤人员编制1名。截至绩效评价日，阿坝县统计局在编人员共计16名。</w:t>
      </w:r>
    </w:p>
    <w:p>
      <w:pPr>
        <w:keepNext w:val="0"/>
        <w:keepLines w:val="0"/>
        <w:pageBreakBefore w:val="0"/>
        <w:kinsoku/>
        <w:wordWrap/>
        <w:overflowPunct/>
        <w:topLinePunct w:val="0"/>
        <w:autoSpaceDE/>
        <w:autoSpaceDN/>
        <w:bidi w:val="0"/>
        <w:ind w:firstLine="640"/>
        <w:jc w:val="both"/>
        <w:textAlignment w:val="auto"/>
        <w:rPr>
          <w:rFonts w:hint="default" w:ascii="Times New Roman" w:hAnsi="Times New Roman" w:eastAsia="仿宋_GB2312" w:cs="Times New Roman"/>
          <w:b/>
          <w:bCs/>
          <w:color w:val="000000"/>
          <w:kern w:val="0"/>
          <w:sz w:val="32"/>
          <w:szCs w:val="32"/>
          <w:shd w:val="clear" w:color="auto" w:fill="FFFFFF"/>
          <w:lang w:val="en-US" w:eastAsia="zh-CN"/>
        </w:rPr>
      </w:pPr>
      <w:r>
        <w:rPr>
          <w:rFonts w:hint="default" w:ascii="Times New Roman" w:hAnsi="Times New Roman" w:eastAsia="仿宋_GB2312" w:cs="Times New Roman"/>
          <w:b/>
          <w:bCs/>
          <w:kern w:val="2"/>
          <w:sz w:val="32"/>
          <w:szCs w:val="32"/>
          <w:lang w:val="en-US" w:eastAsia="zh-CN" w:bidi="ar-SA"/>
        </w:rPr>
        <w:t>（2）人员结构</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在岗编制人员男性</w:t>
      </w:r>
      <w:r>
        <w:rPr>
          <w:rFonts w:hint="eastAsia"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人，女性</w:t>
      </w:r>
      <w:r>
        <w:rPr>
          <w:rFonts w:hint="eastAsia" w:ascii="Times New Roman" w:hAnsi="Times New Roman" w:eastAsia="仿宋_GB2312" w:cs="Times New Roman"/>
          <w:color w:val="000000"/>
          <w:kern w:val="0"/>
          <w:sz w:val="32"/>
          <w:szCs w:val="32"/>
          <w:highlight w:val="none"/>
          <w:lang w:val="en-US" w:eastAsia="zh-CN" w:bidi="ar"/>
        </w:rPr>
        <w:t>11</w:t>
      </w:r>
      <w:r>
        <w:rPr>
          <w:rFonts w:hint="default" w:ascii="Times New Roman" w:hAnsi="Times New Roman" w:eastAsia="仿宋_GB2312" w:cs="Times New Roman"/>
          <w:color w:val="000000"/>
          <w:kern w:val="0"/>
          <w:sz w:val="32"/>
          <w:szCs w:val="32"/>
          <w:highlight w:val="none"/>
          <w:lang w:val="en-US" w:eastAsia="zh-CN" w:bidi="ar"/>
        </w:rPr>
        <w:t>人，男女比例为</w:t>
      </w:r>
      <w:r>
        <w:rPr>
          <w:rFonts w:hint="eastAsia" w:eastAsia="仿宋_GB2312" w:cs="Times New Roman"/>
          <w:color w:val="000000"/>
          <w:kern w:val="0"/>
          <w:sz w:val="32"/>
          <w:szCs w:val="32"/>
          <w:highlight w:val="none"/>
          <w:lang w:val="en-US" w:eastAsia="zh-CN" w:bidi="ar"/>
        </w:rPr>
        <w:t>5</w:t>
      </w:r>
      <w:r>
        <w:rPr>
          <w:rFonts w:hint="eastAsia" w:ascii="Times New Roman" w:hAnsi="Times New Roman" w:eastAsia="仿宋_GB2312" w:cs="Times New Roman"/>
          <w:color w:val="000000"/>
          <w:kern w:val="0"/>
          <w:sz w:val="32"/>
          <w:szCs w:val="32"/>
          <w:highlight w:val="none"/>
          <w:lang w:val="en-US" w:eastAsia="zh-CN" w:bidi="ar"/>
        </w:rPr>
        <w:t>：11</w:t>
      </w:r>
      <w:r>
        <w:rPr>
          <w:rFonts w:hint="default" w:ascii="Times New Roman" w:hAnsi="Times New Roman" w:eastAsia="仿宋_GB2312" w:cs="Times New Roman"/>
          <w:color w:val="000000"/>
          <w:kern w:val="0"/>
          <w:sz w:val="32"/>
          <w:szCs w:val="32"/>
          <w:highlight w:val="none"/>
          <w:lang w:val="en-US" w:eastAsia="zh-CN" w:bidi="ar"/>
        </w:rPr>
        <w:t>；平均年龄为</w:t>
      </w:r>
      <w:r>
        <w:rPr>
          <w:rFonts w:hint="eastAsia" w:eastAsia="仿宋_GB2312" w:cs="Times New Roman"/>
          <w:color w:val="000000"/>
          <w:kern w:val="0"/>
          <w:sz w:val="32"/>
          <w:szCs w:val="32"/>
          <w:highlight w:val="none"/>
          <w:lang w:val="en-US" w:eastAsia="zh-CN" w:bidi="ar"/>
        </w:rPr>
        <w:t>35</w:t>
      </w:r>
      <w:r>
        <w:rPr>
          <w:rFonts w:hint="default" w:ascii="Times New Roman" w:hAnsi="Times New Roman" w:eastAsia="仿宋_GB2312" w:cs="Times New Roman"/>
          <w:color w:val="000000"/>
          <w:kern w:val="0"/>
          <w:sz w:val="32"/>
          <w:szCs w:val="32"/>
          <w:highlight w:val="none"/>
          <w:lang w:val="en-US" w:eastAsia="zh-CN" w:bidi="ar"/>
        </w:rPr>
        <w:t>岁，其中</w:t>
      </w:r>
      <w:r>
        <w:rPr>
          <w:rFonts w:hint="eastAsia" w:ascii="Times New Roman" w:hAnsi="Times New Roman"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ascii="Times New Roman" w:hAnsi="Times New Roman"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人，占总数的</w:t>
      </w:r>
      <w:r>
        <w:rPr>
          <w:rFonts w:hint="eastAsia" w:ascii="Times New Roman" w:hAnsi="Times New Roman" w:eastAsia="仿宋_GB2312" w:cs="Times New Roman"/>
          <w:color w:val="000000"/>
          <w:kern w:val="0"/>
          <w:sz w:val="32"/>
          <w:szCs w:val="32"/>
          <w:highlight w:val="none"/>
          <w:lang w:val="en-US" w:eastAsia="zh-CN" w:bidi="ar"/>
        </w:rPr>
        <w:t>31.25%</w:t>
      </w:r>
      <w:r>
        <w:rPr>
          <w:rFonts w:hint="default" w:ascii="Times New Roman" w:hAnsi="Times New Roman"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ascii="Times New Roman" w:hAnsi="Times New Roman" w:eastAsia="仿宋_GB2312" w:cs="Times New Roman"/>
          <w:color w:val="000000"/>
          <w:kern w:val="0"/>
          <w:sz w:val="32"/>
          <w:szCs w:val="32"/>
          <w:highlight w:val="none"/>
          <w:lang w:val="en-US" w:eastAsia="zh-CN" w:bidi="ar"/>
        </w:rPr>
        <w:t>6</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37.50%</w:t>
      </w:r>
      <w:r>
        <w:rPr>
          <w:rFonts w:hint="default" w:ascii="Times New Roman" w:hAnsi="Times New Roman"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4</w:t>
      </w:r>
      <w:r>
        <w:rPr>
          <w:rFonts w:hint="default" w:ascii="Times New Roman" w:hAnsi="Times New Roman" w:eastAsia="仿宋_GB2312" w:cs="Times New Roman"/>
          <w:color w:val="000000"/>
          <w:kern w:val="0"/>
          <w:sz w:val="32"/>
          <w:szCs w:val="32"/>
          <w:highlight w:val="none"/>
          <w:lang w:val="en-US" w:eastAsia="zh-CN" w:bidi="ar"/>
        </w:rPr>
        <w:t>9岁共计</w:t>
      </w:r>
      <w:r>
        <w:rPr>
          <w:rFonts w:hint="eastAsia" w:ascii="Times New Roman" w:hAnsi="Times New Roman"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31.25%。</w:t>
      </w:r>
      <w:r>
        <w:rPr>
          <w:rFonts w:hint="default" w:ascii="Times New Roman" w:hAnsi="Times New Roman" w:eastAsia="仿宋_GB2312" w:cs="Times New Roman"/>
          <w:color w:val="000000"/>
          <w:kern w:val="0"/>
          <w:sz w:val="32"/>
          <w:szCs w:val="32"/>
          <w:highlight w:val="none"/>
          <w:lang w:val="en-US" w:eastAsia="zh-CN" w:bidi="ar"/>
        </w:rPr>
        <w:t>（如图1-1所示）。</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shd w:val="clear" w:color="auto" w:fill="FFFFFF"/>
          <w:lang w:val="en-US" w:eastAsia="zh-CN"/>
        </w:rPr>
      </w:pPr>
      <w:r>
        <w:rPr>
          <w:rFonts w:hint="default" w:ascii="Times New Roman" w:hAnsi="Times New Roman" w:eastAsia="仿宋_GB2312" w:cs="Times New Roman"/>
          <w:b/>
          <w:bCs/>
          <w:color w:val="000000"/>
          <w:kern w:val="0"/>
          <w:sz w:val="24"/>
          <w:szCs w:val="24"/>
          <w:highlight w:val="none"/>
          <w:shd w:val="clear" w:color="auto" w:fill="FFFFFF"/>
          <w:lang w:val="en-US" w:eastAsia="zh-CN"/>
        </w:rPr>
        <w:t>图1-1  202</w:t>
      </w:r>
      <w:r>
        <w:rPr>
          <w:rFonts w:hint="eastAsia" w:eastAsia="仿宋_GB2312" w:cs="Times New Roman"/>
          <w:b/>
          <w:bCs/>
          <w:color w:val="000000"/>
          <w:kern w:val="0"/>
          <w:sz w:val="24"/>
          <w:szCs w:val="24"/>
          <w:highlight w:val="none"/>
          <w:shd w:val="clear" w:color="auto" w:fill="FFFFFF"/>
          <w:lang w:val="en-US" w:eastAsia="zh-CN"/>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rPr>
        <w:t>年人员年龄结构图</w:t>
      </w:r>
    </w:p>
    <w:p>
      <w:pPr>
        <w:spacing w:line="360" w:lineRule="auto"/>
        <w:ind w:left="0" w:leftChars="0" w:firstLine="0" w:firstLineChars="0"/>
        <w:jc w:val="center"/>
        <w:rPr>
          <w:rFonts w:hint="eastAsia" w:ascii="Times New Roman" w:hAnsi="Times New Roman" w:eastAsia="仿宋_GB2312" w:cs="Times New Roman"/>
          <w:sz w:val="32"/>
          <w:szCs w:val="32"/>
          <w:highlight w:val="none"/>
          <w:lang w:eastAsia="zh-CN"/>
        </w:rPr>
      </w:pPr>
      <w:r>
        <w:drawing>
          <wp:inline distT="0" distB="0" distL="114300" distR="114300">
            <wp:extent cx="2959735" cy="1845310"/>
            <wp:effectExtent l="0" t="0" r="12065" b="8890"/>
            <wp:docPr id="10"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15"/>
                    <a:stretch>
                      <a:fillRect/>
                    </a:stretch>
                  </pic:blipFill>
                  <pic:spPr>
                    <a:xfrm>
                      <a:off x="0" y="0"/>
                      <a:ext cx="2959735" cy="1845310"/>
                    </a:xfrm>
                    <a:prstGeom prst="rect">
                      <a:avLst/>
                    </a:prstGeom>
                    <a:noFill/>
                    <a:ln>
                      <a:noFill/>
                    </a:ln>
                  </pic:spPr>
                </pic:pic>
              </a:graphicData>
            </a:graphic>
          </wp:inline>
        </w:drawing>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在岗编制人员平均工龄为</w:t>
      </w:r>
      <w:r>
        <w:rPr>
          <w:rFonts w:hint="eastAsia" w:ascii="Times New Roman" w:hAnsi="Times New Roman" w:eastAsia="仿宋_GB2312" w:cs="Times New Roman"/>
          <w:color w:val="000000"/>
          <w:kern w:val="0"/>
          <w:sz w:val="32"/>
          <w:szCs w:val="32"/>
          <w:highlight w:val="none"/>
          <w:lang w:val="en-US" w:eastAsia="zh-CN" w:bidi="ar"/>
        </w:rPr>
        <w:t>11.</w:t>
      </w:r>
      <w:r>
        <w:rPr>
          <w:rFonts w:hint="eastAsia" w:eastAsia="仿宋_GB2312" w:cs="Times New Roman"/>
          <w:color w:val="000000"/>
          <w:kern w:val="0"/>
          <w:sz w:val="32"/>
          <w:szCs w:val="32"/>
          <w:highlight w:val="none"/>
          <w:lang w:val="en-US" w:eastAsia="zh-CN" w:bidi="ar"/>
        </w:rPr>
        <w:t>81</w:t>
      </w:r>
      <w:r>
        <w:rPr>
          <w:rFonts w:hint="default" w:ascii="Times New Roman" w:hAnsi="Times New Roman" w:eastAsia="仿宋_GB2312" w:cs="Times New Roman"/>
          <w:color w:val="000000"/>
          <w:kern w:val="0"/>
          <w:sz w:val="32"/>
          <w:szCs w:val="32"/>
          <w:highlight w:val="none"/>
          <w:lang w:val="en-US" w:eastAsia="zh-CN" w:bidi="ar"/>
        </w:rPr>
        <w:t>年，其中工龄为0-9年共计</w:t>
      </w:r>
      <w:r>
        <w:rPr>
          <w:rFonts w:hint="eastAsia" w:ascii="Times New Roman" w:hAnsi="Times New Roman" w:eastAsia="仿宋_GB2312" w:cs="Times New Roman"/>
          <w:color w:val="000000"/>
          <w:kern w:val="0"/>
          <w:sz w:val="32"/>
          <w:szCs w:val="32"/>
          <w:highlight w:val="none"/>
          <w:lang w:val="en-US" w:eastAsia="zh-CN" w:bidi="ar"/>
        </w:rPr>
        <w:t>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50</w:t>
      </w:r>
      <w:r>
        <w:rPr>
          <w:rFonts w:hint="default" w:ascii="Times New Roman" w:hAnsi="Times New Roman"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1</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ascii="Times New Roman" w:hAnsi="Times New Roman"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18.75%</w:t>
      </w:r>
      <w:r>
        <w:rPr>
          <w:rFonts w:hint="default" w:ascii="Times New Roman" w:hAnsi="Times New Roman"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2</w:t>
      </w:r>
      <w:r>
        <w:rPr>
          <w:rFonts w:hint="default" w:ascii="Times New Roman" w:hAnsi="Times New Roman" w:eastAsia="仿宋_GB2312" w:cs="Times New Roman"/>
          <w:color w:val="000000"/>
          <w:kern w:val="0"/>
          <w:sz w:val="32"/>
          <w:szCs w:val="32"/>
          <w:highlight w:val="none"/>
          <w:lang w:val="en-US" w:eastAsia="zh-CN" w:bidi="ar"/>
        </w:rPr>
        <w:t>9年共计</w:t>
      </w:r>
      <w:r>
        <w:rPr>
          <w:rFonts w:hint="eastAsia" w:ascii="Times New Roman" w:hAnsi="Times New Roman" w:eastAsia="仿宋_GB2312" w:cs="Times New Roman"/>
          <w:color w:val="000000"/>
          <w:kern w:val="0"/>
          <w:sz w:val="32"/>
          <w:szCs w:val="32"/>
          <w:highlight w:val="none"/>
          <w:lang w:val="en-US" w:eastAsia="zh-CN" w:bidi="ar"/>
        </w:rPr>
        <w:t>5</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31.25%。</w:t>
      </w:r>
      <w:r>
        <w:rPr>
          <w:rFonts w:hint="default" w:ascii="Times New Roman" w:hAnsi="Times New Roman" w:eastAsia="仿宋_GB2312" w:cs="Times New Roman"/>
          <w:color w:val="000000"/>
          <w:kern w:val="0"/>
          <w:sz w:val="32"/>
          <w:szCs w:val="32"/>
          <w:highlight w:val="none"/>
          <w:lang w:val="en-US" w:eastAsia="zh-CN" w:bidi="ar"/>
        </w:rPr>
        <w:t>（如图1-2所示）。</w:t>
      </w:r>
    </w:p>
    <w:p>
      <w:pPr>
        <w:pStyle w:val="24"/>
        <w:keepNext w:val="0"/>
        <w:keepLines w:val="0"/>
        <w:pageBreakBefore w:val="0"/>
        <w:widowControl w:val="0"/>
        <w:kinsoku/>
        <w:wordWrap/>
        <w:overflowPunct/>
        <w:topLinePunct w:val="0"/>
        <w:autoSpaceDE/>
        <w:autoSpaceDN/>
        <w:bidi w:val="0"/>
        <w:adjustRightInd/>
        <w:snapToGrid w:val="0"/>
        <w:spacing w:line="600" w:lineRule="exact"/>
        <w:ind w:firstLine="640" w:firstLineChars="200"/>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在岗编制人员学历分别为本科</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大专</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高中</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专科，</w:t>
      </w:r>
      <w:r>
        <w:rPr>
          <w:rFonts w:hint="eastAsia" w:ascii="Times New Roman" w:hAnsi="Times New Roman" w:eastAsia="仿宋_GB2312" w:cs="Times New Roman"/>
          <w:color w:val="000000"/>
          <w:kern w:val="0"/>
          <w:sz w:val="32"/>
          <w:szCs w:val="32"/>
          <w:highlight w:val="none"/>
          <w:lang w:val="en-US" w:eastAsia="zh-CN" w:bidi="ar"/>
        </w:rPr>
        <w:t>其中本科8</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50</w:t>
      </w:r>
      <w:r>
        <w:rPr>
          <w:rFonts w:hint="default" w:ascii="Times New Roman" w:hAnsi="Times New Roman"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；大专6</w:t>
      </w:r>
      <w:r>
        <w:rPr>
          <w:rFonts w:hint="default" w:ascii="Times New Roman" w:hAnsi="Times New Roman" w:eastAsia="仿宋_GB2312" w:cs="Times New Roman"/>
          <w:color w:val="000000"/>
          <w:kern w:val="0"/>
          <w:sz w:val="32"/>
          <w:szCs w:val="32"/>
          <w:highlight w:val="none"/>
          <w:lang w:val="en-US" w:eastAsia="zh-CN" w:bidi="ar"/>
        </w:rPr>
        <w:t>人，占总人数</w:t>
      </w:r>
      <w:r>
        <w:rPr>
          <w:rFonts w:hint="eastAsia" w:ascii="Times New Roman" w:hAnsi="Times New Roman" w:eastAsia="仿宋_GB2312" w:cs="Times New Roman"/>
          <w:color w:val="000000"/>
          <w:kern w:val="0"/>
          <w:sz w:val="32"/>
          <w:szCs w:val="32"/>
          <w:highlight w:val="none"/>
          <w:lang w:val="en-US" w:eastAsia="zh-CN" w:bidi="ar"/>
        </w:rPr>
        <w:t>37.50%；高中1人，占比6.25%</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专科1人，占比6.25%。</w:t>
      </w:r>
      <w:r>
        <w:rPr>
          <w:rFonts w:hint="default" w:ascii="Times New Roman" w:hAnsi="Times New Roman" w:eastAsia="仿宋_GB2312" w:cs="Times New Roman"/>
          <w:color w:val="000000"/>
          <w:kern w:val="0"/>
          <w:sz w:val="32"/>
          <w:szCs w:val="32"/>
          <w:highlight w:val="none"/>
          <w:lang w:val="en-US" w:eastAsia="zh-CN" w:bidi="ar"/>
        </w:rPr>
        <w:t>（如图1-3所示）。</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723" w:firstLineChars="300"/>
        <w:jc w:val="both"/>
        <w:textAlignment w:val="auto"/>
        <w:rPr>
          <w:rFonts w:hint="default" w:ascii="Times New Roman" w:hAnsi="Times New Roman" w:eastAsia="仿宋_GB2312" w:cs="Times New Roman"/>
          <w:b/>
          <w:bCs/>
          <w:color w:val="000000"/>
          <w:kern w:val="0"/>
          <w:sz w:val="24"/>
          <w:szCs w:val="24"/>
          <w:highlight w:val="none"/>
          <w:shd w:val="clear" w:color="auto" w:fill="FFFFFF"/>
          <w:lang w:val="en-US" w:eastAsia="zh-CN" w:bidi="ar-SA"/>
        </w:rPr>
      </w:pPr>
      <w:r>
        <w:rPr>
          <w:rFonts w:hint="default" w:ascii="Times New Roman" w:hAnsi="Times New Roman" w:eastAsia="仿宋_GB2312" w:cs="Times New Roman"/>
          <w:b/>
          <w:bCs/>
          <w:color w:val="000000"/>
          <w:kern w:val="0"/>
          <w:sz w:val="24"/>
          <w:szCs w:val="24"/>
          <w:highlight w:val="none"/>
          <w:shd w:val="clear" w:color="auto" w:fill="FFFFFF"/>
          <w:lang w:val="en-US" w:eastAsia="zh-CN" w:bidi="ar-SA"/>
        </w:rPr>
        <w:t>图1-2  202</w:t>
      </w:r>
      <w:r>
        <w:rPr>
          <w:rFonts w:hint="eastAsia" w:ascii="Times New Roman" w:hAnsi="Times New Roman" w:eastAsia="仿宋_GB2312" w:cs="Times New Roman"/>
          <w:b/>
          <w:bCs/>
          <w:color w:val="000000"/>
          <w:kern w:val="0"/>
          <w:sz w:val="24"/>
          <w:szCs w:val="24"/>
          <w:highlight w:val="none"/>
          <w:shd w:val="clear" w:color="auto" w:fill="FFFFFF"/>
          <w:lang w:val="en-US" w:eastAsia="zh-CN" w:bidi="ar-SA"/>
        </w:rPr>
        <w:t>2</w:t>
      </w:r>
      <w:r>
        <w:rPr>
          <w:rFonts w:hint="default" w:ascii="Times New Roman" w:hAnsi="Times New Roman" w:eastAsia="仿宋_GB2312" w:cs="Times New Roman"/>
          <w:b/>
          <w:bCs/>
          <w:color w:val="000000"/>
          <w:kern w:val="0"/>
          <w:sz w:val="24"/>
          <w:szCs w:val="24"/>
          <w:highlight w:val="none"/>
          <w:shd w:val="clear" w:color="auto" w:fill="FFFFFF"/>
          <w:lang w:val="en-US" w:eastAsia="zh-CN" w:bidi="ar-SA"/>
        </w:rPr>
        <w:t>年人员工龄结构图</w:t>
      </w:r>
      <w:r>
        <w:rPr>
          <w:rFonts w:hint="eastAsia" w:eastAsia="仿宋_GB2312" w:cs="Times New Roman"/>
          <w:b/>
          <w:bCs/>
          <w:color w:val="000000"/>
          <w:kern w:val="0"/>
          <w:sz w:val="24"/>
          <w:szCs w:val="24"/>
          <w:highlight w:val="none"/>
          <w:shd w:val="clear" w:color="auto" w:fill="FFFFFF"/>
          <w:lang w:val="en-US" w:eastAsia="zh-CN" w:bidi="ar-SA"/>
        </w:rPr>
        <w:t xml:space="preserve">         </w:t>
      </w:r>
      <w:r>
        <w:rPr>
          <w:rFonts w:hint="default" w:ascii="Times New Roman" w:hAnsi="Times New Roman" w:eastAsia="仿宋_GB2312" w:cs="Times New Roman"/>
          <w:b/>
          <w:bCs/>
          <w:color w:val="000000"/>
          <w:kern w:val="0"/>
          <w:sz w:val="24"/>
          <w:szCs w:val="24"/>
          <w:highlight w:val="none"/>
          <w:shd w:val="clear" w:color="auto" w:fill="FFFFFF"/>
          <w:lang w:val="en-US" w:eastAsia="zh-CN" w:bidi="ar-SA"/>
        </w:rPr>
        <w:t>图1-3  2022年人员学历结构图</w:t>
      </w:r>
    </w:p>
    <w:p>
      <w:pPr>
        <w:spacing w:line="360" w:lineRule="auto"/>
        <w:ind w:left="0" w:leftChars="0" w:firstLine="0" w:firstLineChars="0"/>
        <w:jc w:val="both"/>
        <w:rPr>
          <w:rFonts w:hint="default" w:ascii="Times New Roman" w:hAnsi="Times New Roman" w:eastAsia="仿宋_GB2312" w:cs="Times New Roman"/>
          <w:b/>
          <w:bCs/>
          <w:color w:val="000000"/>
          <w:kern w:val="0"/>
          <w:sz w:val="24"/>
          <w:szCs w:val="24"/>
          <w:highlight w:val="none"/>
          <w:shd w:val="clear" w:color="auto" w:fill="FFFFFF"/>
          <w:lang w:val="en-US" w:eastAsia="zh-CN"/>
        </w:rPr>
      </w:pPr>
      <w:r>
        <w:rPr>
          <w:rFonts w:hint="eastAsia"/>
          <w:lang w:val="en-US" w:eastAsia="zh-CN"/>
        </w:rPr>
        <w:t xml:space="preserve">  </w:t>
      </w:r>
      <w:r>
        <w:drawing>
          <wp:inline distT="0" distB="0" distL="114300" distR="114300">
            <wp:extent cx="2444750" cy="1673225"/>
            <wp:effectExtent l="0" t="0" r="8890" b="317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6"/>
                    <a:stretch>
                      <a:fillRect/>
                    </a:stretch>
                  </pic:blipFill>
                  <pic:spPr>
                    <a:xfrm>
                      <a:off x="0" y="0"/>
                      <a:ext cx="2444750" cy="1673225"/>
                    </a:xfrm>
                    <a:prstGeom prst="rect">
                      <a:avLst/>
                    </a:prstGeom>
                    <a:noFill/>
                    <a:ln>
                      <a:noFill/>
                    </a:ln>
                  </pic:spPr>
                </pic:pic>
              </a:graphicData>
            </a:graphic>
          </wp:inline>
        </w:drawing>
      </w:r>
      <w:r>
        <w:rPr>
          <w:rFonts w:hint="eastAsia"/>
          <w:lang w:val="en-US" w:eastAsia="zh-CN"/>
        </w:rPr>
        <w:t xml:space="preserve">  </w:t>
      </w:r>
      <w:r>
        <w:drawing>
          <wp:inline distT="0" distB="0" distL="114300" distR="114300">
            <wp:extent cx="2486660" cy="1677670"/>
            <wp:effectExtent l="0" t="0" r="12700" b="13970"/>
            <wp:docPr id="1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4"/>
                    <pic:cNvPicPr>
                      <a:picLocks noChangeAspect="1"/>
                    </pic:cNvPicPr>
                  </pic:nvPicPr>
                  <pic:blipFill>
                    <a:blip r:embed="rId17"/>
                    <a:stretch>
                      <a:fillRect/>
                    </a:stretch>
                  </pic:blipFill>
                  <pic:spPr>
                    <a:xfrm>
                      <a:off x="0" y="0"/>
                      <a:ext cx="2486660" cy="1677670"/>
                    </a:xfrm>
                    <a:prstGeom prst="rect">
                      <a:avLst/>
                    </a:prstGeom>
                    <a:noFill/>
                    <a:ln>
                      <a:noFill/>
                    </a:ln>
                  </pic:spPr>
                </pic:pic>
              </a:graphicData>
            </a:graphic>
          </wp:inline>
        </w:drawing>
      </w:r>
    </w:p>
    <w:p>
      <w:pPr>
        <w:pStyle w:val="4"/>
        <w:spacing w:line="600" w:lineRule="exact"/>
        <w:ind w:firstLine="640"/>
        <w:rPr>
          <w:rFonts w:hint="default" w:ascii="Times New Roman" w:hAnsi="Times New Roman" w:eastAsia="仿宋_GB2312" w:cs="Times New Roman"/>
          <w:lang w:val="en-US" w:eastAsia="zh-CN"/>
        </w:rPr>
      </w:pPr>
      <w:bookmarkStart w:id="31" w:name="_Toc55586768"/>
      <w:bookmarkStart w:id="32" w:name="_Toc31666"/>
      <w:bookmarkStart w:id="33" w:name="_Toc1827"/>
      <w:bookmarkStart w:id="34" w:name="_Toc29474"/>
      <w:bookmarkStart w:id="35" w:name="_Toc17743"/>
      <w:bookmarkStart w:id="36" w:name="_Toc6595"/>
      <w:r>
        <w:rPr>
          <w:rFonts w:hint="default" w:ascii="Times New Roman" w:hAnsi="Times New Roman" w:eastAsia="仿宋_GB2312" w:cs="Times New Roman"/>
          <w:lang w:val="en-US" w:eastAsia="zh-CN"/>
        </w:rPr>
        <w:t>3、部门职能</w:t>
      </w:r>
      <w:bookmarkEnd w:id="31"/>
      <w:bookmarkEnd w:id="32"/>
      <w:bookmarkEnd w:id="33"/>
      <w:bookmarkEnd w:id="34"/>
      <w:bookmarkEnd w:id="35"/>
      <w:bookmarkEnd w:id="36"/>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贯彻执行国家统计工作的方针、政策和统计法律法规，研究统计制度和统计方法的改革，完成国家和地方统计调查任务；承担组织领导和协调全县统计工作，确保统计数据真实、准确、及时；监督检查统计法律法规的实施情况，查处各类统计违法行为。</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制定并组织实施全县统计改革和统计现代化建设规划及统计调查计划，建立健全国民经济核算体系和统计指标体系，组织实施全县国民经济核算制度和全县投入产出调查，核算全县生产总值，汇编提供国民经济核算资料。</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会同有关部门拟订重大普查计划与方案，组织实施全县人口、经济、农业等重大普查，汇总、整理和提供有关方面的统计数据。</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组织实施农林牧渔业、工业、建筑业、批发和零售业、住宿和餐饮业、房地产业、租赁和商务服务业、居民服务和其他服务业、文化体育和娱乐业以及装卸搬运和其他运输服务业、仓储业、计算机服务业、软件业、科技交流和推广服务业、社会福利业居民住户等统计调查，收集、汇总、整理和提供有关调查的统计数据，综合整理和提供地质勘查、旅游、交通运输、邮政、教育、卫生、社会保障、公用事业等全县性基本统计数据。</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640" w:firstLineChars="200"/>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组织实施能源、投资、消费、价格、收入、科技、人口、劳动力、社会发展基本情况、环境基本状况等统计调查，收集、汇总、整理和提供有关调查的统计数据，综合整理和提供资源、房屋、对外贸易、对外经济等全县性基本统计数据。</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组织各地区、各部门的经济、社会、科技和资源环境统计调查。统一核实、管理、公布全县性基本统计资料，定期发布全县国民经济和社会发展情况的统计信息。组织建立服务业统计信息管理制度、共享制度和发布制度。</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对国民经济、社会发展、科技进步和资源环境等情况进行统计分析、统计预测和统计监督，向县委、县政府及有关部门提供统计信息和咨询建议。</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指导专业统计基础工作、统计基层业务基础建设，建立健全统计数据质量审核、监控和评估制度，开展对重要统计数据的审核、监控和评估，依法监督管理涉外调查活动。</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加强全县统计专业技术队伍建设，指导和管理统计专业技术人员继续教育工作，指导全县统计科研、统计教育、统计宣传工作。</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建立并管理全县统计信息自动化系统和统计数据库系统，组织制定全县各基层单位统计数据库和网络的基本标准和运行规则，指导全县统计信息化系统建设。</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承办县人民政府交办的其他事项。</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highlight w:val="none"/>
          <w:lang w:val="en-US"/>
        </w:rPr>
      </w:pPr>
      <w:bookmarkStart w:id="37" w:name="_Toc24890"/>
      <w:bookmarkStart w:id="38" w:name="_Toc19496"/>
      <w:bookmarkStart w:id="39" w:name="_Toc30949"/>
      <w:bookmarkStart w:id="40" w:name="_Toc16059"/>
      <w:r>
        <w:rPr>
          <w:rFonts w:hint="default" w:ascii="Times New Roman" w:hAnsi="Times New Roman" w:eastAsia="楷体_GB2312" w:cs="Times New Roman"/>
          <w:color w:val="auto"/>
          <w:sz w:val="32"/>
          <w:highlight w:val="none"/>
          <w:lang w:val="en-US" w:eastAsia="zh-CN"/>
        </w:rPr>
        <w:t>（二）部门预算</w:t>
      </w:r>
      <w:bookmarkEnd w:id="37"/>
      <w:bookmarkEnd w:id="38"/>
      <w:bookmarkEnd w:id="39"/>
      <w:bookmarkEnd w:id="40"/>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41" w:name="_Toc3754"/>
      <w:bookmarkStart w:id="42" w:name="_Toc1176"/>
      <w:bookmarkStart w:id="43" w:name="_Toc8680"/>
      <w:bookmarkStart w:id="44" w:name="_Toc17952"/>
      <w:bookmarkStart w:id="45" w:name="_Toc55586770"/>
      <w:bookmarkStart w:id="46" w:name="_Toc110"/>
      <w:r>
        <w:rPr>
          <w:rFonts w:hint="default" w:ascii="Times New Roman" w:hAnsi="Times New Roman" w:eastAsia="仿宋_GB2312" w:cs="Times New Roman"/>
        </w:rPr>
        <w:t>1、</w:t>
      </w:r>
      <w:r>
        <w:rPr>
          <w:rFonts w:hint="default" w:ascii="Times New Roman" w:hAnsi="Times New Roman" w:eastAsia="仿宋_GB2312" w:cs="Times New Roman"/>
          <w:b/>
          <w:bCs/>
          <w:color w:val="000000"/>
          <w:kern w:val="0"/>
          <w:sz w:val="32"/>
          <w:szCs w:val="32"/>
          <w:highlight w:val="none"/>
          <w:lang w:val="en-US" w:eastAsia="zh-CN" w:bidi="ar"/>
        </w:rPr>
        <w:t>近三年</w:t>
      </w:r>
      <w:r>
        <w:rPr>
          <w:rFonts w:hint="eastAsia" w:eastAsia="仿宋_GB2312" w:cs="Times New Roman"/>
          <w:highlight w:val="none"/>
          <w:lang w:eastAsia="zh-CN"/>
        </w:rPr>
        <w:t>阿坝县统计局</w:t>
      </w:r>
      <w:r>
        <w:rPr>
          <w:rFonts w:hint="default" w:ascii="Times New Roman" w:hAnsi="Times New Roman" w:eastAsia="仿宋_GB2312" w:cs="Times New Roman"/>
          <w:highlight w:val="none"/>
        </w:rPr>
        <w:t>整体支出预算及使用情况</w:t>
      </w:r>
      <w:bookmarkEnd w:id="41"/>
      <w:bookmarkEnd w:id="42"/>
      <w:bookmarkEnd w:id="43"/>
      <w:bookmarkEnd w:id="44"/>
      <w:bookmarkEnd w:id="45"/>
      <w:bookmarkEnd w:id="46"/>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近三年部门整体运行资金需求呈</w:t>
      </w:r>
      <w:r>
        <w:rPr>
          <w:rFonts w:hint="eastAsia" w:eastAsia="仿宋_GB2312" w:cs="Times New Roman"/>
          <w:color w:val="000000"/>
          <w:kern w:val="0"/>
          <w:sz w:val="32"/>
          <w:szCs w:val="32"/>
          <w:highlight w:val="none"/>
          <w:lang w:val="en-US" w:eastAsia="zh-CN" w:bidi="ar"/>
        </w:rPr>
        <w:t>增长</w:t>
      </w:r>
      <w:r>
        <w:rPr>
          <w:rFonts w:hint="default" w:ascii="Times New Roman" w:hAnsi="Times New Roman" w:eastAsia="仿宋_GB2312" w:cs="Times New Roman"/>
          <w:color w:val="000000"/>
          <w:kern w:val="0"/>
          <w:sz w:val="32"/>
          <w:szCs w:val="32"/>
          <w:highlight w:val="none"/>
          <w:lang w:val="en-US" w:eastAsia="zh-CN" w:bidi="ar"/>
        </w:rPr>
        <w:t>趋势，预算数年均增长率为</w:t>
      </w:r>
      <w:r>
        <w:rPr>
          <w:rFonts w:hint="eastAsia" w:eastAsia="仿宋_GB2312" w:cs="Times New Roman"/>
          <w:color w:val="000000"/>
          <w:kern w:val="0"/>
          <w:sz w:val="32"/>
          <w:szCs w:val="32"/>
          <w:highlight w:val="none"/>
          <w:lang w:val="en-US" w:eastAsia="zh-CN" w:bidi="ar"/>
        </w:rPr>
        <w:t>34.90%</w:t>
      </w:r>
      <w:r>
        <w:rPr>
          <w:rFonts w:hint="default" w:ascii="Times New Roman" w:hAnsi="Times New Roman" w:eastAsia="仿宋_GB2312" w:cs="Times New Roman"/>
          <w:color w:val="000000"/>
          <w:kern w:val="0"/>
          <w:sz w:val="32"/>
          <w:szCs w:val="32"/>
          <w:highlight w:val="none"/>
          <w:lang w:val="en-US" w:eastAsia="zh-CN" w:bidi="ar"/>
        </w:rPr>
        <w:t>，支出数年均增长率为</w:t>
      </w:r>
      <w:r>
        <w:rPr>
          <w:rFonts w:hint="eastAsia" w:eastAsia="仿宋_GB2312" w:cs="Times New Roman"/>
          <w:color w:val="000000"/>
          <w:kern w:val="0"/>
          <w:sz w:val="32"/>
          <w:szCs w:val="32"/>
          <w:highlight w:val="none"/>
          <w:lang w:val="en-US" w:eastAsia="zh-CN" w:bidi="ar"/>
        </w:rPr>
        <w:t>34.90%</w:t>
      </w:r>
      <w:r>
        <w:rPr>
          <w:rFonts w:hint="default" w:ascii="Times New Roman" w:hAnsi="Times New Roman" w:eastAsia="仿宋_GB2312" w:cs="Times New Roman"/>
          <w:color w:val="000000"/>
          <w:kern w:val="0"/>
          <w:sz w:val="32"/>
          <w:szCs w:val="32"/>
          <w:highlight w:val="none"/>
          <w:lang w:val="en-US" w:eastAsia="zh-CN" w:bidi="ar"/>
        </w:rPr>
        <w:t>，预算执行率年平均为</w:t>
      </w:r>
      <w:r>
        <w:rPr>
          <w:rFonts w:hint="eastAsia" w:eastAsia="仿宋_GB2312" w:cs="Times New Roman"/>
          <w:color w:val="000000"/>
          <w:kern w:val="0"/>
          <w:sz w:val="32"/>
          <w:szCs w:val="32"/>
          <w:highlight w:val="none"/>
          <w:lang w:val="en-US" w:eastAsia="zh-CN" w:bidi="ar"/>
        </w:rPr>
        <w:t>100</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2020-2022年阿坝县统计局</w:t>
      </w:r>
      <w:r>
        <w:rPr>
          <w:rFonts w:hint="default" w:ascii="Times New Roman" w:hAnsi="Times New Roman" w:eastAsia="仿宋_GB2312" w:cs="Times New Roman"/>
          <w:color w:val="000000"/>
          <w:kern w:val="0"/>
          <w:sz w:val="32"/>
          <w:szCs w:val="32"/>
          <w:highlight w:val="none"/>
          <w:lang w:val="en-US" w:eastAsia="zh-CN" w:bidi="ar"/>
        </w:rPr>
        <w:t>整体支出基本支出及项目支出的预算执行情况变化如下：</w:t>
      </w:r>
    </w:p>
    <w:p>
      <w:pPr>
        <w:keepNext w:val="0"/>
        <w:keepLines w:val="0"/>
        <w:pageBreakBefore w:val="0"/>
        <w:widowControl w:val="0"/>
        <w:kinsoku/>
        <w:wordWrap/>
        <w:overflowPunct/>
        <w:topLinePunct w:val="0"/>
        <w:autoSpaceDE/>
        <w:autoSpaceDN/>
        <w:bidi w:val="0"/>
        <w:adjustRightInd/>
        <w:snapToGrid/>
        <w:spacing w:line="600" w:lineRule="exact"/>
        <w:ind w:left="0" w:leftChars="0" w:firstLine="723" w:firstLineChars="300"/>
        <w:jc w:val="center"/>
        <w:textAlignment w:val="auto"/>
        <w:rPr>
          <w:rFonts w:hint="default" w:ascii="Times New Roman" w:hAnsi="Times New Roman" w:eastAsia="仿宋_GB2312" w:cs="Times New Roman"/>
          <w:kern w:val="0"/>
          <w:sz w:val="32"/>
          <w:szCs w:val="32"/>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default" w:ascii="Times New Roman" w:hAnsi="Times New Roman" w:eastAsia="仿宋_GB2312" w:cs="Times New Roman"/>
          <w:b/>
          <w:bCs/>
          <w:color w:val="000000"/>
          <w:kern w:val="0"/>
          <w:highlight w:val="none"/>
          <w:shd w:val="clear" w:color="auto" w:fill="FFFFFF"/>
          <w:lang w:val="en-US" w:eastAsia="zh-CN"/>
        </w:rPr>
        <w:t xml:space="preserve">2 </w:t>
      </w:r>
      <w:r>
        <w:rPr>
          <w:rFonts w:hint="eastAsia" w:eastAsia="仿宋_GB2312" w:cs="Times New Roman"/>
          <w:b/>
          <w:bCs/>
          <w:color w:val="000000"/>
          <w:kern w:val="0"/>
          <w:highlight w:val="none"/>
          <w:shd w:val="clear" w:color="auto" w:fill="FFFFFF"/>
          <w:lang w:eastAsia="zh-CN"/>
        </w:rPr>
        <w:t>20</w:t>
      </w:r>
      <w:r>
        <w:rPr>
          <w:rFonts w:hint="eastAsia" w:eastAsia="仿宋_GB2312" w:cs="Times New Roman"/>
          <w:b/>
          <w:bCs/>
          <w:color w:val="000000"/>
          <w:kern w:val="0"/>
          <w:highlight w:val="none"/>
          <w:shd w:val="clear" w:color="auto" w:fill="FFFFFF"/>
          <w:lang w:val="en-US" w:eastAsia="zh-CN"/>
        </w:rPr>
        <w:t>20</w:t>
      </w:r>
      <w:r>
        <w:rPr>
          <w:rFonts w:hint="eastAsia" w:eastAsia="仿宋_GB2312" w:cs="Times New Roman"/>
          <w:b/>
          <w:bCs/>
          <w:color w:val="000000"/>
          <w:kern w:val="0"/>
          <w:highlight w:val="none"/>
          <w:shd w:val="clear" w:color="auto" w:fill="FFFFFF"/>
          <w:lang w:eastAsia="zh-CN"/>
        </w:rPr>
        <w:t>-2022年部门整体支出</w:t>
      </w:r>
      <w:r>
        <w:rPr>
          <w:rFonts w:hint="default" w:ascii="Times New Roman" w:hAnsi="Times New Roman" w:eastAsia="仿宋_GB2312" w:cs="Times New Roman"/>
          <w:b/>
          <w:bCs/>
          <w:color w:val="000000"/>
          <w:kern w:val="0"/>
          <w:highlight w:val="none"/>
          <w:shd w:val="clear" w:color="auto" w:fill="FFFFFF"/>
        </w:rPr>
        <w:t>预算及执行情况</w:t>
      </w:r>
    </w:p>
    <w:tbl>
      <w:tblPr>
        <w:tblStyle w:val="40"/>
        <w:tblW w:w="4997" w:type="pct"/>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490"/>
        <w:gridCol w:w="2632"/>
        <w:gridCol w:w="2504"/>
        <w:gridCol w:w="2371"/>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05" w:hRule="atLeast"/>
          <w:tblHeader/>
        </w:trPr>
        <w:tc>
          <w:tcPr>
            <w:tcW w:w="828"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年份</w:t>
            </w:r>
          </w:p>
        </w:tc>
        <w:tc>
          <w:tcPr>
            <w:tcW w:w="1462"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预算安排（</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391"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实际支出（</w:t>
            </w:r>
            <w:r>
              <w:rPr>
                <w:rFonts w:hint="default" w:ascii="Times New Roman" w:hAnsi="Times New Roman" w:eastAsia="仿宋_GB2312" w:cs="Times New Roman"/>
                <w:b/>
                <w:bCs/>
                <w:color w:val="000000"/>
                <w:kern w:val="0"/>
                <w:sz w:val="24"/>
                <w:szCs w:val="24"/>
                <w:highlight w:val="none"/>
                <w:shd w:val="clear" w:color="auto" w:fill="FFFFFF"/>
                <w:lang w:val="en-US" w:eastAsia="zh-CN"/>
              </w:rPr>
              <w:t>万</w:t>
            </w:r>
            <w:r>
              <w:rPr>
                <w:rFonts w:hint="default" w:ascii="Times New Roman" w:hAnsi="Times New Roman" w:eastAsia="仿宋_GB2312" w:cs="Times New Roman"/>
                <w:b/>
                <w:bCs/>
                <w:color w:val="000000"/>
                <w:kern w:val="0"/>
                <w:sz w:val="24"/>
                <w:szCs w:val="24"/>
                <w:highlight w:val="none"/>
                <w:shd w:val="clear" w:color="auto" w:fill="FFFFFF"/>
              </w:rPr>
              <w:t>元）</w:t>
            </w:r>
          </w:p>
        </w:tc>
        <w:tc>
          <w:tcPr>
            <w:tcW w:w="1317" w:type="pct"/>
            <w:tcBorders>
              <w:top w:val="single" w:color="auto" w:sz="12" w:space="0"/>
            </w:tcBorders>
            <w:shd w:val="clear" w:color="auto" w:fill="BEBEBE"/>
            <w:vAlign w:val="center"/>
          </w:tcPr>
          <w:p>
            <w:pPr>
              <w:spacing w:line="360" w:lineRule="auto"/>
              <w:ind w:firstLine="0" w:firstLineChars="0"/>
              <w:jc w:val="center"/>
              <w:rPr>
                <w:rFonts w:hint="default" w:ascii="Times New Roman" w:hAnsi="Times New Roman" w:eastAsia="仿宋_GB2312" w:cs="Times New Roman"/>
                <w:b/>
                <w:bCs/>
                <w:kern w:val="0"/>
                <w:sz w:val="24"/>
                <w:szCs w:val="24"/>
                <w:highlight w:val="none"/>
              </w:rPr>
            </w:pPr>
            <w:r>
              <w:rPr>
                <w:rFonts w:hint="default" w:ascii="Times New Roman" w:hAnsi="Times New Roman" w:eastAsia="仿宋_GB2312" w:cs="Times New Roman"/>
                <w:b/>
                <w:bCs/>
                <w:color w:val="000000"/>
                <w:kern w:val="0"/>
                <w:sz w:val="24"/>
                <w:szCs w:val="24"/>
                <w:highlight w:val="none"/>
                <w:shd w:val="clear" w:color="auto" w:fill="FFFFFF"/>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79" w:hRule="atLeast"/>
        </w:trPr>
        <w:tc>
          <w:tcPr>
            <w:tcW w:w="828"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rPr>
            </w:pPr>
            <w:r>
              <w:rPr>
                <w:rFonts w:hint="default" w:ascii="Times New Roman" w:hAnsi="Times New Roman" w:eastAsia="仿宋_GB2312" w:cs="Times New Roman"/>
                <w:color w:val="000000"/>
                <w:kern w:val="0"/>
                <w:sz w:val="24"/>
                <w:szCs w:val="24"/>
                <w:highlight w:val="none"/>
                <w:shd w:val="clear" w:color="auto" w:fill="FFFFFF"/>
              </w:rPr>
              <w:t>20</w:t>
            </w:r>
            <w:r>
              <w:rPr>
                <w:rFonts w:hint="eastAsia" w:eastAsia="仿宋_GB2312" w:cs="Times New Roman"/>
                <w:color w:val="000000"/>
                <w:kern w:val="0"/>
                <w:sz w:val="24"/>
                <w:szCs w:val="24"/>
                <w:highlight w:val="none"/>
                <w:shd w:val="clear" w:color="auto" w:fill="FFFFFF"/>
                <w:lang w:val="en-US" w:eastAsia="zh-CN"/>
              </w:rPr>
              <w:t>20</w:t>
            </w:r>
            <w:r>
              <w:rPr>
                <w:rFonts w:hint="default" w:ascii="Times New Roman" w:hAnsi="Times New Roman" w:eastAsia="仿宋_GB2312" w:cs="Times New Roman"/>
                <w:color w:val="000000"/>
                <w:kern w:val="0"/>
                <w:sz w:val="24"/>
                <w:szCs w:val="24"/>
                <w:highlight w:val="none"/>
                <w:shd w:val="clear" w:color="auto" w:fill="FFFFFF"/>
              </w:rPr>
              <w:t>年</w:t>
            </w:r>
          </w:p>
        </w:tc>
        <w:tc>
          <w:tcPr>
            <w:tcW w:w="1462" w:type="pct"/>
            <w:vAlign w:val="bottom"/>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213.62</w:t>
            </w:r>
          </w:p>
        </w:tc>
        <w:tc>
          <w:tcPr>
            <w:tcW w:w="1391"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213.62</w:t>
            </w:r>
          </w:p>
        </w:tc>
        <w:tc>
          <w:tcPr>
            <w:tcW w:w="1317" w:type="pct"/>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cs="Times New Roman"/>
                <w:i w:val="0"/>
                <w:iCs w:val="0"/>
                <w:color w:val="000000"/>
                <w:kern w:val="0"/>
                <w:sz w:val="24"/>
                <w:szCs w:val="24"/>
                <w:u w:val="none"/>
                <w:lang w:val="en-US" w:eastAsia="zh-CN" w:bidi="ar"/>
              </w:rPr>
              <w:t>100</w:t>
            </w:r>
            <w:r>
              <w:rPr>
                <w:rFonts w:hint="default" w:ascii="Times New Roman" w:hAnsi="Times New Roman" w:eastAsia="宋体" w:cs="Times New Roman"/>
                <w:i w:val="0"/>
                <w:iCs w:val="0"/>
                <w:color w:val="000000"/>
                <w:kern w:val="0"/>
                <w:sz w:val="24"/>
                <w:szCs w:val="24"/>
                <w:u w:val="none"/>
                <w:lang w:val="en-US" w:eastAsia="zh-CN" w:bidi="ar"/>
              </w:rPr>
              <w:t>%</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11" w:hRule="atLeast"/>
        </w:trPr>
        <w:tc>
          <w:tcPr>
            <w:tcW w:w="828" w:type="pct"/>
            <w:vAlign w:val="center"/>
          </w:tcPr>
          <w:p>
            <w:pPr>
              <w:spacing w:line="360" w:lineRule="auto"/>
              <w:ind w:firstLine="0" w:firstLineChars="0"/>
              <w:jc w:val="center"/>
              <w:rPr>
                <w:rFonts w:hint="eastAsia" w:ascii="Times New Roman" w:hAnsi="Times New Roman" w:eastAsia="仿宋_GB2312" w:cs="Times New Roman"/>
                <w:color w:val="000000"/>
                <w:kern w:val="0"/>
                <w:sz w:val="24"/>
                <w:szCs w:val="24"/>
                <w:highlight w:val="none"/>
                <w:lang w:eastAsia="zh-CN"/>
              </w:rPr>
            </w:pPr>
            <w:r>
              <w:rPr>
                <w:rFonts w:hint="eastAsia" w:eastAsia="仿宋_GB2312" w:cs="Times New Roman"/>
                <w:color w:val="000000"/>
                <w:kern w:val="0"/>
                <w:sz w:val="24"/>
                <w:szCs w:val="24"/>
                <w:highlight w:val="none"/>
                <w:shd w:val="clear" w:color="auto" w:fill="FFFFFF"/>
                <w:lang w:eastAsia="zh-CN"/>
              </w:rPr>
              <w:t>202</w:t>
            </w:r>
            <w:r>
              <w:rPr>
                <w:rFonts w:hint="eastAsia" w:eastAsia="仿宋_GB2312" w:cs="Times New Roman"/>
                <w:color w:val="000000"/>
                <w:kern w:val="0"/>
                <w:sz w:val="24"/>
                <w:szCs w:val="24"/>
                <w:highlight w:val="none"/>
                <w:shd w:val="clear" w:color="auto" w:fill="FFFFFF"/>
                <w:lang w:val="en-US" w:eastAsia="zh-CN"/>
              </w:rPr>
              <w:t>1</w:t>
            </w:r>
            <w:r>
              <w:rPr>
                <w:rFonts w:hint="eastAsia" w:eastAsia="仿宋_GB2312" w:cs="Times New Roman"/>
                <w:color w:val="000000"/>
                <w:kern w:val="0"/>
                <w:sz w:val="24"/>
                <w:szCs w:val="24"/>
                <w:highlight w:val="none"/>
                <w:shd w:val="clear" w:color="auto" w:fill="FFFFFF"/>
                <w:lang w:eastAsia="zh-CN"/>
              </w:rPr>
              <w:t>年</w:t>
            </w:r>
          </w:p>
        </w:tc>
        <w:tc>
          <w:tcPr>
            <w:tcW w:w="1462"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322.99</w:t>
            </w:r>
          </w:p>
        </w:tc>
        <w:tc>
          <w:tcPr>
            <w:tcW w:w="1391"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322.99</w:t>
            </w:r>
          </w:p>
        </w:tc>
        <w:tc>
          <w:tcPr>
            <w:tcW w:w="1317" w:type="pct"/>
            <w:vAlign w:val="center"/>
          </w:tcPr>
          <w:p>
            <w:pPr>
              <w:keepNext w:val="0"/>
              <w:keepLines w:val="0"/>
              <w:widowControl/>
              <w:suppressLineNumbers w:val="0"/>
              <w:ind w:left="0" w:leftChars="0" w:firstLine="0" w:firstLineChars="0"/>
              <w:jc w:val="center"/>
              <w:textAlignment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cs="Times New Roman"/>
                <w:i w:val="0"/>
                <w:iCs w:val="0"/>
                <w:color w:val="000000"/>
                <w:kern w:val="0"/>
                <w:sz w:val="24"/>
                <w:szCs w:val="24"/>
                <w:u w:val="none"/>
                <w:lang w:val="en-US" w:eastAsia="zh-CN" w:bidi="ar"/>
              </w:rPr>
              <w:t>100</w:t>
            </w:r>
            <w:r>
              <w:rPr>
                <w:rFonts w:hint="default" w:ascii="Times New Roman" w:hAnsi="Times New Roman" w:eastAsia="宋体" w:cs="Times New Roman"/>
                <w:i w:val="0"/>
                <w:iCs w:val="0"/>
                <w:color w:val="000000"/>
                <w:kern w:val="0"/>
                <w:sz w:val="24"/>
                <w:szCs w:val="24"/>
                <w:u w:val="none"/>
                <w:lang w:val="en-US" w:eastAsia="zh-CN" w:bidi="ar"/>
              </w:rPr>
              <w:t>%</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311" w:hRule="atLeast"/>
        </w:trPr>
        <w:tc>
          <w:tcPr>
            <w:tcW w:w="828" w:type="pct"/>
            <w:vAlign w:val="center"/>
          </w:tcPr>
          <w:p>
            <w:pPr>
              <w:spacing w:line="360" w:lineRule="auto"/>
              <w:ind w:firstLine="0" w:firstLineChars="0"/>
              <w:jc w:val="center"/>
              <w:rPr>
                <w:rFonts w:hint="default" w:ascii="Times New Roman" w:hAnsi="Times New Roman"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2022年</w:t>
            </w:r>
          </w:p>
        </w:tc>
        <w:tc>
          <w:tcPr>
            <w:tcW w:w="1462" w:type="pct"/>
            <w:vAlign w:val="center"/>
          </w:tcPr>
          <w:p>
            <w:pPr>
              <w:spacing w:line="360" w:lineRule="auto"/>
              <w:ind w:firstLine="0" w:firstLineChars="0"/>
              <w:jc w:val="center"/>
              <w:rPr>
                <w:rFonts w:hint="eastAsia"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383.1</w:t>
            </w:r>
          </w:p>
        </w:tc>
        <w:tc>
          <w:tcPr>
            <w:tcW w:w="1391" w:type="pct"/>
            <w:vAlign w:val="center"/>
          </w:tcPr>
          <w:p>
            <w:pPr>
              <w:spacing w:line="360" w:lineRule="auto"/>
              <w:ind w:firstLine="0" w:firstLineChars="0"/>
              <w:jc w:val="center"/>
              <w:rPr>
                <w:rFonts w:hint="eastAsia" w:eastAsia="仿宋_GB2312" w:cs="Times New Roman"/>
                <w:color w:val="000000"/>
                <w:kern w:val="0"/>
                <w:sz w:val="24"/>
                <w:szCs w:val="24"/>
                <w:highlight w:val="none"/>
                <w:shd w:val="clear" w:color="auto" w:fill="FFFFFF"/>
                <w:lang w:val="en-US" w:eastAsia="zh-CN"/>
              </w:rPr>
            </w:pPr>
            <w:r>
              <w:rPr>
                <w:rFonts w:hint="eastAsia" w:eastAsia="仿宋_GB2312" w:cs="Times New Roman"/>
                <w:color w:val="000000"/>
                <w:kern w:val="0"/>
                <w:sz w:val="24"/>
                <w:szCs w:val="24"/>
                <w:highlight w:val="none"/>
                <w:shd w:val="clear" w:color="auto" w:fill="FFFFFF"/>
                <w:lang w:val="en-US" w:eastAsia="zh-CN"/>
              </w:rPr>
              <w:t>383.1</w:t>
            </w:r>
          </w:p>
        </w:tc>
        <w:tc>
          <w:tcPr>
            <w:tcW w:w="1317" w:type="pct"/>
            <w:vAlign w:val="center"/>
          </w:tcPr>
          <w:p>
            <w:pPr>
              <w:keepNext w:val="0"/>
              <w:keepLines w:val="0"/>
              <w:widowControl/>
              <w:suppressLineNumbers w:val="0"/>
              <w:ind w:left="0" w:leftChars="0" w:firstLine="0" w:firstLineChars="0"/>
              <w:jc w:val="center"/>
              <w:textAlignment w:val="center"/>
              <w:rPr>
                <w:rFonts w:hint="default" w:cs="Times New Roman"/>
                <w:i w:val="0"/>
                <w:iCs w:val="0"/>
                <w:color w:val="000000"/>
                <w:kern w:val="0"/>
                <w:sz w:val="24"/>
                <w:szCs w:val="24"/>
                <w:u w:val="none"/>
                <w:lang w:val="en-US" w:eastAsia="zh-CN" w:bidi="ar"/>
              </w:rPr>
            </w:pPr>
            <w:r>
              <w:rPr>
                <w:rFonts w:hint="eastAsia" w:cs="Times New Roman"/>
                <w:i w:val="0"/>
                <w:iCs w:val="0"/>
                <w:color w:val="000000"/>
                <w:kern w:val="0"/>
                <w:sz w:val="24"/>
                <w:szCs w:val="24"/>
                <w:u w:val="none"/>
                <w:lang w:val="en-US" w:eastAsia="zh-CN" w:bidi="ar"/>
              </w:rPr>
              <w:t>100%</w:t>
            </w:r>
          </w:p>
        </w:tc>
      </w:tr>
    </w:tbl>
    <w:p>
      <w:pPr>
        <w:keepNext w:val="0"/>
        <w:keepLines w:val="0"/>
        <w:pageBreakBefore w:val="0"/>
        <w:widowControl w:val="0"/>
        <w:kinsoku/>
        <w:wordWrap/>
        <w:overflowPunct/>
        <w:topLinePunct w:val="0"/>
        <w:autoSpaceDE/>
        <w:autoSpaceDN/>
        <w:bidi w:val="0"/>
        <w:adjustRightInd/>
        <w:snapToGrid/>
        <w:spacing w:line="600" w:lineRule="exact"/>
        <w:ind w:left="0" w:leftChars="0" w:firstLine="0" w:firstLineChars="0"/>
        <w:jc w:val="center"/>
        <w:textAlignment w:val="auto"/>
        <w:rPr>
          <w:rFonts w:hint="default" w:ascii="Times New Roman" w:hAnsi="Times New Roman" w:eastAsia="仿宋_GB2312" w:cs="Times New Roman"/>
          <w:b/>
          <w:bCs/>
          <w:color w:val="000000"/>
          <w:kern w:val="0"/>
          <w:shd w:val="clear" w:color="auto" w:fill="FFFFFF"/>
        </w:rPr>
      </w:pPr>
      <w:r>
        <w:rPr>
          <w:rFonts w:hint="default" w:ascii="Times New Roman" w:hAnsi="Times New Roman" w:eastAsia="仿宋_GB2312" w:cs="Times New Roman"/>
          <w:b/>
          <w:bCs/>
          <w:color w:val="000000"/>
          <w:kern w:val="0"/>
          <w:shd w:val="clear" w:color="auto" w:fill="FFFFFF"/>
          <w:lang w:val="en-US" w:eastAsia="zh-CN"/>
        </w:rPr>
        <w:t xml:space="preserve">图2 </w:t>
      </w:r>
      <w:r>
        <w:rPr>
          <w:rFonts w:hint="eastAsia" w:eastAsia="仿宋_GB2312" w:cs="Times New Roman"/>
          <w:b/>
          <w:bCs/>
          <w:color w:val="000000"/>
          <w:kern w:val="0"/>
          <w:shd w:val="clear" w:color="auto" w:fill="FFFFFF"/>
          <w:lang w:eastAsia="zh-CN"/>
        </w:rPr>
        <w:t>20</w:t>
      </w:r>
      <w:r>
        <w:rPr>
          <w:rFonts w:hint="eastAsia" w:eastAsia="仿宋_GB2312" w:cs="Times New Roman"/>
          <w:b/>
          <w:bCs/>
          <w:color w:val="000000"/>
          <w:kern w:val="0"/>
          <w:shd w:val="clear" w:color="auto" w:fill="FFFFFF"/>
          <w:lang w:val="en-US" w:eastAsia="zh-CN"/>
        </w:rPr>
        <w:t>20</w:t>
      </w:r>
      <w:r>
        <w:rPr>
          <w:rFonts w:hint="eastAsia" w:eastAsia="仿宋_GB2312" w:cs="Times New Roman"/>
          <w:b/>
          <w:bCs/>
          <w:color w:val="000000"/>
          <w:kern w:val="0"/>
          <w:shd w:val="clear" w:color="auto" w:fill="FFFFFF"/>
          <w:lang w:eastAsia="zh-CN"/>
        </w:rPr>
        <w:t>-2022年</w:t>
      </w:r>
      <w:r>
        <w:rPr>
          <w:rFonts w:hint="default" w:ascii="Times New Roman" w:hAnsi="Times New Roman" w:eastAsia="仿宋_GB2312" w:cs="Times New Roman"/>
          <w:b/>
          <w:bCs/>
          <w:color w:val="000000"/>
          <w:kern w:val="0"/>
          <w:shd w:val="clear" w:color="auto" w:fill="FFFFFF"/>
        </w:rPr>
        <w:t>预算及执行情况图</w:t>
      </w:r>
    </w:p>
    <w:p>
      <w:pPr>
        <w:pStyle w:val="15"/>
        <w:ind w:left="0" w:leftChars="0" w:firstLine="0" w:firstLineChars="0"/>
        <w:jc w:val="center"/>
        <w:rPr>
          <w:rFonts w:hint="eastAsia" w:eastAsia="宋体"/>
          <w:lang w:eastAsia="zh-CN"/>
        </w:rPr>
      </w:pPr>
      <w:r>
        <w:drawing>
          <wp:inline distT="0" distB="0" distL="114300" distR="114300">
            <wp:extent cx="4792980" cy="2369820"/>
            <wp:effectExtent l="0" t="0" r="7620" b="7620"/>
            <wp:docPr id="6"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2"/>
                    <pic:cNvPicPr>
                      <a:picLocks noChangeAspect="1"/>
                    </pic:cNvPicPr>
                  </pic:nvPicPr>
                  <pic:blipFill>
                    <a:blip r:embed="rId18"/>
                    <a:stretch>
                      <a:fillRect/>
                    </a:stretch>
                  </pic:blipFill>
                  <pic:spPr>
                    <a:xfrm>
                      <a:off x="0" y="0"/>
                      <a:ext cx="4792980" cy="2369820"/>
                    </a:xfrm>
                    <a:prstGeom prst="rect">
                      <a:avLst/>
                    </a:prstGeom>
                    <a:noFill/>
                    <a:ln>
                      <a:noFill/>
                    </a:ln>
                  </pic:spPr>
                </pic:pic>
              </a:graphicData>
            </a:graphic>
          </wp:inline>
        </w:drawing>
      </w:r>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highlight w:val="none"/>
        </w:rPr>
      </w:pPr>
      <w:bookmarkStart w:id="47" w:name="_Toc24490"/>
      <w:bookmarkStart w:id="48" w:name="_Toc55586771"/>
      <w:bookmarkStart w:id="49" w:name="_Toc12301"/>
      <w:bookmarkStart w:id="50" w:name="_Toc5161"/>
      <w:bookmarkStart w:id="51" w:name="_Toc13031"/>
      <w:bookmarkStart w:id="52" w:name="_Toc25222"/>
      <w:r>
        <w:rPr>
          <w:rFonts w:hint="default" w:ascii="Times New Roman" w:hAnsi="Times New Roman" w:eastAsia="仿宋_GB2312" w:cs="Times New Roman"/>
          <w:highlight w:val="none"/>
        </w:rPr>
        <w:t>2、</w:t>
      </w:r>
      <w:r>
        <w:rPr>
          <w:rFonts w:hint="eastAsia" w:eastAsia="仿宋_GB2312" w:cs="Times New Roman"/>
          <w:highlight w:val="none"/>
          <w:lang w:eastAsia="zh-CN"/>
        </w:rPr>
        <w:t>2022年阿坝县统计局</w:t>
      </w:r>
      <w:r>
        <w:rPr>
          <w:rFonts w:hint="default" w:ascii="Times New Roman" w:hAnsi="Times New Roman" w:eastAsia="仿宋_GB2312" w:cs="Times New Roman"/>
          <w:highlight w:val="none"/>
        </w:rPr>
        <w:t>预算及支出情况</w:t>
      </w:r>
      <w:bookmarkEnd w:id="47"/>
      <w:bookmarkEnd w:id="48"/>
      <w:bookmarkEnd w:id="49"/>
      <w:bookmarkEnd w:id="50"/>
      <w:bookmarkEnd w:id="51"/>
      <w:bookmarkEnd w:id="52"/>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（1）预算资金来源</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eastAsia" w:eastAsia="仿宋_GB2312" w:cs="Times New Roman"/>
          <w:color w:val="auto"/>
          <w:kern w:val="0"/>
          <w:sz w:val="32"/>
          <w:szCs w:val="32"/>
          <w:highlight w:val="none"/>
          <w:shd w:val="clear" w:color="auto" w:fill="FFFFFF"/>
          <w:lang w:val="en-US" w:eastAsia="zh-CN" w:bidi="ar-SA"/>
        </w:rPr>
        <w:t>2022年阿坝县统计局本部以及纳入统计局2022年度部门预决算编制范围的二级预算单位阿坝县统计局普查中心（以下数据均包含二级预算单位）</w:t>
      </w:r>
      <w:r>
        <w:rPr>
          <w:rFonts w:hint="default" w:ascii="Times New Roman" w:hAnsi="Times New Roman" w:eastAsia="仿宋_GB2312" w:cs="Times New Roman"/>
          <w:color w:val="auto"/>
          <w:kern w:val="0"/>
          <w:sz w:val="32"/>
          <w:szCs w:val="32"/>
          <w:highlight w:val="none"/>
          <w:shd w:val="clear" w:color="auto" w:fill="FFFFFF"/>
          <w:lang w:val="en-US" w:eastAsia="zh-CN" w:bidi="ar-SA"/>
        </w:rPr>
        <w:t>年初预算数</w:t>
      </w:r>
      <w:r>
        <w:rPr>
          <w:rFonts w:hint="eastAsia" w:eastAsia="仿宋_GB2312" w:cs="Times New Roman"/>
          <w:color w:val="auto"/>
          <w:kern w:val="0"/>
          <w:sz w:val="32"/>
          <w:szCs w:val="32"/>
          <w:highlight w:val="none"/>
          <w:shd w:val="clear" w:color="auto" w:fill="FFFFFF"/>
          <w:lang w:val="en-US" w:eastAsia="zh-CN" w:bidi="ar-SA"/>
        </w:rPr>
        <w:t>共计</w:t>
      </w:r>
      <w:r>
        <w:rPr>
          <w:rFonts w:hint="default" w:ascii="Times New Roman" w:hAnsi="Times New Roman" w:eastAsia="仿宋_GB2312" w:cs="Times New Roman"/>
          <w:color w:val="auto"/>
          <w:kern w:val="0"/>
          <w:sz w:val="32"/>
          <w:szCs w:val="32"/>
          <w:highlight w:val="none"/>
          <w:shd w:val="clear" w:color="auto" w:fill="FFFFFF"/>
          <w:lang w:val="en-US" w:eastAsia="zh-CN" w:bidi="ar-SA"/>
        </w:rPr>
        <w:t>为</w:t>
      </w:r>
      <w:r>
        <w:rPr>
          <w:rFonts w:hint="eastAsia" w:eastAsia="仿宋_GB2312" w:cs="Times New Roman"/>
          <w:color w:val="auto"/>
          <w:kern w:val="0"/>
          <w:sz w:val="32"/>
          <w:szCs w:val="32"/>
          <w:highlight w:val="none"/>
          <w:shd w:val="clear" w:color="auto" w:fill="FFFFFF"/>
          <w:lang w:val="en-US" w:eastAsia="zh-CN" w:bidi="ar-SA"/>
        </w:rPr>
        <w:t>321.66</w:t>
      </w:r>
      <w:r>
        <w:rPr>
          <w:rFonts w:hint="default" w:ascii="Times New Roman" w:hAnsi="Times New Roman" w:eastAsia="仿宋_GB2312" w:cs="Times New Roman"/>
          <w:color w:val="auto"/>
          <w:kern w:val="0"/>
          <w:sz w:val="32"/>
          <w:szCs w:val="32"/>
          <w:highlight w:val="none"/>
          <w:shd w:val="clear" w:color="auto" w:fill="FFFFFF"/>
          <w:lang w:val="en-US" w:eastAsia="zh-CN" w:bidi="ar-SA"/>
        </w:rPr>
        <w:t>万元，</w:t>
      </w:r>
      <w:r>
        <w:rPr>
          <w:rFonts w:hint="eastAsia" w:eastAsia="仿宋_GB2312" w:cs="Times New Roman"/>
          <w:color w:val="auto"/>
          <w:kern w:val="0"/>
          <w:sz w:val="32"/>
          <w:szCs w:val="32"/>
          <w:highlight w:val="none"/>
          <w:shd w:val="clear" w:color="auto" w:fill="FFFFFF"/>
          <w:lang w:val="en-US" w:eastAsia="zh-CN" w:bidi="ar-SA"/>
        </w:rPr>
        <w:t>其中基本支出321.66万元，项目支出0.00万元。</w:t>
      </w:r>
      <w:r>
        <w:rPr>
          <w:rFonts w:hint="default" w:ascii="Times New Roman" w:hAnsi="Times New Roman" w:eastAsia="仿宋_GB2312" w:cs="Times New Roman"/>
          <w:color w:val="auto"/>
          <w:kern w:val="0"/>
          <w:sz w:val="32"/>
          <w:szCs w:val="32"/>
          <w:highlight w:val="none"/>
          <w:shd w:val="clear" w:color="auto" w:fill="FFFFFF"/>
          <w:lang w:val="en-US" w:eastAsia="zh-CN" w:bidi="ar-SA"/>
        </w:rPr>
        <w:t>资金来源于财政拨款。</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（2）预算调整</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eastAsia" w:eastAsia="仿宋_GB2312" w:cs="Times New Roman"/>
          <w:color w:val="auto"/>
          <w:kern w:val="0"/>
          <w:sz w:val="32"/>
          <w:szCs w:val="32"/>
          <w:highlight w:val="none"/>
          <w:shd w:val="clear" w:color="auto" w:fill="FFFFFF"/>
          <w:lang w:val="en-US" w:eastAsia="zh-CN" w:bidi="ar-SA"/>
        </w:rPr>
        <w:t>2022年阿坝县统计局</w:t>
      </w:r>
      <w:r>
        <w:rPr>
          <w:rFonts w:hint="default" w:ascii="Times New Roman" w:hAnsi="Times New Roman" w:eastAsia="仿宋_GB2312" w:cs="Times New Roman"/>
          <w:color w:val="auto"/>
          <w:kern w:val="0"/>
          <w:sz w:val="32"/>
          <w:szCs w:val="32"/>
          <w:highlight w:val="none"/>
          <w:shd w:val="clear" w:color="auto" w:fill="FFFFFF"/>
          <w:lang w:val="en-US" w:eastAsia="zh-CN" w:bidi="ar-SA"/>
        </w:rPr>
        <w:t>执行过程中预算调整</w:t>
      </w:r>
      <w:r>
        <w:rPr>
          <w:rFonts w:hint="eastAsia" w:eastAsia="仿宋_GB2312" w:cs="Times New Roman"/>
          <w:color w:val="auto"/>
          <w:kern w:val="0"/>
          <w:sz w:val="32"/>
          <w:szCs w:val="32"/>
          <w:highlight w:val="none"/>
          <w:shd w:val="clear" w:color="auto" w:fill="FFFFFF"/>
          <w:lang w:val="en-US" w:eastAsia="zh-CN" w:bidi="ar-SA"/>
        </w:rPr>
        <w:t>增加61.44</w:t>
      </w:r>
      <w:r>
        <w:rPr>
          <w:rFonts w:hint="default" w:ascii="Times New Roman" w:hAnsi="Times New Roman" w:eastAsia="仿宋_GB2312" w:cs="Times New Roman"/>
          <w:color w:val="auto"/>
          <w:kern w:val="0"/>
          <w:sz w:val="32"/>
          <w:szCs w:val="32"/>
          <w:highlight w:val="none"/>
          <w:shd w:val="clear" w:color="auto" w:fill="FFFFFF"/>
          <w:lang w:val="en-US" w:eastAsia="zh-CN" w:bidi="ar-SA"/>
        </w:rPr>
        <w:t>万元。其中基本支出</w:t>
      </w:r>
      <w:r>
        <w:rPr>
          <w:rFonts w:hint="eastAsia" w:eastAsia="仿宋_GB2312" w:cs="Times New Roman"/>
          <w:color w:val="auto"/>
          <w:kern w:val="0"/>
          <w:sz w:val="32"/>
          <w:szCs w:val="32"/>
          <w:highlight w:val="none"/>
          <w:shd w:val="clear" w:color="auto" w:fill="FFFFFF"/>
          <w:lang w:val="en-US" w:eastAsia="zh-CN" w:bidi="ar-SA"/>
        </w:rPr>
        <w:t>增加23.74</w:t>
      </w:r>
      <w:r>
        <w:rPr>
          <w:rFonts w:hint="default" w:ascii="Times New Roman" w:hAnsi="Times New Roman" w:eastAsia="仿宋_GB2312" w:cs="Times New Roman"/>
          <w:color w:val="auto"/>
          <w:kern w:val="0"/>
          <w:sz w:val="32"/>
          <w:szCs w:val="32"/>
          <w:highlight w:val="none"/>
          <w:shd w:val="clear" w:color="auto" w:fill="FFFFFF"/>
          <w:lang w:val="en-US" w:eastAsia="zh-CN" w:bidi="ar-SA"/>
        </w:rPr>
        <w:t>万元，项目支出</w:t>
      </w:r>
      <w:r>
        <w:rPr>
          <w:rFonts w:hint="eastAsia" w:eastAsia="仿宋_GB2312" w:cs="Times New Roman"/>
          <w:color w:val="auto"/>
          <w:kern w:val="0"/>
          <w:sz w:val="32"/>
          <w:szCs w:val="32"/>
          <w:highlight w:val="none"/>
          <w:shd w:val="clear" w:color="auto" w:fill="FFFFFF"/>
          <w:lang w:val="en-US" w:eastAsia="zh-CN" w:bidi="ar-SA"/>
        </w:rPr>
        <w:t>增加37.7</w:t>
      </w:r>
      <w:r>
        <w:rPr>
          <w:rFonts w:hint="default" w:ascii="Times New Roman" w:hAnsi="Times New Roman" w:eastAsia="仿宋_GB2312" w:cs="Times New Roman"/>
          <w:color w:val="auto"/>
          <w:kern w:val="0"/>
          <w:sz w:val="32"/>
          <w:szCs w:val="32"/>
          <w:highlight w:val="none"/>
          <w:shd w:val="clear" w:color="auto" w:fill="FFFFFF"/>
          <w:lang w:val="en-US" w:eastAsia="zh-CN" w:bidi="ar-SA"/>
        </w:rPr>
        <w:t>万元。</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3</w:t>
      </w:r>
      <w:r>
        <w:rPr>
          <w:rFonts w:hint="default" w:ascii="Times New Roman" w:hAnsi="Times New Roman" w:eastAsia="仿宋_GB2312" w:cs="Times New Roman"/>
          <w:b/>
          <w:bCs/>
          <w:color w:val="000000"/>
          <w:kern w:val="0"/>
          <w:highlight w:val="none"/>
          <w:lang w:bidi="ar"/>
        </w:rPr>
        <w:t xml:space="preserve"> 预算调整表</w:t>
      </w:r>
    </w:p>
    <w:tbl>
      <w:tblPr>
        <w:tblStyle w:val="40"/>
        <w:tblW w:w="8931"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1189"/>
        <w:gridCol w:w="1917"/>
        <w:gridCol w:w="1929"/>
        <w:gridCol w:w="1929"/>
        <w:gridCol w:w="1967"/>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57" w:hRule="atLeast"/>
          <w:tblHeader/>
        </w:trPr>
        <w:tc>
          <w:tcPr>
            <w:tcW w:w="118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color w:val="000000"/>
                <w:kern w:val="0"/>
                <w:highlight w:val="none"/>
                <w:lang w:bidi="ar"/>
              </w:rPr>
              <w:t>项目</w:t>
            </w:r>
          </w:p>
        </w:tc>
        <w:tc>
          <w:tcPr>
            <w:tcW w:w="191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年初预算数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调整数</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29"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p>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967" w:type="dxa"/>
            <w:tcBorders>
              <w:top w:val="single" w:color="auto" w:sz="12" w:space="0"/>
            </w:tcBorders>
            <w:shd w:val="clear" w:color="auto" w:fill="BEBEBE" w:themeFill="background1" w:themeFillShade="BF"/>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调整后占比（%）</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4"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color w:val="000000"/>
                <w:kern w:val="0"/>
                <w:highlight w:val="none"/>
              </w:rPr>
            </w:pPr>
            <w:r>
              <w:rPr>
                <w:rFonts w:hint="default" w:ascii="Times New Roman" w:hAnsi="Times New Roman" w:eastAsia="仿宋_GB2312" w:cs="Times New Roman"/>
                <w:color w:val="000000"/>
                <w:kern w:val="0"/>
                <w:highlight w:val="none"/>
                <w:lang w:bidi="ar"/>
              </w:rPr>
              <w:t>基本支出</w:t>
            </w:r>
          </w:p>
        </w:tc>
        <w:tc>
          <w:tcPr>
            <w:tcW w:w="1917" w:type="dxa"/>
            <w:shd w:val="clear" w:color="auto" w:fill="auto"/>
            <w:vAlign w:val="center"/>
          </w:tcPr>
          <w:p>
            <w:pPr>
              <w:keepNext w:val="0"/>
              <w:keepLines w:val="0"/>
              <w:widowControl/>
              <w:suppressLineNumbers w:val="0"/>
              <w:ind w:firstLine="0" w:firstLineChars="0"/>
              <w:jc w:val="center"/>
              <w:textAlignment w:val="auto"/>
              <w:rPr>
                <w:rFonts w:hint="eastAsia" w:ascii="Times New Roman" w:hAnsi="Times New Roman"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321.66</w:t>
            </w:r>
          </w:p>
        </w:tc>
        <w:tc>
          <w:tcPr>
            <w:tcW w:w="1929" w:type="dxa"/>
            <w:shd w:val="clear" w:color="auto" w:fill="auto"/>
            <w:vAlign w:val="center"/>
          </w:tcPr>
          <w:p>
            <w:pPr>
              <w:keepNext w:val="0"/>
              <w:keepLines w:val="0"/>
              <w:widowControl/>
              <w:suppressLineNumbers w:val="0"/>
              <w:ind w:firstLine="0" w:firstLineChars="0"/>
              <w:jc w:val="center"/>
              <w:textAlignment w:val="auto"/>
              <w:rPr>
                <w:rFonts w:hint="eastAsia"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23.74</w:t>
            </w:r>
          </w:p>
        </w:tc>
        <w:tc>
          <w:tcPr>
            <w:tcW w:w="1929" w:type="dxa"/>
            <w:shd w:val="clear" w:color="auto" w:fill="auto"/>
            <w:vAlign w:val="center"/>
          </w:tcPr>
          <w:p>
            <w:pPr>
              <w:keepNext w:val="0"/>
              <w:keepLines w:val="0"/>
              <w:widowControl/>
              <w:suppressLineNumbers w:val="0"/>
              <w:ind w:firstLine="0" w:firstLineChars="0"/>
              <w:jc w:val="center"/>
              <w:textAlignment w:val="auto"/>
              <w:rPr>
                <w:rFonts w:hint="eastAsia"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345.4</w:t>
            </w:r>
          </w:p>
        </w:tc>
        <w:tc>
          <w:tcPr>
            <w:tcW w:w="1967" w:type="dxa"/>
            <w:vAlign w:val="center"/>
          </w:tcPr>
          <w:p>
            <w:pPr>
              <w:keepNext w:val="0"/>
              <w:keepLines w:val="0"/>
              <w:widowControl/>
              <w:suppressLineNumbers w:val="0"/>
              <w:ind w:firstLine="0" w:firstLineChars="0"/>
              <w:jc w:val="center"/>
              <w:textAlignment w:val="auto"/>
              <w:rPr>
                <w:rFonts w:hint="eastAsia"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90.16%</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45" w:hRule="atLeast"/>
        </w:trPr>
        <w:tc>
          <w:tcPr>
            <w:tcW w:w="1189" w:type="dxa"/>
            <w:shd w:val="clear" w:color="auto" w:fill="auto"/>
            <w:vAlign w:val="center"/>
          </w:tcPr>
          <w:p>
            <w:pPr>
              <w:spacing w:line="240" w:lineRule="auto"/>
              <w:ind w:firstLine="0" w:firstLineChars="0"/>
              <w:jc w:val="center"/>
              <w:rPr>
                <w:rFonts w:hint="default" w:ascii="Times New Roman" w:hAnsi="Times New Roman" w:eastAsia="仿宋_GB2312" w:cs="Times New Roman"/>
                <w:b/>
                <w:color w:val="000000"/>
                <w:kern w:val="0"/>
                <w:highlight w:val="none"/>
              </w:rPr>
            </w:pPr>
            <w:r>
              <w:rPr>
                <w:rFonts w:hint="default" w:ascii="Times New Roman" w:hAnsi="Times New Roman" w:eastAsia="仿宋_GB2312" w:cs="Times New Roman"/>
                <w:color w:val="000000"/>
                <w:kern w:val="0"/>
                <w:highlight w:val="none"/>
                <w:lang w:bidi="ar"/>
              </w:rPr>
              <w:t>项目支出</w:t>
            </w:r>
          </w:p>
        </w:tc>
        <w:tc>
          <w:tcPr>
            <w:tcW w:w="1917" w:type="dxa"/>
            <w:shd w:val="clear" w:color="auto" w:fill="auto"/>
            <w:vAlign w:val="center"/>
          </w:tcPr>
          <w:p>
            <w:pPr>
              <w:keepNext w:val="0"/>
              <w:keepLines w:val="0"/>
              <w:widowControl/>
              <w:suppressLineNumbers w:val="0"/>
              <w:ind w:firstLine="0" w:firstLineChars="0"/>
              <w:jc w:val="center"/>
              <w:textAlignment w:val="auto"/>
              <w:rPr>
                <w:rFonts w:hint="eastAsia" w:ascii="Times New Roman" w:hAnsi="Times New Roman"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w:t>
            </w:r>
          </w:p>
        </w:tc>
        <w:tc>
          <w:tcPr>
            <w:tcW w:w="1929" w:type="dxa"/>
            <w:shd w:val="clear" w:color="auto" w:fill="auto"/>
            <w:vAlign w:val="center"/>
          </w:tcPr>
          <w:p>
            <w:pPr>
              <w:keepNext w:val="0"/>
              <w:keepLines w:val="0"/>
              <w:widowControl/>
              <w:suppressLineNumbers w:val="0"/>
              <w:ind w:firstLine="0" w:firstLineChars="0"/>
              <w:jc w:val="center"/>
              <w:textAlignment w:val="auto"/>
              <w:rPr>
                <w:rFonts w:hint="eastAsia"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37.7</w:t>
            </w:r>
          </w:p>
        </w:tc>
        <w:tc>
          <w:tcPr>
            <w:tcW w:w="1929" w:type="dxa"/>
            <w:shd w:val="clear" w:color="auto" w:fill="auto"/>
            <w:vAlign w:val="center"/>
          </w:tcPr>
          <w:p>
            <w:pPr>
              <w:keepNext w:val="0"/>
              <w:keepLines w:val="0"/>
              <w:widowControl/>
              <w:suppressLineNumbers w:val="0"/>
              <w:ind w:firstLine="0" w:firstLineChars="0"/>
              <w:jc w:val="center"/>
              <w:textAlignment w:val="auto"/>
              <w:rPr>
                <w:rFonts w:hint="eastAsia"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37.7</w:t>
            </w:r>
          </w:p>
        </w:tc>
        <w:tc>
          <w:tcPr>
            <w:tcW w:w="1967" w:type="dxa"/>
            <w:vAlign w:val="center"/>
          </w:tcPr>
          <w:p>
            <w:pPr>
              <w:keepNext w:val="0"/>
              <w:keepLines w:val="0"/>
              <w:widowControl/>
              <w:suppressLineNumbers w:val="0"/>
              <w:ind w:firstLine="0" w:firstLineChars="0"/>
              <w:jc w:val="center"/>
              <w:textAlignment w:val="auto"/>
              <w:rPr>
                <w:rFonts w:hint="eastAsia" w:eastAsia="仿宋_GB2312" w:cs="Times New Roman"/>
                <w:color w:val="000000"/>
                <w:kern w:val="0"/>
                <w:highlight w:val="none"/>
                <w:shd w:val="clear" w:color="auto" w:fill="FFFFFF"/>
                <w:lang w:val="en-US" w:eastAsia="zh-CN"/>
              </w:rPr>
            </w:pPr>
            <w:r>
              <w:rPr>
                <w:rFonts w:hint="eastAsia" w:ascii="Times New Roman" w:hAnsi="Times New Roman" w:eastAsia="仿宋_GB2312" w:cs="Times New Roman"/>
                <w:i w:val="0"/>
                <w:iCs w:val="0"/>
                <w:color w:val="000000"/>
                <w:kern w:val="0"/>
                <w:sz w:val="24"/>
                <w:szCs w:val="24"/>
                <w:highlight w:val="none"/>
                <w:u w:val="none"/>
                <w:shd w:val="clear" w:color="auto" w:fill="FFFFFF"/>
                <w:lang w:val="en-US" w:eastAsia="zh-CN" w:bidi="ar"/>
              </w:rPr>
              <w:t>9.84%</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（3）实际</w:t>
      </w:r>
      <w:r>
        <w:rPr>
          <w:rFonts w:hint="default" w:ascii="Times New Roman" w:hAnsi="Times New Roman" w:eastAsia="仿宋_GB2312" w:cs="Times New Roman"/>
          <w:color w:val="auto"/>
          <w:kern w:val="0"/>
          <w:sz w:val="32"/>
          <w:szCs w:val="32"/>
          <w:highlight w:val="none"/>
          <w:shd w:val="clear" w:color="auto" w:fill="FFFFFF"/>
          <w:lang w:val="en-US" w:eastAsia="zh-CN" w:bidi="ar-SA"/>
        </w:rPr>
        <w:t>资金</w:t>
      </w:r>
      <w:r>
        <w:rPr>
          <w:rFonts w:hint="default" w:ascii="Times New Roman" w:hAnsi="Times New Roman" w:eastAsia="仿宋_GB2312" w:cs="Times New Roman"/>
          <w:color w:val="000000"/>
          <w:kern w:val="0"/>
          <w:sz w:val="32"/>
          <w:szCs w:val="32"/>
          <w:highlight w:val="none"/>
          <w:lang w:val="en-US" w:eastAsia="zh-CN" w:bidi="ar"/>
        </w:rPr>
        <w:t>支出情况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eastAsia" w:eastAsia="仿宋_GB2312" w:cs="Times New Roman"/>
          <w:color w:val="auto"/>
          <w:kern w:val="0"/>
          <w:sz w:val="32"/>
          <w:szCs w:val="32"/>
          <w:highlight w:val="none"/>
          <w:shd w:val="clear" w:color="auto" w:fill="FFFFFF"/>
          <w:lang w:val="en-US" w:eastAsia="zh-CN" w:bidi="ar-SA"/>
        </w:rPr>
        <w:t>2022年阿坝县统计局</w:t>
      </w:r>
      <w:r>
        <w:rPr>
          <w:rFonts w:hint="default" w:ascii="Times New Roman" w:hAnsi="Times New Roman" w:eastAsia="仿宋_GB2312" w:cs="Times New Roman"/>
          <w:color w:val="auto"/>
          <w:kern w:val="0"/>
          <w:sz w:val="32"/>
          <w:szCs w:val="32"/>
          <w:highlight w:val="none"/>
          <w:shd w:val="clear" w:color="auto" w:fill="FFFFFF"/>
          <w:lang w:val="en-US" w:eastAsia="zh-CN" w:bidi="ar-SA"/>
        </w:rPr>
        <w:t>整体支出调整后预算为</w:t>
      </w:r>
      <w:r>
        <w:rPr>
          <w:rFonts w:hint="eastAsia" w:ascii="Times New Roman" w:hAnsi="Times New Roman" w:eastAsia="仿宋_GB2312" w:cs="Times New Roman"/>
          <w:color w:val="auto"/>
          <w:kern w:val="0"/>
          <w:sz w:val="32"/>
          <w:szCs w:val="32"/>
          <w:highlight w:val="none"/>
          <w:shd w:val="clear" w:color="auto" w:fill="FFFFFF"/>
          <w:lang w:val="en-US" w:eastAsia="zh-CN" w:bidi="ar-SA"/>
        </w:rPr>
        <w:t>383.1</w:t>
      </w:r>
      <w:r>
        <w:rPr>
          <w:rFonts w:hint="default" w:ascii="Times New Roman" w:hAnsi="Times New Roman" w:eastAsia="仿宋_GB2312" w:cs="Times New Roman"/>
          <w:color w:val="auto"/>
          <w:kern w:val="0"/>
          <w:sz w:val="32"/>
          <w:szCs w:val="32"/>
          <w:highlight w:val="none"/>
          <w:shd w:val="clear" w:color="auto" w:fill="FFFFFF"/>
          <w:lang w:val="en-US" w:eastAsia="zh-CN" w:bidi="ar-SA"/>
        </w:rPr>
        <w:t>万元，实际支出为</w:t>
      </w:r>
      <w:r>
        <w:rPr>
          <w:rFonts w:hint="eastAsia" w:ascii="Times New Roman" w:hAnsi="Times New Roman" w:eastAsia="仿宋_GB2312" w:cs="Times New Roman"/>
          <w:color w:val="auto"/>
          <w:kern w:val="0"/>
          <w:sz w:val="32"/>
          <w:szCs w:val="32"/>
          <w:highlight w:val="none"/>
          <w:shd w:val="clear" w:color="auto" w:fill="FFFFFF"/>
          <w:lang w:val="en-US" w:eastAsia="zh-CN" w:bidi="ar-SA"/>
        </w:rPr>
        <w:t>383.1</w:t>
      </w:r>
      <w:r>
        <w:rPr>
          <w:rFonts w:hint="default" w:ascii="Times New Roman" w:hAnsi="Times New Roman" w:eastAsia="仿宋_GB2312" w:cs="Times New Roman"/>
          <w:color w:val="auto"/>
          <w:kern w:val="0"/>
          <w:sz w:val="32"/>
          <w:szCs w:val="32"/>
          <w:highlight w:val="none"/>
          <w:shd w:val="clear" w:color="auto" w:fill="FFFFFF"/>
          <w:lang w:val="en-US" w:eastAsia="zh-CN" w:bidi="ar-SA"/>
        </w:rPr>
        <w:t>万元，预算执行率为</w:t>
      </w:r>
      <w:r>
        <w:rPr>
          <w:rFonts w:hint="eastAsia" w:ascii="Times New Roman" w:hAnsi="Times New Roman" w:eastAsia="仿宋_GB2312" w:cs="Times New Roman"/>
          <w:color w:val="auto"/>
          <w:kern w:val="0"/>
          <w:sz w:val="32"/>
          <w:szCs w:val="32"/>
          <w:highlight w:val="none"/>
          <w:shd w:val="clear" w:color="auto" w:fill="FFFFFF"/>
          <w:lang w:val="en-US" w:eastAsia="zh-CN" w:bidi="ar-SA"/>
        </w:rPr>
        <w:t>100</w:t>
      </w:r>
      <w:r>
        <w:rPr>
          <w:rFonts w:hint="default" w:ascii="Times New Roman" w:hAnsi="Times New Roman" w:eastAsia="仿宋_GB2312" w:cs="Times New Roman"/>
          <w:color w:val="auto"/>
          <w:kern w:val="0"/>
          <w:sz w:val="32"/>
          <w:szCs w:val="32"/>
          <w:highlight w:val="none"/>
          <w:shd w:val="clear" w:color="auto" w:fill="FFFFFF"/>
          <w:lang w:val="en-US" w:eastAsia="zh-CN" w:bidi="ar-SA"/>
        </w:rPr>
        <w:t>%。</w:t>
      </w:r>
    </w:p>
    <w:p>
      <w:pPr>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表4</w:t>
      </w:r>
      <w:r>
        <w:rPr>
          <w:rFonts w:hint="default" w:ascii="Times New Roman" w:hAnsi="Times New Roman" w:eastAsia="仿宋_GB2312" w:cs="Times New Roman"/>
          <w:b/>
          <w:bCs/>
          <w:color w:val="000000"/>
          <w:kern w:val="0"/>
          <w:highlight w:val="none"/>
          <w:lang w:bidi="ar"/>
        </w:rPr>
        <w:t xml:space="preserve"> </w:t>
      </w:r>
      <w:r>
        <w:rPr>
          <w:rFonts w:hint="eastAsia" w:eastAsia="仿宋_GB2312" w:cs="Times New Roman"/>
          <w:b/>
          <w:bCs/>
          <w:color w:val="000000"/>
          <w:kern w:val="0"/>
          <w:highlight w:val="none"/>
          <w:lang w:eastAsia="zh-CN" w:bidi="ar"/>
        </w:rPr>
        <w:t>2022年</w:t>
      </w:r>
      <w:r>
        <w:rPr>
          <w:rFonts w:hint="default" w:ascii="Times New Roman" w:hAnsi="Times New Roman" w:eastAsia="仿宋_GB2312" w:cs="Times New Roman"/>
          <w:b/>
          <w:bCs/>
          <w:color w:val="000000"/>
          <w:kern w:val="0"/>
          <w:highlight w:val="none"/>
          <w:lang w:bidi="ar"/>
        </w:rPr>
        <w:t>实际资金支出情况表</w:t>
      </w:r>
    </w:p>
    <w:tbl>
      <w:tblPr>
        <w:tblStyle w:val="40"/>
        <w:tblW w:w="4919" w:type="pct"/>
        <w:jc w:val="center"/>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autofit"/>
        <w:tblCellMar>
          <w:top w:w="0" w:type="dxa"/>
          <w:left w:w="108" w:type="dxa"/>
          <w:bottom w:w="0" w:type="dxa"/>
          <w:right w:w="108" w:type="dxa"/>
        </w:tblCellMar>
      </w:tblPr>
      <w:tblGrid>
        <w:gridCol w:w="1599"/>
        <w:gridCol w:w="2444"/>
        <w:gridCol w:w="2385"/>
        <w:gridCol w:w="242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633" w:hRule="atLeast"/>
          <w:tblHeader/>
          <w:jc w:val="center"/>
        </w:trPr>
        <w:tc>
          <w:tcPr>
            <w:tcW w:w="903"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项目</w:t>
            </w:r>
          </w:p>
        </w:tc>
        <w:tc>
          <w:tcPr>
            <w:tcW w:w="1379"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调整后预算（</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46"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实际支出数（</w:t>
            </w:r>
            <w:r>
              <w:rPr>
                <w:rFonts w:hint="default" w:ascii="Times New Roman" w:hAnsi="Times New Roman" w:eastAsia="仿宋_GB2312" w:cs="Times New Roman"/>
                <w:b/>
                <w:bCs/>
                <w:color w:val="000000"/>
                <w:kern w:val="0"/>
                <w:highlight w:val="none"/>
                <w:lang w:val="en-US" w:eastAsia="zh-CN" w:bidi="ar"/>
              </w:rPr>
              <w:t>万</w:t>
            </w:r>
            <w:r>
              <w:rPr>
                <w:rFonts w:hint="default" w:ascii="Times New Roman" w:hAnsi="Times New Roman" w:eastAsia="仿宋_GB2312" w:cs="Times New Roman"/>
                <w:b/>
                <w:bCs/>
                <w:color w:val="000000"/>
                <w:kern w:val="0"/>
                <w:highlight w:val="none"/>
                <w:lang w:bidi="ar"/>
              </w:rPr>
              <w:t>元）</w:t>
            </w:r>
          </w:p>
        </w:tc>
        <w:tc>
          <w:tcPr>
            <w:tcW w:w="1370" w:type="pct"/>
            <w:tcBorders>
              <w:top w:val="single" w:color="auto" w:sz="12" w:space="0"/>
            </w:tcBorders>
            <w:shd w:val="clear" w:color="auto" w:fill="BEBEBE"/>
            <w:vAlign w:val="center"/>
          </w:tcPr>
          <w:p>
            <w:pPr>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预算执行率（%）</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12" w:hRule="atLeast"/>
          <w:jc w:val="center"/>
        </w:trPr>
        <w:tc>
          <w:tcPr>
            <w:tcW w:w="903"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基本支出</w:t>
            </w:r>
          </w:p>
        </w:tc>
        <w:tc>
          <w:tcPr>
            <w:tcW w:w="244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345.4</w:t>
            </w:r>
          </w:p>
        </w:tc>
        <w:tc>
          <w:tcPr>
            <w:tcW w:w="2385"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eastAsia" w:eastAsia="仿宋_GB2312" w:cs="Times New Roman"/>
                <w:color w:val="000000"/>
                <w:kern w:val="0"/>
                <w:highlight w:val="none"/>
                <w:shd w:val="clear" w:color="auto" w:fill="FFFFFF"/>
                <w:lang w:val="en-US" w:eastAsia="zh-CN"/>
              </w:rPr>
              <w:t>345.4</w:t>
            </w:r>
          </w:p>
        </w:tc>
        <w:tc>
          <w:tcPr>
            <w:tcW w:w="1370" w:type="pct"/>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549" w:hRule="atLeast"/>
          <w:jc w:val="center"/>
        </w:trPr>
        <w:tc>
          <w:tcPr>
            <w:tcW w:w="903" w:type="pct"/>
            <w:vAlign w:val="center"/>
          </w:tcPr>
          <w:p>
            <w:pPr>
              <w:spacing w:line="240" w:lineRule="auto"/>
              <w:ind w:firstLine="0" w:firstLineChars="0"/>
              <w:jc w:val="center"/>
              <w:rPr>
                <w:rFonts w:hint="default" w:ascii="Times New Roman" w:hAnsi="Times New Roman" w:eastAsia="仿宋_GB2312" w:cs="Times New Roman"/>
                <w:b w:val="0"/>
                <w:bCs w:val="0"/>
                <w:color w:val="000000"/>
                <w:kern w:val="0"/>
                <w:highlight w:val="none"/>
                <w:lang w:bidi="ar"/>
              </w:rPr>
            </w:pPr>
            <w:r>
              <w:rPr>
                <w:rFonts w:hint="default" w:ascii="Times New Roman" w:hAnsi="Times New Roman" w:eastAsia="仿宋_GB2312" w:cs="Times New Roman"/>
                <w:b w:val="0"/>
                <w:bCs w:val="0"/>
                <w:color w:val="000000"/>
                <w:kern w:val="0"/>
                <w:highlight w:val="none"/>
                <w:lang w:bidi="ar"/>
              </w:rPr>
              <w:t>项目支出</w:t>
            </w:r>
          </w:p>
        </w:tc>
        <w:tc>
          <w:tcPr>
            <w:tcW w:w="2444"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37.7</w:t>
            </w:r>
          </w:p>
        </w:tc>
        <w:tc>
          <w:tcPr>
            <w:tcW w:w="2385" w:type="dxa"/>
            <w:vAlign w:val="center"/>
          </w:tcPr>
          <w:p>
            <w:pPr>
              <w:spacing w:line="240" w:lineRule="auto"/>
              <w:ind w:firstLine="0" w:firstLineChars="0"/>
              <w:jc w:val="center"/>
              <w:rPr>
                <w:rFonts w:hint="default" w:eastAsia="仿宋_GB2312" w:cs="Times New Roman"/>
                <w:color w:val="000000"/>
                <w:kern w:val="0"/>
                <w:highlight w:val="none"/>
                <w:shd w:val="clear" w:color="auto" w:fill="FFFFFF"/>
                <w:lang w:val="en-US" w:eastAsia="zh-CN"/>
              </w:rPr>
            </w:pPr>
            <w:r>
              <w:rPr>
                <w:rFonts w:hint="default" w:eastAsia="仿宋_GB2312" w:cs="Times New Roman"/>
                <w:color w:val="000000"/>
                <w:kern w:val="0"/>
                <w:highlight w:val="none"/>
                <w:shd w:val="clear" w:color="auto" w:fill="FFFFFF"/>
                <w:lang w:val="en-US" w:eastAsia="zh-CN"/>
              </w:rPr>
              <w:t>37.7</w:t>
            </w:r>
          </w:p>
        </w:tc>
        <w:tc>
          <w:tcPr>
            <w:tcW w:w="1370" w:type="pct"/>
            <w:vAlign w:val="center"/>
          </w:tcPr>
          <w:p>
            <w:pPr>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bl>
    <w:p>
      <w:pPr>
        <w:pStyle w:val="66"/>
        <w:spacing w:before="156" w:after="156" w:line="600" w:lineRule="exact"/>
        <w:ind w:firstLine="640"/>
        <w:rPr>
          <w:rFonts w:hint="default" w:ascii="Times New Roman" w:hAnsi="Times New Roman" w:eastAsia="楷体_GB2312" w:cs="Times New Roman"/>
          <w:color w:val="auto"/>
          <w:sz w:val="32"/>
          <w:highlight w:val="none"/>
          <w:lang w:val="en-US" w:eastAsia="zh-CN"/>
        </w:rPr>
      </w:pPr>
      <w:bookmarkStart w:id="53" w:name="_Toc27397"/>
      <w:bookmarkStart w:id="54" w:name="_Toc30895"/>
      <w:bookmarkStart w:id="55" w:name="_Toc23418"/>
      <w:bookmarkStart w:id="56" w:name="_Toc9166"/>
      <w:bookmarkStart w:id="57" w:name="_Toc17589"/>
      <w:r>
        <w:rPr>
          <w:rFonts w:hint="default" w:ascii="Times New Roman" w:hAnsi="Times New Roman" w:eastAsia="楷体_GB2312" w:cs="Times New Roman"/>
          <w:color w:val="auto"/>
          <w:sz w:val="32"/>
          <w:highlight w:val="none"/>
          <w:lang w:val="en-US" w:eastAsia="zh-CN"/>
        </w:rPr>
        <w:t>（三）部门固定资产</w:t>
      </w:r>
      <w:bookmarkEnd w:id="53"/>
      <w:bookmarkEnd w:id="54"/>
      <w:bookmarkEnd w:id="55"/>
      <w:bookmarkEnd w:id="56"/>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截至</w:t>
      </w:r>
      <w:r>
        <w:rPr>
          <w:rFonts w:hint="eastAsia" w:eastAsia="仿宋_GB2312" w:cs="Times New Roman"/>
          <w:color w:val="000000"/>
          <w:kern w:val="0"/>
          <w:sz w:val="32"/>
          <w:szCs w:val="32"/>
          <w:highlight w:val="none"/>
          <w:lang w:val="en-US" w:eastAsia="zh-CN" w:bidi="ar"/>
        </w:rPr>
        <w:t>2022年</w:t>
      </w:r>
      <w:r>
        <w:rPr>
          <w:rFonts w:hint="default" w:ascii="Times New Roman" w:hAnsi="Times New Roman" w:eastAsia="仿宋_GB2312" w:cs="Times New Roman"/>
          <w:color w:val="000000"/>
          <w:kern w:val="0"/>
          <w:sz w:val="32"/>
          <w:szCs w:val="32"/>
          <w:highlight w:val="none"/>
          <w:lang w:val="en-US" w:eastAsia="zh-CN" w:bidi="ar"/>
        </w:rPr>
        <w:t>12月31日，</w:t>
      </w:r>
      <w:r>
        <w:rPr>
          <w:rFonts w:hint="eastAsia"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固定资产系统记载数为34.69万元，固定资产账簿记载数据为34.69万元，固定资产系统记载数与固定资产账簿记载数一致</w:t>
      </w:r>
      <w:r>
        <w:rPr>
          <w:rFonts w:hint="eastAsia" w:eastAsia="仿宋_GB2312" w:cs="Times New Roman"/>
          <w:color w:val="000000"/>
          <w:kern w:val="0"/>
          <w:sz w:val="32"/>
          <w:szCs w:val="32"/>
          <w:highlight w:val="none"/>
          <w:lang w:val="en-US" w:eastAsia="zh-CN" w:bidi="ar"/>
        </w:rPr>
        <w:t>。</w:t>
      </w:r>
    </w:p>
    <w:p>
      <w:pPr>
        <w:keepNext w:val="0"/>
        <w:keepLines w:val="0"/>
        <w:pageBreakBefore w:val="0"/>
        <w:widowControl w:val="0"/>
        <w:kinsoku/>
        <w:wordWrap/>
        <w:overflowPunct/>
        <w:topLinePunct w:val="0"/>
        <w:autoSpaceDE/>
        <w:autoSpaceDN/>
        <w:bidi w:val="0"/>
        <w:adjustRightInd/>
        <w:spacing w:line="600" w:lineRule="exact"/>
        <w:ind w:firstLine="480"/>
        <w:jc w:val="center"/>
        <w:textAlignment w:val="auto"/>
        <w:rPr>
          <w:rFonts w:hint="default" w:ascii="Times New Roman" w:hAnsi="Times New Roman" w:eastAsia="仿宋_GB2312" w:cs="Times New Roman"/>
          <w:b/>
          <w:bCs/>
          <w:color w:val="000000"/>
          <w:kern w:val="0"/>
          <w:highlight w:val="none"/>
          <w:shd w:val="clear" w:color="auto" w:fill="FFFFFF"/>
        </w:rPr>
      </w:pPr>
      <w:r>
        <w:rPr>
          <w:rFonts w:hint="default" w:ascii="Times New Roman" w:hAnsi="Times New Roman" w:eastAsia="仿宋_GB2312" w:cs="Times New Roman"/>
          <w:b/>
          <w:bCs/>
          <w:color w:val="000000"/>
          <w:kern w:val="0"/>
          <w:highlight w:val="none"/>
          <w:shd w:val="clear" w:color="auto" w:fill="FFFFFF"/>
        </w:rPr>
        <w:t>表</w:t>
      </w:r>
      <w:r>
        <w:rPr>
          <w:rFonts w:hint="default" w:ascii="Times New Roman" w:hAnsi="Times New Roman" w:eastAsia="仿宋_GB2312" w:cs="Times New Roman"/>
          <w:b/>
          <w:bCs/>
          <w:color w:val="000000"/>
          <w:kern w:val="0"/>
          <w:highlight w:val="none"/>
          <w:shd w:val="clear" w:color="auto" w:fill="FFFFFF"/>
          <w:lang w:val="en-US" w:eastAsia="zh-CN"/>
        </w:rPr>
        <w:t xml:space="preserve">5 </w:t>
      </w:r>
      <w:r>
        <w:rPr>
          <w:rFonts w:hint="eastAsia"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2022年</w:t>
      </w:r>
      <w:r>
        <w:rPr>
          <w:rFonts w:hint="default" w:ascii="Times New Roman" w:hAnsi="Times New Roman" w:eastAsia="仿宋_GB2312" w:cs="Times New Roman"/>
          <w:b/>
          <w:bCs/>
          <w:color w:val="000000"/>
          <w:kern w:val="0"/>
          <w:highlight w:val="none"/>
          <w:shd w:val="clear" w:color="auto" w:fill="FFFFFF"/>
        </w:rPr>
        <w:t>固定资产增减变动情况表</w:t>
      </w:r>
    </w:p>
    <w:tbl>
      <w:tblPr>
        <w:tblStyle w:val="40"/>
        <w:tblW w:w="9126" w:type="dxa"/>
        <w:tblInd w:w="0" w:type="dxa"/>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Layout w:type="fixed"/>
        <w:tblCellMar>
          <w:top w:w="0" w:type="dxa"/>
          <w:left w:w="108" w:type="dxa"/>
          <w:bottom w:w="0" w:type="dxa"/>
          <w:right w:w="108" w:type="dxa"/>
        </w:tblCellMar>
      </w:tblPr>
      <w:tblGrid>
        <w:gridCol w:w="2313"/>
        <w:gridCol w:w="1600"/>
        <w:gridCol w:w="1687"/>
        <w:gridCol w:w="1838"/>
        <w:gridCol w:w="1688"/>
      </w:tblGrid>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89" w:hRule="atLeast"/>
          <w:tblHeader/>
        </w:trPr>
        <w:tc>
          <w:tcPr>
            <w:tcW w:w="2313"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类别</w:t>
            </w:r>
          </w:p>
        </w:tc>
        <w:tc>
          <w:tcPr>
            <w:tcW w:w="1600"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期初数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7"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本期增加</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83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本期减少</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c>
          <w:tcPr>
            <w:tcW w:w="1688" w:type="dxa"/>
            <w:tcBorders>
              <w:top w:val="single" w:color="auto" w:sz="12" w:space="0"/>
            </w:tcBorders>
            <w:shd w:val="clear" w:color="auto" w:fill="BEBEBE"/>
            <w:vAlign w:val="center"/>
          </w:tcPr>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期末数</w:t>
            </w:r>
          </w:p>
          <w:p>
            <w:pPr>
              <w:adjustRightInd w:val="0"/>
              <w:snapToGrid w:val="0"/>
              <w:spacing w:line="240" w:lineRule="auto"/>
              <w:ind w:firstLine="0" w:firstLineChars="0"/>
              <w:jc w:val="center"/>
              <w:rPr>
                <w:rFonts w:hint="default" w:ascii="Times New Roman" w:hAnsi="Times New Roman" w:eastAsia="仿宋_GB2312" w:cs="Times New Roman"/>
                <w:b/>
                <w:bCs/>
                <w:kern w:val="0"/>
                <w:highlight w:val="none"/>
              </w:rPr>
            </w:pPr>
            <w:r>
              <w:rPr>
                <w:rFonts w:hint="default" w:ascii="Times New Roman" w:hAnsi="Times New Roman" w:eastAsia="仿宋_GB2312" w:cs="Times New Roman"/>
                <w:b/>
                <w:bCs/>
                <w:kern w:val="0"/>
                <w:highlight w:val="none"/>
              </w:rPr>
              <w:t>（万元）</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固定资产系统数据</w:t>
            </w:r>
          </w:p>
        </w:tc>
        <w:tc>
          <w:tcPr>
            <w:tcW w:w="1600"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34.69</w:t>
            </w:r>
          </w:p>
        </w:tc>
        <w:tc>
          <w:tcPr>
            <w:tcW w:w="1687"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838"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688" w:type="dxa"/>
            <w:vAlign w:val="center"/>
          </w:tcPr>
          <w:p>
            <w:pPr>
              <w:spacing w:line="240" w:lineRule="auto"/>
              <w:ind w:firstLine="0" w:firstLineChars="0"/>
              <w:jc w:val="center"/>
              <w:rPr>
                <w:rFonts w:hint="default" w:ascii="Times New Roman" w:hAnsi="Times New Roman" w:eastAsia="宋体"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34.69</w:t>
            </w:r>
          </w:p>
        </w:tc>
      </w:tr>
      <w:tr>
        <w:tblPrEx>
          <w:tblBorders>
            <w:top w:val="single" w:color="auto" w:sz="12" w:space="0"/>
            <w:left w:val="none" w:color="auto" w:sz="0" w:space="0"/>
            <w:bottom w:val="single" w:color="auto" w:sz="12" w:space="0"/>
            <w:right w:val="none" w:color="auto" w:sz="0" w:space="0"/>
            <w:insideH w:val="dotted" w:color="auto" w:sz="4" w:space="0"/>
            <w:insideV w:val="dotted" w:color="auto" w:sz="4" w:space="0"/>
          </w:tblBorders>
          <w:tblCellMar>
            <w:top w:w="0" w:type="dxa"/>
            <w:left w:w="108" w:type="dxa"/>
            <w:bottom w:w="0" w:type="dxa"/>
            <w:right w:w="108" w:type="dxa"/>
          </w:tblCellMar>
        </w:tblPrEx>
        <w:trPr>
          <w:trHeight w:val="497" w:hRule="atLeast"/>
        </w:trPr>
        <w:tc>
          <w:tcPr>
            <w:tcW w:w="2313" w:type="dxa"/>
            <w:vAlign w:val="center"/>
          </w:tcPr>
          <w:p>
            <w:pPr>
              <w:spacing w:line="240" w:lineRule="auto"/>
              <w:ind w:right="120" w:firstLine="0" w:firstLineChars="0"/>
              <w:jc w:val="center"/>
              <w:rPr>
                <w:rFonts w:hint="default" w:ascii="Times New Roman" w:hAnsi="Times New Roman" w:eastAsia="仿宋_GB2312" w:cs="Times New Roman"/>
                <w:bCs/>
                <w:color w:val="000000"/>
                <w:kern w:val="0"/>
                <w:highlight w:val="none"/>
              </w:rPr>
            </w:pPr>
            <w:r>
              <w:rPr>
                <w:rFonts w:hint="default" w:ascii="Times New Roman" w:hAnsi="Times New Roman" w:eastAsia="仿宋_GB2312" w:cs="Times New Roman"/>
                <w:bCs/>
                <w:color w:val="000000"/>
                <w:kern w:val="0"/>
                <w:highlight w:val="none"/>
              </w:rPr>
              <w:t>总账数据</w:t>
            </w:r>
          </w:p>
        </w:tc>
        <w:tc>
          <w:tcPr>
            <w:tcW w:w="1600" w:type="dxa"/>
            <w:vAlign w:val="center"/>
          </w:tcPr>
          <w:p>
            <w:pPr>
              <w:spacing w:line="240" w:lineRule="auto"/>
              <w:ind w:firstLine="0" w:firstLineChars="0"/>
              <w:jc w:val="center"/>
              <w:rPr>
                <w:rFonts w:hint="default" w:cs="Times New Roman"/>
                <w:color w:val="333333"/>
                <w:kern w:val="2"/>
                <w:sz w:val="24"/>
                <w:szCs w:val="24"/>
                <w:highlight w:val="none"/>
                <w:shd w:val="clear" w:color="auto" w:fill="FFFFFF"/>
                <w:lang w:val="en-US" w:eastAsia="zh-CN" w:bidi="ar-SA"/>
              </w:rPr>
            </w:pPr>
            <w:r>
              <w:rPr>
                <w:rFonts w:hint="default" w:cs="Times New Roman"/>
                <w:color w:val="333333"/>
                <w:kern w:val="2"/>
                <w:sz w:val="24"/>
                <w:szCs w:val="24"/>
                <w:highlight w:val="none"/>
                <w:shd w:val="clear" w:color="auto" w:fill="FFFFFF"/>
                <w:lang w:val="en-US" w:eastAsia="zh-CN" w:bidi="ar-SA"/>
              </w:rPr>
              <w:t>34.69</w:t>
            </w:r>
          </w:p>
        </w:tc>
        <w:tc>
          <w:tcPr>
            <w:tcW w:w="1687" w:type="dxa"/>
            <w:vAlign w:val="center"/>
          </w:tcPr>
          <w:p>
            <w:pPr>
              <w:spacing w:line="240" w:lineRule="auto"/>
              <w:ind w:firstLine="0" w:firstLineChars="0"/>
              <w:jc w:val="center"/>
              <w:rPr>
                <w:rFonts w:hint="default"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838" w:type="dxa"/>
            <w:vAlign w:val="center"/>
          </w:tcPr>
          <w:p>
            <w:pPr>
              <w:spacing w:line="240" w:lineRule="auto"/>
              <w:ind w:firstLine="0" w:firstLineChars="0"/>
              <w:jc w:val="center"/>
              <w:rPr>
                <w:rFonts w:hint="default" w:cs="Times New Roman"/>
                <w:color w:val="333333"/>
                <w:kern w:val="2"/>
                <w:sz w:val="24"/>
                <w:szCs w:val="24"/>
                <w:highlight w:val="none"/>
                <w:shd w:val="clear" w:color="auto" w:fill="FFFFFF"/>
                <w:lang w:val="en-US" w:eastAsia="zh-CN" w:bidi="ar-SA"/>
              </w:rPr>
            </w:pPr>
            <w:r>
              <w:rPr>
                <w:rFonts w:hint="eastAsia" w:cs="Times New Roman"/>
                <w:color w:val="333333"/>
                <w:kern w:val="2"/>
                <w:sz w:val="24"/>
                <w:szCs w:val="24"/>
                <w:highlight w:val="none"/>
                <w:shd w:val="clear" w:color="auto" w:fill="FFFFFF"/>
                <w:lang w:val="en-US" w:eastAsia="zh-CN" w:bidi="ar-SA"/>
              </w:rPr>
              <w:t>-</w:t>
            </w:r>
          </w:p>
        </w:tc>
        <w:tc>
          <w:tcPr>
            <w:tcW w:w="1688" w:type="dxa"/>
            <w:vAlign w:val="center"/>
          </w:tcPr>
          <w:p>
            <w:pPr>
              <w:spacing w:line="240" w:lineRule="auto"/>
              <w:ind w:firstLine="0" w:firstLineChars="0"/>
              <w:jc w:val="center"/>
              <w:rPr>
                <w:rFonts w:hint="default" w:cs="Times New Roman"/>
                <w:color w:val="333333"/>
                <w:kern w:val="2"/>
                <w:sz w:val="24"/>
                <w:szCs w:val="24"/>
                <w:highlight w:val="none"/>
                <w:shd w:val="clear" w:color="auto" w:fill="FFFFFF"/>
                <w:lang w:val="en-US" w:eastAsia="zh-CN" w:bidi="ar-SA"/>
              </w:rPr>
            </w:pPr>
            <w:r>
              <w:rPr>
                <w:rFonts w:hint="default" w:cs="Times New Roman"/>
                <w:color w:val="333333"/>
                <w:kern w:val="2"/>
                <w:sz w:val="24"/>
                <w:szCs w:val="24"/>
                <w:highlight w:val="none"/>
                <w:shd w:val="clear" w:color="auto" w:fill="FFFFFF"/>
                <w:lang w:val="en-US" w:eastAsia="zh-CN" w:bidi="ar-SA"/>
              </w:rPr>
              <w:t>34.69</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_GB2312" w:cs="Times New Roman"/>
          <w:color w:val="auto"/>
          <w:sz w:val="32"/>
        </w:rPr>
      </w:pPr>
      <w:bookmarkStart w:id="58" w:name="_Toc23218"/>
      <w:bookmarkStart w:id="59" w:name="_Toc10190"/>
      <w:bookmarkStart w:id="60" w:name="_Toc29002"/>
      <w:bookmarkStart w:id="61" w:name="_Toc32496"/>
      <w:r>
        <w:rPr>
          <w:rFonts w:hint="default" w:ascii="Times New Roman" w:hAnsi="Times New Roman" w:eastAsia="楷体_GB2312" w:cs="Times New Roman"/>
          <w:color w:val="auto"/>
          <w:sz w:val="32"/>
        </w:rPr>
        <w:t>（四）部门管理</w:t>
      </w:r>
      <w:bookmarkEnd w:id="57"/>
      <w:bookmarkEnd w:id="58"/>
      <w:bookmarkEnd w:id="59"/>
      <w:bookmarkEnd w:id="60"/>
      <w:bookmarkEnd w:id="61"/>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rPr>
      </w:pPr>
      <w:bookmarkStart w:id="62" w:name="_Toc27168"/>
      <w:bookmarkStart w:id="63" w:name="_Toc55586776"/>
      <w:bookmarkStart w:id="64" w:name="_Toc29931"/>
      <w:bookmarkStart w:id="65" w:name="_Toc17103"/>
      <w:bookmarkStart w:id="66" w:name="_Toc25206"/>
      <w:bookmarkStart w:id="67" w:name="_Toc26059"/>
      <w:bookmarkStart w:id="68" w:name="_Toc55586777"/>
      <w:r>
        <w:rPr>
          <w:rFonts w:hint="default" w:ascii="Times New Roman" w:hAnsi="Times New Roman" w:eastAsia="仿宋_GB2312" w:cs="Times New Roman"/>
        </w:rPr>
        <w:t>1、决策管理</w:t>
      </w:r>
      <w:bookmarkEnd w:id="62"/>
      <w:bookmarkEnd w:id="63"/>
      <w:bookmarkEnd w:id="64"/>
      <w:bookmarkEnd w:id="65"/>
      <w:bookmarkEnd w:id="66"/>
      <w:bookmarkEnd w:id="6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重大事项决策凡涉及本办改革、发展和稳定大局，关系工作人员切身利益的重大问题，均属于重大事项决策的范围，主要内容包括：党和国家的路线、方针、政策，上级有关会议和文件精神的学习、贯彻和落实</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机关建设、精神文明建设、工会活动、政治学习、业务培训、廉政建设等工作</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重大人身伤亡、责任事故、突发事件的处置</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工作人员违规、违纪的处理</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 xml:space="preserve"> 机关各项管理制度的制定和调整</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财务年度决算、预算的申报和调整</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工资待遇、医疗等涉及干部职工切身利益的重大事项</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 xml:space="preserve"> 领导班子成员认为应当集体研究决定的其他重要问题。大额度资金的使用年度预算经费和专项经费，未列入预算、单项支出在1万元以上</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含1万元</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的资金款项的支出，应提交主任办公会讨论研究决定。</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rPr>
      </w:pPr>
      <w:bookmarkStart w:id="69" w:name="_Toc4274"/>
      <w:bookmarkStart w:id="70" w:name="_Toc2292"/>
      <w:bookmarkStart w:id="71" w:name="_Toc30389"/>
      <w:bookmarkStart w:id="72" w:name="_Toc8163"/>
      <w:bookmarkStart w:id="73" w:name="_Toc4868"/>
      <w:r>
        <w:rPr>
          <w:rFonts w:hint="default" w:ascii="Times New Roman" w:hAnsi="Times New Roman" w:eastAsia="仿宋_GB2312" w:cs="Times New Roman"/>
        </w:rPr>
        <w:t>2、财务管理</w:t>
      </w:r>
      <w:bookmarkEnd w:id="68"/>
      <w:bookmarkEnd w:id="69"/>
      <w:bookmarkEnd w:id="70"/>
      <w:bookmarkEnd w:id="71"/>
      <w:bookmarkEnd w:id="72"/>
      <w:bookmarkEnd w:id="73"/>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（1）预算</w:t>
      </w:r>
      <w:r>
        <w:rPr>
          <w:rFonts w:hint="default" w:ascii="Times New Roman" w:hAnsi="Times New Roman" w:eastAsia="仿宋_GB2312" w:cs="Times New Roman"/>
          <w:color w:val="auto"/>
          <w:kern w:val="0"/>
          <w:sz w:val="32"/>
          <w:szCs w:val="32"/>
          <w:highlight w:val="none"/>
          <w:shd w:val="clear" w:color="auto" w:fill="FFFFFF"/>
          <w:lang w:val="en-US" w:eastAsia="zh-CN" w:bidi="ar-SA"/>
        </w:rPr>
        <w:t>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严格遵循财政部门时间和程序流程安排，根据财政部门各项预算编订规定进行科学合理编制，充分考虑事业发展需求和预算年度收入增减因素，量入为出，量力而行，科学统筹安排各项资金。预算编订应遵循保障局本级正常运转所需的前提，包含人员工资、机关正常办公等基本性支出需求，既要贯彻勤俭节约原则，又要保障日常工作平稳有序开展。预算编订应充分考虑</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事业发展需求和规划，由局机关各股所室和单位根据年度重点工作和</w:t>
      </w:r>
      <w:r>
        <w:rPr>
          <w:rFonts w:hint="eastAsia" w:ascii="Times New Roman" w:hAnsi="Times New Roman" w:eastAsia="仿宋_GB2312" w:cs="Times New Roman"/>
          <w:color w:val="auto"/>
          <w:kern w:val="0"/>
          <w:sz w:val="32"/>
          <w:szCs w:val="32"/>
          <w:highlight w:val="none"/>
          <w:shd w:val="clear" w:color="auto" w:fill="FFFFFF"/>
          <w:lang w:val="en-US" w:eastAsia="zh-CN" w:bidi="ar-SA"/>
        </w:rPr>
        <w:fldChar w:fldCharType="begin"/>
      </w:r>
      <w:r>
        <w:rPr>
          <w:rFonts w:hint="eastAsia" w:ascii="Times New Roman" w:hAnsi="Times New Roman" w:eastAsia="仿宋_GB2312" w:cs="Times New Roman"/>
          <w:color w:val="auto"/>
          <w:kern w:val="0"/>
          <w:sz w:val="32"/>
          <w:szCs w:val="32"/>
          <w:highlight w:val="none"/>
          <w:shd w:val="clear" w:color="auto" w:fill="FFFFFF"/>
          <w:lang w:val="en-US" w:eastAsia="zh-CN" w:bidi="ar-SA"/>
        </w:rPr>
        <w:instrText xml:space="preserve"> HYPERLINK "http://www.cnrencai.com/gongzuojihua/" \t "_blank" </w:instrText>
      </w:r>
      <w:r>
        <w:rPr>
          <w:rFonts w:hint="eastAsia" w:ascii="Times New Roman" w:hAnsi="Times New Roman" w:eastAsia="仿宋_GB2312" w:cs="Times New Roman"/>
          <w:color w:val="auto"/>
          <w:kern w:val="0"/>
          <w:sz w:val="32"/>
          <w:szCs w:val="32"/>
          <w:highlight w:val="none"/>
          <w:shd w:val="clear" w:color="auto" w:fill="FFFFFF"/>
          <w:lang w:val="en-US" w:eastAsia="zh-CN" w:bidi="ar-SA"/>
        </w:rPr>
        <w:fldChar w:fldCharType="separate"/>
      </w:r>
      <w:r>
        <w:rPr>
          <w:rFonts w:hint="eastAsia" w:ascii="Times New Roman" w:hAnsi="Times New Roman" w:eastAsia="仿宋_GB2312" w:cs="Times New Roman"/>
          <w:color w:val="auto"/>
          <w:kern w:val="0"/>
          <w:sz w:val="32"/>
          <w:szCs w:val="32"/>
          <w:highlight w:val="none"/>
          <w:shd w:val="clear" w:color="auto" w:fill="FFFFFF"/>
          <w:lang w:val="en-US" w:eastAsia="zh-CN" w:bidi="ar-SA"/>
        </w:rPr>
        <w:t>工作计划</w:t>
      </w:r>
      <w:r>
        <w:rPr>
          <w:rFonts w:hint="eastAsia" w:ascii="Times New Roman" w:hAnsi="Times New Roman" w:eastAsia="仿宋_GB2312" w:cs="Times New Roman"/>
          <w:color w:val="auto"/>
          <w:kern w:val="0"/>
          <w:sz w:val="32"/>
          <w:szCs w:val="32"/>
          <w:highlight w:val="none"/>
          <w:shd w:val="clear" w:color="auto" w:fill="FFFFFF"/>
          <w:lang w:val="en-US" w:eastAsia="zh-CN" w:bidi="ar-SA"/>
        </w:rPr>
        <w:fldChar w:fldCharType="end"/>
      </w:r>
      <w:r>
        <w:rPr>
          <w:rFonts w:hint="eastAsia" w:ascii="Times New Roman" w:hAnsi="Times New Roman" w:eastAsia="仿宋_GB2312" w:cs="Times New Roman"/>
          <w:color w:val="auto"/>
          <w:kern w:val="0"/>
          <w:sz w:val="32"/>
          <w:szCs w:val="32"/>
          <w:highlight w:val="none"/>
          <w:shd w:val="clear" w:color="auto" w:fill="FFFFFF"/>
          <w:lang w:val="en-US" w:eastAsia="zh-CN" w:bidi="ar-SA"/>
        </w:rPr>
        <w:t>，编制经常性项目资金申请书，具体列明资金使用方向、范围和具体安排，实现项目预算“立项有依据，绩效有目标、计算有标准”，确保预算项目切实可行</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同时编订预算年度内设备、设施、自动化办公设备更新的政府采购计划表，以备局本级总体预算编制所需。</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（2）收支管理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统一专户。在经营活动期间所发生的一切收入，其中属于国库收入的资金先统一缴入财政预算外资金管理中心，通过财政结算后转入</w:t>
      </w:r>
      <w:r>
        <w:rPr>
          <w:rFonts w:hint="eastAsia" w:eastAsia="仿宋_GB2312" w:cs="Times New Roman"/>
          <w:color w:val="auto"/>
          <w:kern w:val="0"/>
          <w:sz w:val="32"/>
          <w:szCs w:val="32"/>
          <w:highlight w:val="none"/>
          <w:shd w:val="clear" w:color="auto" w:fill="FFFFFF"/>
          <w:lang w:val="en-US" w:eastAsia="zh-CN" w:bidi="ar-SA"/>
        </w:rPr>
        <w:t>阿坝县统计局存款账户；</w:t>
      </w:r>
      <w:r>
        <w:rPr>
          <w:rFonts w:hint="eastAsia" w:ascii="Times New Roman" w:hAnsi="Times New Roman" w:eastAsia="仿宋_GB2312" w:cs="Times New Roman"/>
          <w:color w:val="auto"/>
          <w:kern w:val="0"/>
          <w:sz w:val="32"/>
          <w:szCs w:val="32"/>
          <w:highlight w:val="none"/>
          <w:shd w:val="clear" w:color="auto" w:fill="FFFFFF"/>
          <w:lang w:val="en-US" w:eastAsia="zh-CN" w:bidi="ar-SA"/>
        </w:rPr>
        <w:t>其他资金专户收入，要及时缴入单位账户，</w:t>
      </w:r>
      <w:r>
        <w:rPr>
          <w:rFonts w:hint="eastAsia" w:eastAsia="仿宋_GB2312" w:cs="Times New Roman"/>
          <w:color w:val="auto"/>
          <w:kern w:val="0"/>
          <w:sz w:val="32"/>
          <w:szCs w:val="32"/>
          <w:highlight w:val="none"/>
          <w:shd w:val="clear" w:color="auto" w:fill="FFFFFF"/>
          <w:lang w:val="en-US" w:eastAsia="zh-CN" w:bidi="ar-SA"/>
        </w:rPr>
        <w:t>不得在账外</w:t>
      </w:r>
      <w:r>
        <w:rPr>
          <w:rFonts w:hint="eastAsia" w:ascii="Times New Roman" w:hAnsi="Times New Roman" w:eastAsia="仿宋_GB2312" w:cs="Times New Roman"/>
          <w:color w:val="auto"/>
          <w:kern w:val="0"/>
          <w:sz w:val="32"/>
          <w:szCs w:val="32"/>
          <w:highlight w:val="none"/>
          <w:shd w:val="clear" w:color="auto" w:fill="FFFFFF"/>
          <w:lang w:val="en-US" w:eastAsia="zh-CN" w:bidi="ar-SA"/>
        </w:rPr>
        <w:t>私存和私设小金库。规范管理。局所管理的各部门必须建立健全收支管理制度</w:t>
      </w:r>
      <w:r>
        <w:rPr>
          <w:rFonts w:hint="eastAsia" w:eastAsia="仿宋_GB2312" w:cs="Times New Roman"/>
          <w:color w:val="auto"/>
          <w:kern w:val="0"/>
          <w:sz w:val="32"/>
          <w:szCs w:val="32"/>
          <w:highlight w:val="none"/>
          <w:shd w:val="clear" w:color="auto" w:fill="FFFFFF"/>
          <w:lang w:val="en-US" w:eastAsia="zh-CN" w:bidi="ar-SA"/>
        </w:rPr>
        <w:t>；</w:t>
      </w:r>
      <w:r>
        <w:rPr>
          <w:rFonts w:hint="eastAsia" w:ascii="Times New Roman" w:hAnsi="Times New Roman" w:eastAsia="仿宋_GB2312" w:cs="Times New Roman"/>
          <w:color w:val="auto"/>
          <w:kern w:val="0"/>
          <w:sz w:val="32"/>
          <w:szCs w:val="32"/>
          <w:highlight w:val="none"/>
          <w:shd w:val="clear" w:color="auto" w:fill="FFFFFF"/>
          <w:lang w:val="en-US" w:eastAsia="zh-CN" w:bidi="ar-SA"/>
        </w:rPr>
        <w:t>严禁任何股所室外购票据。对当日的收入款项应当日入库，不得坐支。局基本经费支出主要由办公费、差旅费、招待费、交通费、会议费支出等组成。局财务室应根据县财政核定的年度经费预算编制局年度基本经费支出分月计划，并在保证局机关正常公务活动下严格按计划控制基本经费支出。其中招待费全年支出必须控制在单位纪检部门与财政部门下达的支出控制范围内。</w:t>
      </w:r>
    </w:p>
    <w:p>
      <w:pPr>
        <w:pStyle w:val="4"/>
        <w:pageBreakBefore w:val="0"/>
        <w:widowControl w:val="0"/>
        <w:kinsoku/>
        <w:wordWrap/>
        <w:overflowPunct/>
        <w:topLinePunct w:val="0"/>
        <w:autoSpaceDE/>
        <w:autoSpaceDN/>
        <w:bidi w:val="0"/>
        <w:adjustRightInd/>
        <w:snapToGrid/>
        <w:spacing w:line="600" w:lineRule="exact"/>
        <w:ind w:firstLine="640"/>
        <w:jc w:val="both"/>
        <w:textAlignment w:val="auto"/>
        <w:rPr>
          <w:rFonts w:hint="default" w:ascii="Times New Roman" w:hAnsi="Times New Roman" w:eastAsia="仿宋_GB2312" w:cs="Times New Roman"/>
          <w:highlight w:val="none"/>
        </w:rPr>
      </w:pPr>
      <w:bookmarkStart w:id="74" w:name="_Toc55586778"/>
      <w:bookmarkStart w:id="75" w:name="_Toc11615"/>
      <w:bookmarkStart w:id="76" w:name="_Toc1315"/>
      <w:bookmarkStart w:id="77" w:name="_Toc25795"/>
      <w:bookmarkStart w:id="78" w:name="_Toc30198"/>
      <w:bookmarkStart w:id="79" w:name="_Toc20840"/>
      <w:r>
        <w:rPr>
          <w:rFonts w:hint="default" w:ascii="Times New Roman" w:hAnsi="Times New Roman" w:eastAsia="仿宋_GB2312" w:cs="Times New Roman"/>
          <w:highlight w:val="none"/>
        </w:rPr>
        <w:t>3、资产管理</w:t>
      </w:r>
      <w:bookmarkEnd w:id="74"/>
      <w:bookmarkEnd w:id="75"/>
      <w:bookmarkEnd w:id="76"/>
      <w:bookmarkEnd w:id="77"/>
      <w:bookmarkEnd w:id="78"/>
      <w:bookmarkEnd w:id="79"/>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阿坝县统计局建立了《资产管理内部控制制度》，制度规定建立资产卡片和资产台账等，如实反映单位资产状况，便于及时调用、查询等。资产处置经过适当审批，资产处置方式合理，处置过程合法合规，处置价格经过恰当评估，防止国有资产流失。</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应当按照“先审核新增资产配置计划，再编制配置预算”的要求，加强新增资产配置。严格按照财政局审核后的新增资产配置计划，编制新增资产配置预算。未经审核或审核未通过，不得编制新增资产配置预算。</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 xml:space="preserve">购置纳入政府采购范围的资产，应当按照政府采购的规定执行。 </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购置有规定配备标准的资产，除国家另有规定外，应当按下列程序报批：由办公室审核资产存量，提出拟购置资产的品目、数量，测算经费额度，经办公室审核同意后报同级财政部门审批，并按照同级财政部门要求提交相关材料；经同级财政部门审批同意，</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可以将资产购置项目列入单位年度部门预算，并在编制年度部门预算时将批复文件和相关材料一并报同级财政部门，作为审批部门预算的依据。未经批准，不得列入部门预算，也不得列入单位经费支出。</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经批准召开重大会议、举办大型活动等需要购置资产的，由会议或者活动主办单位按照以上规定程序报批。</w:t>
      </w:r>
    </w:p>
    <w:p>
      <w:pPr>
        <w:pStyle w:val="66"/>
        <w:pageBreakBefore w:val="0"/>
        <w:widowControl w:val="0"/>
        <w:kinsoku/>
        <w:wordWrap/>
        <w:overflowPunct/>
        <w:topLinePunct w:val="0"/>
        <w:autoSpaceDE/>
        <w:autoSpaceDN/>
        <w:bidi w:val="0"/>
        <w:adjustRightInd/>
        <w:snapToGrid/>
        <w:spacing w:before="156" w:after="156" w:line="600" w:lineRule="exact"/>
        <w:ind w:firstLine="640"/>
        <w:jc w:val="both"/>
        <w:textAlignment w:val="auto"/>
        <w:rPr>
          <w:rFonts w:hint="default" w:ascii="Times New Roman" w:hAnsi="Times New Roman" w:eastAsia="楷体" w:cs="Times New Roman"/>
          <w:color w:val="auto"/>
          <w:sz w:val="32"/>
          <w:highlight w:val="none"/>
          <w:lang w:val="en-US" w:eastAsia="zh-CN"/>
        </w:rPr>
      </w:pPr>
      <w:bookmarkStart w:id="80" w:name="_Toc27064"/>
      <w:bookmarkStart w:id="81" w:name="_Toc31516"/>
      <w:bookmarkStart w:id="82" w:name="_Toc21098"/>
      <w:bookmarkStart w:id="83" w:name="_Toc29674"/>
      <w:r>
        <w:rPr>
          <w:rFonts w:hint="default" w:ascii="Times New Roman" w:hAnsi="Times New Roman" w:eastAsia="楷体_GB2312" w:cs="Times New Roman"/>
          <w:color w:val="auto"/>
          <w:sz w:val="32"/>
          <w:highlight w:val="none"/>
        </w:rPr>
        <w:t>（五）</w:t>
      </w:r>
      <w:r>
        <w:rPr>
          <w:rFonts w:hint="eastAsia" w:ascii="Times New Roman" w:hAnsi="Times New Roman" w:eastAsia="楷体_GB2312" w:cs="Times New Roman"/>
          <w:color w:val="auto"/>
          <w:sz w:val="32"/>
          <w:highlight w:val="none"/>
          <w:lang w:eastAsia="zh-CN"/>
        </w:rPr>
        <w:t>阿坝县统计局2022年</w:t>
      </w:r>
      <w:r>
        <w:rPr>
          <w:rFonts w:hint="default" w:ascii="Times New Roman" w:hAnsi="Times New Roman" w:eastAsia="楷体_GB2312" w:cs="Times New Roman"/>
          <w:color w:val="auto"/>
          <w:sz w:val="32"/>
          <w:highlight w:val="none"/>
        </w:rPr>
        <w:t>重点工作</w:t>
      </w:r>
      <w:bookmarkEnd w:id="80"/>
      <w:bookmarkEnd w:id="81"/>
      <w:bookmarkEnd w:id="82"/>
      <w:bookmarkEnd w:id="83"/>
    </w:p>
    <w:bookmarkEnd w:id="13"/>
    <w:bookmarkEnd w:id="14"/>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eastAsia" w:ascii="Times New Roman" w:hAnsi="Times New Roman" w:eastAsia="楷体_GB2312" w:cs="Times New Roman"/>
          <w:b/>
          <w:bCs/>
          <w:color w:val="auto"/>
          <w:kern w:val="2"/>
          <w:sz w:val="32"/>
          <w:szCs w:val="32"/>
          <w:highlight w:val="none"/>
          <w:lang w:val="en-US" w:eastAsia="zh-CN" w:bidi="ar-SA"/>
        </w:rPr>
      </w:pPr>
      <w:r>
        <w:rPr>
          <w:rFonts w:hint="eastAsia" w:eastAsia="楷体_GB2312" w:cs="Times New Roman"/>
          <w:b/>
          <w:bCs/>
          <w:color w:val="auto"/>
          <w:kern w:val="2"/>
          <w:sz w:val="32"/>
          <w:szCs w:val="32"/>
          <w:highlight w:val="none"/>
          <w:lang w:val="en-US" w:eastAsia="zh-CN" w:bidi="ar-SA"/>
        </w:rPr>
        <w:t>阿坝县统计局2022年</w:t>
      </w:r>
      <w:r>
        <w:rPr>
          <w:rFonts w:hint="eastAsia" w:ascii="Times New Roman" w:hAnsi="Times New Roman" w:eastAsia="楷体_GB2312" w:cs="Times New Roman"/>
          <w:b/>
          <w:bCs/>
          <w:color w:val="auto"/>
          <w:kern w:val="2"/>
          <w:sz w:val="32"/>
          <w:szCs w:val="32"/>
          <w:highlight w:val="none"/>
          <w:lang w:val="en-US" w:eastAsia="zh-CN" w:bidi="ar-SA"/>
        </w:rPr>
        <w:t>重点工作：</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一是制定局内各专业统计新的考核办法，把年度州局专业考核排名作为奖罚的重要依据，根据名次给予相应奖励和罚款，并与全年评先评优及年度绩效考核挂钩，调动专业工作人员积极性和主动性。并每季对各专业的各项工作进度及时进行通报。</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二是及时高效地完成工业、能源、服务业、贸易餐饮、固定资产投资、农业、城乡一体化住户调查等15项专业统计的各类报表任务，各项统计年定报数据按时上报、如期公布，客观真实地反映全县经济社会发展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三是严格把控部分主要统计指标数据质量。对GDP核算、固定资产投资和规上工业总产值等主要指标数据的匹配性，及时进行评估分析，发现问题及时查询修正，确保数据真实。</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四是规范</w:t>
      </w:r>
      <w:r>
        <w:rPr>
          <w:rFonts w:hint="eastAsia" w:eastAsia="仿宋_GB2312" w:cs="Times New Roman"/>
          <w:color w:val="auto"/>
          <w:kern w:val="0"/>
          <w:sz w:val="32"/>
          <w:szCs w:val="32"/>
          <w:highlight w:val="none"/>
          <w:shd w:val="clear" w:color="auto" w:fill="FFFFFF"/>
          <w:lang w:val="en-US" w:eastAsia="zh-CN" w:bidi="ar-SA"/>
        </w:rPr>
        <w:t>统计台账</w:t>
      </w:r>
      <w:r>
        <w:rPr>
          <w:rFonts w:hint="eastAsia" w:ascii="Times New Roman" w:hAnsi="Times New Roman" w:eastAsia="仿宋_GB2312" w:cs="Times New Roman"/>
          <w:color w:val="auto"/>
          <w:kern w:val="0"/>
          <w:sz w:val="32"/>
          <w:szCs w:val="32"/>
          <w:highlight w:val="none"/>
          <w:shd w:val="clear" w:color="auto" w:fill="FFFFFF"/>
          <w:lang w:val="en-US" w:eastAsia="zh-CN" w:bidi="ar-SA"/>
        </w:rPr>
        <w:t>。及时深入企业（单位）指导、协助建立健全统计台账，要求企业（单位）统计人员熟练掌握台账的填写方法、准确掌握填报指标内容，做到统计台账与单位财务记录、生产和销售记录等原始记录相衔接，确保源头数据质量。</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五是强化业务培训，要求各科室采取会议培训和重点单位“一对一”上门培训等形式，对入统企业（项目单位）统计人员和记账户，重点针对工业、贸易服务业、投资领域的新入统和样本企业进行高频次、高密度、高质量的业务培训。同时，统筹做到“培训+指导+核实”，深入了解生产经营状况，主动提供统计服务。</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六是加大宣传力度。通过给全县范围内的企业（单位）负责人寄送《一封信》的方式，告知企业坚决抵制数据违法行为，维护自己法定权利和义务等法律法规，特别是真实准确、完整及时地提供政府统计调查所需的数据，在全社会营造依法诚信统计的良好氛围。</w:t>
      </w:r>
    </w:p>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rPr>
      </w:pPr>
      <w:bookmarkStart w:id="84" w:name="_Toc28021"/>
      <w:bookmarkStart w:id="85" w:name="_Toc18219"/>
      <w:bookmarkStart w:id="86" w:name="_Toc14766"/>
      <w:bookmarkStart w:id="87" w:name="_Toc7634"/>
      <w:r>
        <w:rPr>
          <w:rFonts w:hint="default" w:ascii="Times New Roman" w:hAnsi="Times New Roman" w:cs="Times New Roman"/>
          <w:sz w:val="30"/>
          <w:szCs w:val="30"/>
        </w:rPr>
        <w:t>二、评价思路和实施过程</w:t>
      </w:r>
      <w:bookmarkEnd w:id="84"/>
      <w:bookmarkEnd w:id="85"/>
      <w:bookmarkEnd w:id="86"/>
      <w:bookmarkEnd w:id="8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本次评价对象是</w:t>
      </w:r>
      <w:r>
        <w:rPr>
          <w:rFonts w:hint="eastAsia"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。在获取</w:t>
      </w:r>
      <w:r>
        <w:rPr>
          <w:rFonts w:hint="eastAsia"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三定方案、职责、工作计划、财务基础数据等基础资料的基础上，形成以指标体系、社会调研为核心的工作方案。收集全部所需资料，通过对相关资料的分析，利用指标体系对</w:t>
      </w:r>
      <w:r>
        <w:rPr>
          <w:rFonts w:hint="eastAsia" w:eastAsia="仿宋_GB2312" w:cs="Times New Roman"/>
          <w:color w:val="000000"/>
          <w:kern w:val="0"/>
          <w:sz w:val="32"/>
          <w:szCs w:val="32"/>
          <w:highlight w:val="none"/>
          <w:lang w:val="en-US" w:eastAsia="zh-CN" w:bidi="ar"/>
        </w:rPr>
        <w:t>2022年阿坝县统计局</w:t>
      </w:r>
      <w:r>
        <w:rPr>
          <w:rFonts w:hint="default" w:ascii="Times New Roman" w:hAnsi="Times New Roman" w:eastAsia="仿宋_GB2312" w:cs="Times New Roman"/>
          <w:color w:val="000000"/>
          <w:kern w:val="0"/>
          <w:sz w:val="32"/>
          <w:szCs w:val="32"/>
          <w:highlight w:val="none"/>
          <w:lang w:val="en-US" w:eastAsia="zh-CN" w:bidi="ar"/>
        </w:rPr>
        <w:t>整体支出情况进行绩效评价。</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88" w:name="_Toc30652"/>
      <w:bookmarkStart w:id="89" w:name="_Toc7980"/>
      <w:bookmarkStart w:id="90" w:name="_Toc32353"/>
      <w:bookmarkStart w:id="91" w:name="_Toc27989"/>
      <w:bookmarkStart w:id="92" w:name="_Toc3422"/>
      <w:bookmarkStart w:id="93" w:name="_Toc29867"/>
      <w:bookmarkStart w:id="94" w:name="_Toc13058"/>
      <w:r>
        <w:rPr>
          <w:rFonts w:hint="default" w:ascii="Times New Roman" w:hAnsi="Times New Roman" w:eastAsia="楷体_GB2312" w:cs="Times New Roman"/>
          <w:color w:val="auto"/>
          <w:sz w:val="32"/>
        </w:rPr>
        <w:t>（一）评价目的</w:t>
      </w:r>
      <w:bookmarkEnd w:id="88"/>
      <w:bookmarkEnd w:id="89"/>
      <w:bookmarkEnd w:id="90"/>
      <w:bookmarkEnd w:id="91"/>
      <w:bookmarkEnd w:id="92"/>
      <w:bookmarkEnd w:id="93"/>
      <w:bookmarkEnd w:id="9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shd w:val="clear" w:color="auto" w:fill="FFFFFF"/>
        </w:rPr>
        <w:t>分析部门</w:t>
      </w:r>
      <w:r>
        <w:rPr>
          <w:rFonts w:hint="default" w:ascii="Times New Roman" w:hAnsi="Times New Roman" w:eastAsia="仿宋_GB2312" w:cs="Times New Roman"/>
          <w:color w:val="000000"/>
          <w:kern w:val="0"/>
          <w:sz w:val="32"/>
          <w:szCs w:val="32"/>
          <w:highlight w:val="none"/>
          <w:lang w:val="en-US" w:eastAsia="zh-CN" w:bidi="ar"/>
        </w:rPr>
        <w:t>资源</w:t>
      </w:r>
      <w:r>
        <w:rPr>
          <w:rFonts w:hint="default" w:ascii="Times New Roman" w:hAnsi="Times New Roman" w:eastAsia="仿宋_GB2312" w:cs="Times New Roman"/>
          <w:color w:val="auto"/>
          <w:kern w:val="0"/>
          <w:sz w:val="32"/>
          <w:szCs w:val="32"/>
          <w:highlight w:val="none"/>
          <w:shd w:val="clear" w:color="auto" w:fill="FFFFFF"/>
          <w:lang w:val="en-US" w:eastAsia="zh-CN" w:bidi="ar-SA"/>
        </w:rPr>
        <w:t>配置</w:t>
      </w:r>
      <w:r>
        <w:rPr>
          <w:rFonts w:hint="default" w:ascii="Times New Roman" w:hAnsi="Times New Roman" w:eastAsia="仿宋_GB2312" w:cs="Times New Roman"/>
          <w:color w:val="000000"/>
          <w:kern w:val="0"/>
          <w:sz w:val="32"/>
          <w:szCs w:val="32"/>
          <w:highlight w:val="none"/>
          <w:lang w:val="en-US" w:eastAsia="zh-CN" w:bidi="ar"/>
        </w:rPr>
        <w:t>的合理性、目标计划完成与履职情况，总结经验做法，找出资金使用和管理中的薄弱环节，提出改进建议，提高财政资金的使用效率。</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95" w:name="_Toc22691"/>
      <w:bookmarkStart w:id="96" w:name="_Toc10108"/>
      <w:bookmarkStart w:id="97" w:name="_Toc25711"/>
      <w:bookmarkStart w:id="98" w:name="_Toc5692"/>
      <w:bookmarkStart w:id="99" w:name="_Toc23753"/>
      <w:bookmarkStart w:id="100" w:name="_Toc23114"/>
      <w:bookmarkStart w:id="101" w:name="_Toc6928"/>
      <w:bookmarkStart w:id="102" w:name="_Toc9303"/>
      <w:r>
        <w:rPr>
          <w:rFonts w:hint="default" w:ascii="Times New Roman" w:hAnsi="Times New Roman" w:eastAsia="楷体_GB2312" w:cs="Times New Roman"/>
          <w:color w:val="auto"/>
          <w:sz w:val="32"/>
        </w:rPr>
        <w:t>（二）</w:t>
      </w:r>
      <w:bookmarkEnd w:id="95"/>
      <w:bookmarkEnd w:id="96"/>
      <w:bookmarkEnd w:id="97"/>
      <w:r>
        <w:rPr>
          <w:rFonts w:hint="default" w:ascii="Times New Roman" w:hAnsi="Times New Roman" w:eastAsia="楷体_GB2312" w:cs="Times New Roman"/>
          <w:color w:val="auto"/>
          <w:sz w:val="32"/>
        </w:rPr>
        <w:t>评价方法</w:t>
      </w:r>
      <w:bookmarkEnd w:id="98"/>
      <w:bookmarkEnd w:id="99"/>
      <w:bookmarkEnd w:id="100"/>
      <w:bookmarkEnd w:id="101"/>
      <w:bookmarkEnd w:id="102"/>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highlight w:val="none"/>
          <w:shd w:val="clear" w:color="auto" w:fill="FFFFFF"/>
        </w:rPr>
        <w:t>（1）对比法</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是指通过对绩效目标与实际</w:t>
      </w:r>
      <w:r>
        <w:rPr>
          <w:rFonts w:hint="eastAsia" w:eastAsia="仿宋_GB2312" w:cs="Times New Roman"/>
          <w:color w:val="000000"/>
          <w:kern w:val="0"/>
          <w:sz w:val="32"/>
          <w:szCs w:val="32"/>
          <w:highlight w:val="none"/>
          <w:lang w:val="en-US" w:eastAsia="zh-CN" w:bidi="ar"/>
        </w:rPr>
        <w:t>完成结果</w:t>
      </w:r>
      <w:r>
        <w:rPr>
          <w:rFonts w:hint="default" w:ascii="Times New Roman" w:hAnsi="Times New Roman" w:eastAsia="仿宋_GB2312" w:cs="Times New Roman"/>
          <w:color w:val="000000"/>
          <w:kern w:val="0"/>
          <w:sz w:val="32"/>
          <w:szCs w:val="32"/>
          <w:highlight w:val="none"/>
          <w:lang w:val="en-US" w:eastAsia="zh-CN" w:bidi="ar"/>
        </w:rPr>
        <w:t>的对比，对绩效指标完成情况进行比较，综合分析绩效目标实现程度。项目小组根据收集的</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相关资料，结合</w:t>
      </w:r>
      <w:r>
        <w:rPr>
          <w:rFonts w:hint="eastAsia" w:eastAsia="仿宋_GB2312" w:cs="Times New Roman"/>
          <w:color w:val="000000"/>
          <w:kern w:val="0"/>
          <w:sz w:val="32"/>
          <w:szCs w:val="32"/>
          <w:highlight w:val="none"/>
          <w:lang w:val="en-US" w:eastAsia="zh-CN" w:bidi="ar"/>
        </w:rPr>
        <w:t>现场查看</w:t>
      </w:r>
      <w:r>
        <w:rPr>
          <w:rFonts w:hint="default" w:ascii="Times New Roman" w:hAnsi="Times New Roman" w:eastAsia="仿宋_GB2312" w:cs="Times New Roman"/>
          <w:color w:val="000000"/>
          <w:kern w:val="0"/>
          <w:sz w:val="32"/>
          <w:szCs w:val="32"/>
          <w:highlight w:val="none"/>
          <w:lang w:val="en-US" w:eastAsia="zh-CN" w:bidi="ar"/>
        </w:rPr>
        <w:t>，了解</w:t>
      </w:r>
      <w:r>
        <w:rPr>
          <w:rFonts w:hint="eastAsia" w:eastAsia="仿宋_GB2312" w:cs="Times New Roman"/>
          <w:color w:val="000000"/>
          <w:kern w:val="0"/>
          <w:sz w:val="32"/>
          <w:szCs w:val="32"/>
          <w:highlight w:val="none"/>
          <w:lang w:val="en-US" w:eastAsia="zh-CN" w:bidi="ar"/>
        </w:rPr>
        <w:t>部门预算执行</w:t>
      </w:r>
      <w:r>
        <w:rPr>
          <w:rFonts w:hint="default" w:ascii="Times New Roman" w:hAnsi="Times New Roman" w:eastAsia="仿宋_GB2312" w:cs="Times New Roman"/>
          <w:color w:val="000000"/>
          <w:kern w:val="0"/>
          <w:sz w:val="32"/>
          <w:szCs w:val="32"/>
          <w:highlight w:val="none"/>
          <w:lang w:val="en-US" w:eastAsia="zh-CN" w:bidi="ar"/>
        </w:rPr>
        <w:t>实际情况，与绩效目标进行对比，评价绩效目标的实现程度；同时项目小组将收集</w:t>
      </w:r>
      <w:r>
        <w:rPr>
          <w:rFonts w:hint="eastAsia" w:eastAsia="仿宋_GB2312" w:cs="Times New Roman"/>
          <w:color w:val="000000"/>
          <w:kern w:val="0"/>
          <w:sz w:val="32"/>
          <w:szCs w:val="32"/>
          <w:highlight w:val="none"/>
          <w:lang w:val="en-US" w:eastAsia="zh-CN" w:bidi="ar"/>
        </w:rPr>
        <w:t>部门预算</w:t>
      </w:r>
      <w:r>
        <w:rPr>
          <w:rFonts w:hint="default" w:ascii="Times New Roman" w:hAnsi="Times New Roman" w:eastAsia="仿宋_GB2312" w:cs="Times New Roman"/>
          <w:color w:val="000000"/>
          <w:kern w:val="0"/>
          <w:sz w:val="32"/>
          <w:szCs w:val="32"/>
          <w:highlight w:val="none"/>
          <w:lang w:val="en-US" w:eastAsia="zh-CN" w:bidi="ar"/>
        </w:rPr>
        <w:t>三年的</w:t>
      </w:r>
      <w:r>
        <w:rPr>
          <w:rFonts w:hint="eastAsia" w:eastAsia="仿宋_GB2312" w:cs="Times New Roman"/>
          <w:color w:val="000000"/>
          <w:kern w:val="0"/>
          <w:sz w:val="32"/>
          <w:szCs w:val="32"/>
          <w:highlight w:val="none"/>
          <w:lang w:val="en-US" w:eastAsia="zh-CN" w:bidi="ar"/>
        </w:rPr>
        <w:t>执行</w:t>
      </w:r>
      <w:r>
        <w:rPr>
          <w:rFonts w:hint="default" w:ascii="Times New Roman" w:hAnsi="Times New Roman" w:eastAsia="仿宋_GB2312" w:cs="Times New Roman"/>
          <w:color w:val="000000"/>
          <w:kern w:val="0"/>
          <w:sz w:val="32"/>
          <w:szCs w:val="32"/>
          <w:highlight w:val="none"/>
          <w:lang w:val="en-US" w:eastAsia="zh-CN" w:bidi="ar"/>
        </w:rPr>
        <w:t>数据，分析其完成情况并进行比较，评价其目标实现程度。</w:t>
      </w:r>
    </w:p>
    <w:p>
      <w:pPr>
        <w:pStyle w:val="13"/>
        <w:keepNext w:val="0"/>
        <w:keepLines w:val="0"/>
        <w:pageBreakBefore w:val="0"/>
        <w:widowControl w:val="0"/>
        <w:kinsoku/>
        <w:wordWrap/>
        <w:overflowPunct/>
        <w:topLinePunct w:val="0"/>
        <w:autoSpaceDE/>
        <w:autoSpaceDN/>
        <w:bidi w:val="0"/>
        <w:adjustRightInd/>
        <w:snapToGrid/>
        <w:spacing w:line="600" w:lineRule="exact"/>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（2）数据采集法</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default" w:ascii="Times New Roman" w:hAnsi="Times New Roman" w:eastAsia="仿宋_GB2312" w:cs="Times New Roman"/>
          <w:color w:val="000000"/>
          <w:kern w:val="0"/>
          <w:sz w:val="32"/>
          <w:szCs w:val="32"/>
          <w:highlight w:val="none"/>
          <w:lang w:val="en-US" w:eastAsia="zh-CN" w:bidi="ar"/>
        </w:rPr>
        <w:t>是指采用各种专业（或专门）指标的计算方法，通过</w:t>
      </w:r>
      <w:r>
        <w:rPr>
          <w:rFonts w:hint="eastAsia" w:eastAsia="仿宋_GB2312" w:cs="Times New Roman"/>
          <w:color w:val="000000"/>
          <w:kern w:val="0"/>
          <w:sz w:val="32"/>
          <w:szCs w:val="32"/>
          <w:highlight w:val="none"/>
          <w:lang w:val="en-US" w:eastAsia="zh-CN" w:bidi="ar"/>
        </w:rPr>
        <w:t>部门预算资金</w:t>
      </w:r>
      <w:r>
        <w:rPr>
          <w:rFonts w:hint="default" w:ascii="Times New Roman" w:hAnsi="Times New Roman" w:eastAsia="仿宋_GB2312" w:cs="Times New Roman"/>
          <w:color w:val="000000"/>
          <w:kern w:val="0"/>
          <w:sz w:val="32"/>
          <w:szCs w:val="32"/>
          <w:highlight w:val="none"/>
          <w:lang w:val="en-US" w:eastAsia="zh-CN" w:bidi="ar"/>
        </w:rPr>
        <w:t>支出的相关数据，采用统计或核算等方式计算实际完成或达到的结果，评价绩效目标实现程度。项目小组根据相关文件依据，设计符合项目特点的评价指标体系，然后采集数据按照计算公式进行计算分析，并根据计算结果分析</w:t>
      </w:r>
      <w:r>
        <w:rPr>
          <w:rFonts w:hint="eastAsia" w:eastAsia="仿宋_GB2312" w:cs="Times New Roman"/>
          <w:color w:val="000000"/>
          <w:kern w:val="0"/>
          <w:sz w:val="32"/>
          <w:szCs w:val="32"/>
          <w:highlight w:val="none"/>
          <w:lang w:val="en-US" w:eastAsia="zh-CN" w:bidi="ar"/>
        </w:rPr>
        <w:t>部门整体</w:t>
      </w:r>
      <w:r>
        <w:rPr>
          <w:rFonts w:hint="default" w:ascii="Times New Roman" w:hAnsi="Times New Roman" w:eastAsia="仿宋_GB2312" w:cs="Times New Roman"/>
          <w:color w:val="000000"/>
          <w:kern w:val="0"/>
          <w:sz w:val="32"/>
          <w:szCs w:val="32"/>
          <w:highlight w:val="none"/>
          <w:lang w:val="en-US" w:eastAsia="zh-CN" w:bidi="ar"/>
        </w:rPr>
        <w:t>绩效目标实现程度</w:t>
      </w:r>
      <w:r>
        <w:rPr>
          <w:rFonts w:hint="default" w:ascii="Times New Roman" w:hAnsi="Times New Roman" w:eastAsia="仿宋_GB2312" w:cs="Times New Roman"/>
          <w:kern w:val="0"/>
          <w:sz w:val="32"/>
          <w:szCs w:val="32"/>
          <w:highlight w:val="none"/>
          <w:shd w:val="clear" w:color="auto" w:fill="FFFFFF"/>
        </w:rPr>
        <w:t>。</w:t>
      </w:r>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103" w:name="_Toc12701"/>
      <w:bookmarkStart w:id="104" w:name="_Toc4029"/>
      <w:bookmarkStart w:id="105" w:name="_Toc29947"/>
      <w:bookmarkStart w:id="106" w:name="_Toc25858"/>
      <w:bookmarkStart w:id="107" w:name="_Toc13228"/>
      <w:r>
        <w:rPr>
          <w:rFonts w:hint="default" w:ascii="Times New Roman" w:hAnsi="Times New Roman" w:eastAsia="楷体_GB2312" w:cs="Times New Roman"/>
          <w:color w:val="auto"/>
          <w:sz w:val="32"/>
        </w:rPr>
        <w:t>（三）数据采集方法及过程</w:t>
      </w:r>
      <w:bookmarkEnd w:id="103"/>
      <w:bookmarkEnd w:id="104"/>
      <w:bookmarkEnd w:id="105"/>
      <w:bookmarkEnd w:id="106"/>
      <w:bookmarkEnd w:id="10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default" w:ascii="Times New Roman" w:hAnsi="Times New Roman" w:eastAsia="仿宋_GB2312" w:cs="Times New Roman"/>
          <w:color w:val="auto"/>
          <w:kern w:val="0"/>
          <w:sz w:val="32"/>
          <w:szCs w:val="32"/>
          <w:highlight w:val="none"/>
          <w:shd w:val="clear" w:color="auto" w:fill="FFFFFF"/>
          <w:lang w:val="en-US" w:eastAsia="zh-CN" w:bidi="ar-SA"/>
        </w:rPr>
        <w:t>本次绩效评价数据包括定性和定量两种数据，定性数据主要通过实地考察方式来采集，定量数据的采集主要通过实地采集数据。</w:t>
      </w:r>
    </w:p>
    <w:p>
      <w:pPr>
        <w:pStyle w:val="2"/>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rPr>
      </w:pPr>
      <w:bookmarkStart w:id="108" w:name="_Toc13687"/>
      <w:bookmarkStart w:id="109" w:name="_Toc11839"/>
      <w:bookmarkStart w:id="110" w:name="_Toc28305"/>
      <w:bookmarkStart w:id="111" w:name="_Toc6126"/>
      <w:bookmarkStart w:id="112" w:name="_Toc10009"/>
      <w:r>
        <w:rPr>
          <w:rFonts w:hint="default" w:ascii="Times New Roman" w:hAnsi="Times New Roman" w:cs="Times New Roman"/>
          <w:sz w:val="30"/>
          <w:szCs w:val="30"/>
        </w:rPr>
        <w:t>三、评价结论及绩效分析</w:t>
      </w:r>
      <w:bookmarkEnd w:id="108"/>
      <w:bookmarkEnd w:id="109"/>
      <w:bookmarkEnd w:id="110"/>
      <w:bookmarkEnd w:id="111"/>
      <w:bookmarkEnd w:id="112"/>
    </w:p>
    <w:p>
      <w:pPr>
        <w:pStyle w:val="66"/>
        <w:pageBreakBefore w:val="0"/>
        <w:widowControl w:val="0"/>
        <w:kinsoku/>
        <w:wordWrap/>
        <w:overflowPunct/>
        <w:topLinePunct w:val="0"/>
        <w:autoSpaceDE/>
        <w:autoSpaceDN/>
        <w:bidi w:val="0"/>
        <w:adjustRightInd/>
        <w:spacing w:before="156" w:after="156" w:line="600" w:lineRule="exact"/>
        <w:ind w:firstLine="640"/>
        <w:textAlignment w:val="auto"/>
        <w:rPr>
          <w:rFonts w:hint="default" w:ascii="Times New Roman" w:hAnsi="Times New Roman" w:eastAsia="楷体_GB2312" w:cs="Times New Roman"/>
          <w:color w:val="auto"/>
          <w:sz w:val="32"/>
        </w:rPr>
      </w:pPr>
      <w:bookmarkStart w:id="113" w:name="_Toc12860"/>
      <w:bookmarkStart w:id="114" w:name="_Toc18166"/>
      <w:bookmarkStart w:id="115" w:name="_Toc18998"/>
      <w:bookmarkStart w:id="116" w:name="_Toc22012"/>
      <w:r>
        <w:rPr>
          <w:rFonts w:hint="default" w:ascii="Times New Roman" w:hAnsi="Times New Roman" w:eastAsia="楷体_GB2312" w:cs="Times New Roman"/>
          <w:color w:val="auto"/>
          <w:sz w:val="32"/>
        </w:rPr>
        <w:t>（一）评价结论</w:t>
      </w:r>
      <w:bookmarkEnd w:id="113"/>
      <w:bookmarkEnd w:id="114"/>
      <w:bookmarkEnd w:id="115"/>
      <w:bookmarkEnd w:id="116"/>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bookmarkStart w:id="117" w:name="_Toc22480"/>
      <w:r>
        <w:rPr>
          <w:rFonts w:hint="default" w:ascii="Times New Roman" w:hAnsi="Times New Roman" w:eastAsia="仿宋_GB2312" w:cs="Times New Roman"/>
          <w:color w:val="auto"/>
          <w:kern w:val="0"/>
          <w:sz w:val="32"/>
          <w:szCs w:val="32"/>
          <w:highlight w:val="none"/>
          <w:lang w:val="en-US" w:eastAsia="zh-CN" w:bidi="ar"/>
        </w:rPr>
        <w:t>通过数据采集，对</w:t>
      </w:r>
      <w:r>
        <w:rPr>
          <w:rFonts w:hint="eastAsia" w:eastAsia="仿宋_GB2312" w:cs="Times New Roman"/>
          <w:color w:val="auto"/>
          <w:kern w:val="0"/>
          <w:sz w:val="32"/>
          <w:szCs w:val="32"/>
          <w:highlight w:val="none"/>
          <w:lang w:val="en-US" w:eastAsia="zh-CN" w:bidi="ar"/>
        </w:rPr>
        <w:t>2022年1月-2022年12月</w:t>
      </w:r>
      <w:r>
        <w:rPr>
          <w:rFonts w:hint="eastAsia" w:eastAsia="仿宋_GB2312" w:cs="Times New Roman"/>
          <w:color w:val="000000"/>
          <w:kern w:val="0"/>
          <w:sz w:val="32"/>
          <w:szCs w:val="32"/>
          <w:highlight w:val="none"/>
          <w:lang w:val="en-US" w:eastAsia="zh-CN" w:bidi="ar"/>
        </w:rPr>
        <w:t>阿坝县统计局</w:t>
      </w:r>
      <w:r>
        <w:rPr>
          <w:rFonts w:hint="default" w:ascii="Times New Roman" w:hAnsi="Times New Roman" w:eastAsia="仿宋_GB2312" w:cs="Times New Roman"/>
          <w:color w:val="000000"/>
          <w:kern w:val="0"/>
          <w:sz w:val="32"/>
          <w:szCs w:val="32"/>
          <w:highlight w:val="none"/>
          <w:lang w:val="en-US" w:eastAsia="zh-CN" w:bidi="ar"/>
        </w:rPr>
        <w:t>部门整体支出绩效进行客观评价，得分</w:t>
      </w:r>
      <w:r>
        <w:rPr>
          <w:rFonts w:hint="eastAsia" w:eastAsia="仿宋_GB2312" w:cs="Times New Roman"/>
          <w:color w:val="000000"/>
          <w:kern w:val="0"/>
          <w:sz w:val="32"/>
          <w:szCs w:val="32"/>
          <w:highlight w:val="none"/>
          <w:lang w:val="en-US" w:eastAsia="zh-CN" w:bidi="ar"/>
        </w:rPr>
        <w:t>49.94</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，百分制换算</w:t>
      </w:r>
      <w:r>
        <w:rPr>
          <w:rFonts w:hint="default" w:ascii="Times New Roman" w:hAnsi="Times New Roman" w:eastAsia="仿宋_GB2312" w:cs="Times New Roman"/>
          <w:color w:val="auto"/>
          <w:kern w:val="0"/>
          <w:sz w:val="32"/>
          <w:szCs w:val="32"/>
          <w:highlight w:val="none"/>
          <w:shd w:val="clear" w:color="auto" w:fill="FFFFFF"/>
          <w:lang w:val="en-US" w:eastAsia="zh-CN" w:bidi="ar-SA"/>
        </w:rPr>
        <w:t>得分69.36分。</w:t>
      </w:r>
    </w:p>
    <w:p>
      <w:pPr>
        <w:widowControl/>
        <w:spacing w:line="600" w:lineRule="exact"/>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6</w:t>
      </w:r>
      <w:r>
        <w:rPr>
          <w:rFonts w:hint="default" w:ascii="Times New Roman" w:hAnsi="Times New Roman" w:eastAsia="仿宋_GB2312" w:cs="Times New Roman"/>
          <w:b/>
          <w:bCs/>
          <w:color w:val="000000"/>
          <w:kern w:val="0"/>
          <w:highlight w:val="none"/>
          <w:lang w:bidi="ar"/>
        </w:rPr>
        <w:t xml:space="preserve"> 部门整体支出汇总得分表</w:t>
      </w:r>
    </w:p>
    <w:tbl>
      <w:tblPr>
        <w:tblStyle w:val="40"/>
        <w:tblW w:w="8334" w:type="dxa"/>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2668"/>
        <w:gridCol w:w="1206"/>
        <w:gridCol w:w="1386"/>
        <w:gridCol w:w="1788"/>
        <w:gridCol w:w="1286"/>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85" w:hRule="atLeast"/>
          <w:jc w:val="center"/>
        </w:trPr>
        <w:tc>
          <w:tcPr>
            <w:tcW w:w="2668"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指标</w:t>
            </w:r>
          </w:p>
        </w:tc>
        <w:tc>
          <w:tcPr>
            <w:tcW w:w="1206"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权重</w:t>
            </w:r>
          </w:p>
        </w:tc>
        <w:tc>
          <w:tcPr>
            <w:tcW w:w="1386"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评价权重</w:t>
            </w:r>
          </w:p>
        </w:tc>
        <w:tc>
          <w:tcPr>
            <w:tcW w:w="1788"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评价权重得分</w:t>
            </w:r>
          </w:p>
        </w:tc>
        <w:tc>
          <w:tcPr>
            <w:tcW w:w="1286" w:type="dxa"/>
            <w:tcBorders>
              <w:top w:val="single" w:color="000000" w:sz="8" w:space="0"/>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得分率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72" w:hRule="atLeast"/>
          <w:jc w:val="center"/>
        </w:trPr>
        <w:tc>
          <w:tcPr>
            <w:tcW w:w="266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部门预算项目绩效管理</w:t>
            </w:r>
          </w:p>
        </w:tc>
        <w:tc>
          <w:tcPr>
            <w:tcW w:w="120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80</w:t>
            </w:r>
          </w:p>
        </w:tc>
        <w:tc>
          <w:tcPr>
            <w:tcW w:w="13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60</w:t>
            </w:r>
          </w:p>
        </w:tc>
        <w:tc>
          <w:tcPr>
            <w:tcW w:w="178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47.94</w:t>
            </w:r>
          </w:p>
        </w:tc>
        <w:tc>
          <w:tcPr>
            <w:tcW w:w="12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79.90%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5" w:hRule="atLeast"/>
          <w:jc w:val="center"/>
        </w:trPr>
        <w:tc>
          <w:tcPr>
            <w:tcW w:w="266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绩效结果应用</w:t>
            </w:r>
          </w:p>
        </w:tc>
        <w:tc>
          <w:tcPr>
            <w:tcW w:w="120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w:t>
            </w:r>
          </w:p>
        </w:tc>
        <w:tc>
          <w:tcPr>
            <w:tcW w:w="13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2</w:t>
            </w:r>
          </w:p>
        </w:tc>
        <w:tc>
          <w:tcPr>
            <w:tcW w:w="178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2</w:t>
            </w:r>
          </w:p>
        </w:tc>
        <w:tc>
          <w:tcPr>
            <w:tcW w:w="12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266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自评质量</w:t>
            </w:r>
          </w:p>
        </w:tc>
        <w:tc>
          <w:tcPr>
            <w:tcW w:w="120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w:t>
            </w:r>
          </w:p>
        </w:tc>
        <w:tc>
          <w:tcPr>
            <w:tcW w:w="13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10</w:t>
            </w:r>
          </w:p>
        </w:tc>
        <w:tc>
          <w:tcPr>
            <w:tcW w:w="1788"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0</w:t>
            </w:r>
          </w:p>
        </w:tc>
        <w:tc>
          <w:tcPr>
            <w:tcW w:w="1286" w:type="dxa"/>
            <w:tcBorders>
              <w:top w:val="nil"/>
              <w:left w:val="single" w:color="000000" w:sz="8" w:space="0"/>
              <w:bottom w:val="single" w:color="000000" w:sz="8" w:space="0"/>
              <w:right w:val="single" w:color="000000" w:sz="8" w:space="0"/>
            </w:tcBorders>
            <w:shd w:val="clear" w:color="auto" w:fill="auto"/>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val="0"/>
                <w:bCs w:val="0"/>
                <w:i w:val="0"/>
                <w:iCs w:val="0"/>
                <w:color w:val="000000"/>
                <w:kern w:val="0"/>
                <w:sz w:val="24"/>
                <w:szCs w:val="24"/>
                <w:highlight w:val="none"/>
                <w:u w:val="none"/>
                <w:lang w:bidi="ar"/>
              </w:rPr>
            </w:pPr>
            <w:r>
              <w:rPr>
                <w:rFonts w:hint="default" w:ascii="Times New Roman" w:hAnsi="Times New Roman" w:eastAsia="仿宋_GB2312" w:cs="Times New Roman"/>
                <w:b w:val="0"/>
                <w:bCs w:val="0"/>
                <w:i w:val="0"/>
                <w:iCs w:val="0"/>
                <w:color w:val="000000"/>
                <w:kern w:val="0"/>
                <w:sz w:val="24"/>
                <w:szCs w:val="24"/>
                <w:highlight w:val="none"/>
                <w:u w:val="none"/>
                <w:lang w:val="en-US" w:eastAsia="zh-CN" w:bidi="ar"/>
              </w:rPr>
              <w:t>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27" w:hRule="atLeast"/>
          <w:jc w:val="center"/>
        </w:trPr>
        <w:tc>
          <w:tcPr>
            <w:tcW w:w="2668"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得分合计</w:t>
            </w:r>
          </w:p>
        </w:tc>
        <w:tc>
          <w:tcPr>
            <w:tcW w:w="1206"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100</w:t>
            </w:r>
          </w:p>
        </w:tc>
        <w:tc>
          <w:tcPr>
            <w:tcW w:w="1386"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72</w:t>
            </w:r>
          </w:p>
        </w:tc>
        <w:tc>
          <w:tcPr>
            <w:tcW w:w="1788"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49.94</w:t>
            </w:r>
          </w:p>
        </w:tc>
        <w:tc>
          <w:tcPr>
            <w:tcW w:w="1286" w:type="dxa"/>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69.36%</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27" w:hRule="atLeast"/>
          <w:jc w:val="center"/>
        </w:trPr>
        <w:tc>
          <w:tcPr>
            <w:tcW w:w="5260" w:type="dxa"/>
            <w:gridSpan w:val="3"/>
            <w:tcBorders>
              <w:top w:val="nil"/>
              <w:left w:val="single" w:color="000000" w:sz="8" w:space="0"/>
              <w:bottom w:val="single" w:color="000000" w:sz="8" w:space="0"/>
              <w:right w:val="single" w:color="000000" w:sz="8"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百分制换算得分合计</w:t>
            </w:r>
          </w:p>
        </w:tc>
        <w:tc>
          <w:tcPr>
            <w:tcW w:w="1788" w:type="dxa"/>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69.36</w:t>
            </w:r>
          </w:p>
        </w:tc>
        <w:tc>
          <w:tcPr>
            <w:tcW w:w="1286" w:type="dxa"/>
            <w:tcBorders>
              <w:top w:val="single" w:color="000000" w:sz="4" w:space="0"/>
              <w:left w:val="single" w:color="000000" w:sz="4" w:space="0"/>
              <w:bottom w:val="single" w:color="000000" w:sz="4" w:space="0"/>
              <w:right w:val="single" w:color="000000" w:sz="4" w:space="0"/>
            </w:tcBorders>
            <w:shd w:val="clear" w:color="auto" w:fill="BEBEBE"/>
            <w:vAlign w:val="center"/>
          </w:tcPr>
          <w:p>
            <w:pPr>
              <w:keepNext w:val="0"/>
              <w:keepLines w:val="0"/>
              <w:widowControl/>
              <w:suppressLineNumbers w:val="0"/>
              <w:spacing w:line="240" w:lineRule="auto"/>
              <w:ind w:firstLine="0" w:firstLineChars="0"/>
              <w:jc w:val="center"/>
              <w:textAlignment w:val="auto"/>
              <w:rPr>
                <w:rFonts w:hint="default" w:ascii="Times New Roman" w:hAnsi="Times New Roman" w:eastAsia="仿宋_GB2312" w:cs="Times New Roman"/>
                <w:b/>
                <w:bCs/>
                <w:i w:val="0"/>
                <w:iCs w:val="0"/>
                <w:color w:val="000000"/>
                <w:kern w:val="0"/>
                <w:sz w:val="24"/>
                <w:szCs w:val="24"/>
                <w:highlight w:val="none"/>
                <w:u w:val="none"/>
                <w:lang w:bidi="ar"/>
              </w:rPr>
            </w:pPr>
            <w:r>
              <w:rPr>
                <w:rFonts w:hint="default" w:ascii="Times New Roman" w:hAnsi="Times New Roman" w:eastAsia="仿宋_GB2312" w:cs="Times New Roman"/>
                <w:b/>
                <w:bCs/>
                <w:i w:val="0"/>
                <w:iCs w:val="0"/>
                <w:color w:val="000000"/>
                <w:kern w:val="0"/>
                <w:sz w:val="24"/>
                <w:szCs w:val="24"/>
                <w:highlight w:val="none"/>
                <w:u w:val="none"/>
                <w:lang w:val="en-US" w:eastAsia="zh-CN" w:bidi="ar"/>
              </w:rPr>
              <w:t>69.36%</w:t>
            </w:r>
          </w:p>
        </w:tc>
      </w:tr>
    </w:tbl>
    <w:p>
      <w:pPr>
        <w:pStyle w:val="66"/>
        <w:pageBreakBefore w:val="0"/>
        <w:widowControl w:val="0"/>
        <w:kinsoku/>
        <w:wordWrap/>
        <w:overflowPunct/>
        <w:topLinePunct w:val="0"/>
        <w:autoSpaceDE/>
        <w:autoSpaceDN/>
        <w:bidi w:val="0"/>
        <w:adjustRightInd/>
        <w:snapToGrid/>
        <w:spacing w:before="156" w:after="156" w:line="600" w:lineRule="exact"/>
        <w:ind w:firstLine="640"/>
        <w:textAlignment w:val="auto"/>
        <w:rPr>
          <w:rFonts w:hint="default" w:ascii="Times New Roman" w:hAnsi="Times New Roman" w:eastAsia="楷体_GB2312" w:cs="Times New Roman"/>
          <w:color w:val="auto"/>
          <w:sz w:val="32"/>
        </w:rPr>
      </w:pPr>
      <w:bookmarkStart w:id="118" w:name="_Toc6538"/>
      <w:bookmarkStart w:id="119" w:name="_Toc6949"/>
      <w:bookmarkStart w:id="120" w:name="_Toc17928"/>
      <w:bookmarkStart w:id="121" w:name="_Toc11774"/>
      <w:r>
        <w:rPr>
          <w:rFonts w:hint="default" w:ascii="Times New Roman" w:hAnsi="Times New Roman" w:eastAsia="楷体_GB2312" w:cs="Times New Roman"/>
          <w:color w:val="auto"/>
          <w:sz w:val="32"/>
        </w:rPr>
        <w:t>（二）绩效分析</w:t>
      </w:r>
      <w:bookmarkEnd w:id="117"/>
      <w:bookmarkEnd w:id="118"/>
      <w:bookmarkEnd w:id="119"/>
      <w:bookmarkEnd w:id="120"/>
      <w:bookmarkEnd w:id="121"/>
    </w:p>
    <w:p>
      <w:pPr>
        <w:pStyle w:val="4"/>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rPr>
      </w:pPr>
      <w:bookmarkStart w:id="122" w:name="_Toc17263"/>
      <w:bookmarkStart w:id="123" w:name="_Toc4742"/>
      <w:bookmarkStart w:id="124" w:name="_Toc2931"/>
      <w:bookmarkStart w:id="125" w:name="_Toc3883"/>
      <w:bookmarkStart w:id="126" w:name="_Toc55586789"/>
      <w:bookmarkStart w:id="127" w:name="_Toc17166"/>
      <w:r>
        <w:rPr>
          <w:rFonts w:hint="default" w:ascii="Times New Roman" w:hAnsi="Times New Roman" w:eastAsia="仿宋_GB2312" w:cs="Times New Roman"/>
        </w:rPr>
        <w:t>1、部门预算管理情况分析</w:t>
      </w:r>
      <w:bookmarkEnd w:id="122"/>
      <w:bookmarkEnd w:id="123"/>
      <w:bookmarkEnd w:id="124"/>
      <w:bookmarkEnd w:id="125"/>
      <w:bookmarkEnd w:id="126"/>
      <w:bookmarkEnd w:id="127"/>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default" w:ascii="Times New Roman" w:hAnsi="Times New Roman" w:eastAsia="仿宋_GB2312" w:cs="Times New Roman"/>
          <w:color w:val="auto"/>
          <w:kern w:val="0"/>
          <w:sz w:val="32"/>
          <w:szCs w:val="32"/>
          <w:highlight w:val="none"/>
          <w:shd w:val="clear" w:color="auto" w:fill="FFFFFF"/>
          <w:lang w:val="en-US" w:eastAsia="zh-CN" w:bidi="ar-SA"/>
        </w:rPr>
        <w:t>该指标权重为</w:t>
      </w:r>
      <w:r>
        <w:rPr>
          <w:rFonts w:hint="eastAsia" w:eastAsia="仿宋_GB2312" w:cs="Times New Roman"/>
          <w:color w:val="auto"/>
          <w:kern w:val="0"/>
          <w:sz w:val="32"/>
          <w:szCs w:val="32"/>
          <w:highlight w:val="none"/>
          <w:shd w:val="clear" w:color="auto" w:fill="FFFFFF"/>
          <w:lang w:val="en-US" w:eastAsia="zh-CN" w:bidi="ar-SA"/>
        </w:rPr>
        <w:t>80</w:t>
      </w:r>
      <w:r>
        <w:rPr>
          <w:rFonts w:hint="default" w:ascii="Times New Roman" w:hAnsi="Times New Roman" w:eastAsia="仿宋_GB2312" w:cs="Times New Roman"/>
          <w:color w:val="auto"/>
          <w:kern w:val="0"/>
          <w:sz w:val="32"/>
          <w:szCs w:val="32"/>
          <w:highlight w:val="none"/>
          <w:shd w:val="clear" w:color="auto" w:fill="FFFFFF"/>
          <w:lang w:val="en-US" w:eastAsia="zh-CN" w:bidi="ar-SA"/>
        </w:rPr>
        <w:t>分，评价权重</w:t>
      </w:r>
      <w:r>
        <w:rPr>
          <w:rFonts w:hint="eastAsia" w:eastAsia="仿宋_GB2312" w:cs="Times New Roman"/>
          <w:color w:val="auto"/>
          <w:kern w:val="0"/>
          <w:sz w:val="32"/>
          <w:szCs w:val="32"/>
          <w:highlight w:val="none"/>
          <w:shd w:val="clear" w:color="auto" w:fill="FFFFFF"/>
          <w:lang w:val="en-US" w:eastAsia="zh-CN" w:bidi="ar-SA"/>
        </w:rPr>
        <w:t>60</w:t>
      </w:r>
      <w:r>
        <w:rPr>
          <w:rFonts w:hint="default" w:ascii="Times New Roman" w:hAnsi="Times New Roman" w:eastAsia="仿宋_GB2312" w:cs="Times New Roman"/>
          <w:color w:val="auto"/>
          <w:kern w:val="0"/>
          <w:sz w:val="32"/>
          <w:szCs w:val="32"/>
          <w:highlight w:val="none"/>
          <w:shd w:val="clear" w:color="auto" w:fill="FFFFFF"/>
          <w:lang w:val="en-US" w:eastAsia="zh-CN" w:bidi="ar-SA"/>
        </w:rPr>
        <w:t>分，评价权重得分</w:t>
      </w:r>
      <w:r>
        <w:rPr>
          <w:rFonts w:hint="eastAsia" w:eastAsia="仿宋_GB2312" w:cs="Times New Roman"/>
          <w:color w:val="auto"/>
          <w:kern w:val="0"/>
          <w:sz w:val="32"/>
          <w:szCs w:val="32"/>
          <w:highlight w:val="none"/>
          <w:shd w:val="clear" w:color="auto" w:fill="FFFFFF"/>
          <w:lang w:val="en-US" w:eastAsia="zh-CN" w:bidi="ar-SA"/>
        </w:rPr>
        <w:t>47.94</w:t>
      </w:r>
      <w:r>
        <w:rPr>
          <w:rFonts w:hint="default" w:ascii="Times New Roman" w:hAnsi="Times New Roman" w:eastAsia="仿宋_GB2312" w:cs="Times New Roman"/>
          <w:color w:val="auto"/>
          <w:kern w:val="0"/>
          <w:sz w:val="32"/>
          <w:szCs w:val="32"/>
          <w:highlight w:val="none"/>
          <w:shd w:val="clear" w:color="auto" w:fill="FFFFFF"/>
          <w:lang w:val="en-US" w:eastAsia="zh-CN" w:bidi="ar-SA"/>
        </w:rPr>
        <w:t>分。用于考察评价部门绩效目标是否要素完整、细化量化并集体决策</w:t>
      </w:r>
      <w:r>
        <w:rPr>
          <w:rFonts w:hint="eastAsia" w:ascii="Times New Roman" w:hAnsi="Times New Roman" w:eastAsia="仿宋_GB2312" w:cs="Times New Roman"/>
          <w:color w:val="auto"/>
          <w:kern w:val="0"/>
          <w:sz w:val="32"/>
          <w:szCs w:val="32"/>
          <w:highlight w:val="none"/>
          <w:shd w:val="clear" w:color="auto" w:fill="FFFFFF"/>
          <w:lang w:val="en-US" w:eastAsia="zh-CN" w:bidi="ar-SA"/>
        </w:rPr>
        <w:t>情况；评价部门绩效目标实际实现程度与预期目标的偏离度；部门公用经费及非定额公用支出控制情况；评价部门在</w:t>
      </w:r>
      <w:r>
        <w:rPr>
          <w:rFonts w:hint="eastAsia" w:eastAsia="仿宋_GB2312" w:cs="Times New Roman"/>
          <w:color w:val="auto"/>
          <w:kern w:val="0"/>
          <w:sz w:val="32"/>
          <w:szCs w:val="32"/>
          <w:highlight w:val="none"/>
          <w:shd w:val="clear" w:color="auto" w:fill="FFFFFF"/>
          <w:lang w:val="en-US" w:eastAsia="zh-CN" w:bidi="ar-SA"/>
        </w:rPr>
        <w:t>2022年</w:t>
      </w:r>
      <w:r>
        <w:rPr>
          <w:rFonts w:hint="eastAsia" w:ascii="Times New Roman" w:hAnsi="Times New Roman" w:eastAsia="仿宋_GB2312" w:cs="Times New Roman"/>
          <w:color w:val="auto"/>
          <w:kern w:val="0"/>
          <w:sz w:val="32"/>
          <w:szCs w:val="32"/>
          <w:highlight w:val="none"/>
          <w:shd w:val="clear" w:color="auto" w:fill="FFFFFF"/>
          <w:lang w:val="en-US" w:eastAsia="zh-CN" w:bidi="ar-SA"/>
        </w:rPr>
        <w:t>6、9、11月的预算执行情况；评价部门预算项目年终预算执行情况；根据审计监督、财政检查结果反映部门上一年度部门预算管理是否合规</w:t>
      </w:r>
      <w:r>
        <w:rPr>
          <w:rFonts w:hint="default" w:ascii="Times New Roman" w:hAnsi="Times New Roman" w:eastAsia="仿宋_GB2312" w:cs="Times New Roman"/>
          <w:color w:val="auto"/>
          <w:kern w:val="0"/>
          <w:sz w:val="32"/>
          <w:szCs w:val="32"/>
          <w:highlight w:val="none"/>
          <w:shd w:val="clear" w:color="auto" w:fill="FFFFFF"/>
          <w:lang w:val="en-US" w:eastAsia="zh-CN" w:bidi="ar-SA"/>
        </w:rPr>
        <w:t>等。</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default" w:ascii="Times New Roman" w:hAnsi="Times New Roman" w:eastAsia="仿宋_GB2312" w:cs="Times New Roman"/>
          <w:color w:val="auto"/>
          <w:kern w:val="0"/>
          <w:sz w:val="32"/>
          <w:szCs w:val="32"/>
          <w:highlight w:val="none"/>
          <w:shd w:val="clear" w:color="auto" w:fill="FFFFFF"/>
          <w:lang w:val="en-US" w:eastAsia="zh-CN" w:bidi="ar-SA"/>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default" w:ascii="Times New Roman" w:hAnsi="Times New Roman" w:eastAsia="仿宋_GB2312" w:cs="Times New Roman"/>
          <w:b/>
          <w:bCs/>
          <w:color w:val="000000"/>
          <w:kern w:val="0"/>
          <w:highlight w:val="none"/>
          <w:lang w:val="en-US" w:eastAsia="zh-CN" w:bidi="ar"/>
        </w:rPr>
        <w:t>7</w:t>
      </w:r>
      <w:r>
        <w:rPr>
          <w:rFonts w:hint="default" w:ascii="Times New Roman" w:hAnsi="Times New Roman" w:eastAsia="仿宋_GB2312" w:cs="Times New Roman"/>
          <w:b/>
          <w:bCs/>
          <w:color w:val="000000"/>
          <w:kern w:val="0"/>
          <w:highlight w:val="none"/>
          <w:lang w:bidi="ar"/>
        </w:rPr>
        <w:t xml:space="preserve"> </w:t>
      </w:r>
      <w:r>
        <w:rPr>
          <w:rFonts w:hint="default" w:ascii="Times New Roman" w:hAnsi="Times New Roman" w:eastAsia="仿宋_GB2312" w:cs="Times New Roman"/>
          <w:b/>
          <w:bCs/>
          <w:color w:val="000000"/>
          <w:kern w:val="0"/>
          <w:highlight w:val="none"/>
          <w:lang w:val="en-US" w:eastAsia="zh-CN" w:bidi="ar"/>
        </w:rPr>
        <w:t>部门预算管理</w:t>
      </w:r>
      <w:r>
        <w:rPr>
          <w:rFonts w:hint="default" w:ascii="Times New Roman" w:hAnsi="Times New Roman" w:eastAsia="仿宋_GB2312" w:cs="Times New Roman"/>
          <w:b/>
          <w:bCs/>
          <w:color w:val="000000"/>
          <w:kern w:val="0"/>
          <w:highlight w:val="none"/>
          <w:lang w:bidi="ar"/>
        </w:rPr>
        <w:t>情况得分表</w:t>
      </w:r>
    </w:p>
    <w:tbl>
      <w:tblPr>
        <w:tblStyle w:val="41"/>
        <w:tblW w:w="8869"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471"/>
        <w:gridCol w:w="1400"/>
        <w:gridCol w:w="1978"/>
        <w:gridCol w:w="855"/>
        <w:gridCol w:w="934"/>
        <w:gridCol w:w="1118"/>
        <w:gridCol w:w="1113"/>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1471"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4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97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1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评价权重</w:t>
            </w:r>
            <w:r>
              <w:rPr>
                <w:rFonts w:hint="default" w:ascii="Times New Roman" w:hAnsi="Times New Roman" w:eastAsia="仿宋_GB2312" w:cs="Times New Roman"/>
                <w:b/>
                <w:bCs/>
                <w:color w:val="000000"/>
                <w:kern w:val="0"/>
                <w:highlight w:val="none"/>
                <w:lang w:bidi="ar"/>
              </w:rPr>
              <w:t>得分</w:t>
            </w:r>
          </w:p>
        </w:tc>
        <w:tc>
          <w:tcPr>
            <w:tcW w:w="111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restart"/>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r>
              <w:rPr>
                <w:rFonts w:hint="default" w:ascii="Times New Roman" w:hAnsi="Times New Roman" w:eastAsia="仿宋_GB2312" w:cs="Times New Roman"/>
                <w:color w:val="000000"/>
                <w:kern w:val="0"/>
                <w:highlight w:val="none"/>
                <w:lang w:val="en-US" w:eastAsia="zh-CN" w:bidi="ar"/>
              </w:rPr>
              <w:t>部门预算管理</w:t>
            </w:r>
            <w:r>
              <w:rPr>
                <w:rFonts w:hint="default" w:ascii="Times New Roman" w:hAnsi="Times New Roman" w:eastAsia="仿宋_GB2312" w:cs="Times New Roman"/>
                <w:color w:val="000000"/>
                <w:kern w:val="0"/>
                <w:highlight w:val="none"/>
                <w:lang w:bidi="ar"/>
              </w:rPr>
              <w:t>（</w:t>
            </w:r>
            <w:r>
              <w:rPr>
                <w:rFonts w:hint="eastAsia" w:eastAsia="仿宋_GB2312" w:cs="Times New Roman"/>
                <w:color w:val="000000"/>
                <w:kern w:val="0"/>
                <w:highlight w:val="none"/>
                <w:lang w:val="en-US" w:eastAsia="zh-CN" w:bidi="ar"/>
              </w:rPr>
              <w:t>8</w:t>
            </w:r>
            <w:r>
              <w:rPr>
                <w:rFonts w:hint="default" w:ascii="Times New Roman" w:hAnsi="Times New Roman" w:eastAsia="仿宋_GB2312" w:cs="Times New Roman"/>
                <w:color w:val="000000"/>
                <w:kern w:val="0"/>
                <w:highlight w:val="none"/>
                <w:lang w:bidi="ar"/>
              </w:rPr>
              <w:t>0）</w:t>
            </w: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预算编制（30分）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目标制定</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目标实现</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编制准确</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2052" w:type="dxa"/>
            <w:gridSpan w:val="2"/>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预算执行（30分）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支出控制</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0</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动态调整</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2052" w:type="dxa"/>
            <w:gridSpan w:val="2"/>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c>
          <w:tcPr>
            <w:tcW w:w="1113" w:type="dxa"/>
            <w:vAlign w:val="center"/>
          </w:tcPr>
          <w:p>
            <w:pPr>
              <w:widowControl/>
              <w:spacing w:line="240" w:lineRule="auto"/>
              <w:ind w:firstLine="0" w:firstLineChars="0"/>
              <w:jc w:val="center"/>
              <w:rPr>
                <w:rFonts w:hint="eastAsia" w:eastAsia="仿宋_GB2312" w:cs="Times New Roman"/>
                <w:color w:val="000000"/>
                <w:kern w:val="0"/>
                <w:highlight w:val="none"/>
                <w:lang w:val="en-US" w:eastAsia="zh-CN" w:bidi="ar"/>
              </w:rPr>
            </w:pP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执行进度</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7.94</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79.40%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完成结果（20分）</w:t>
            </w: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预算完成</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10</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10</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471" w:type="dxa"/>
            <w:vMerge w:val="continue"/>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bidi="ar"/>
              </w:rPr>
            </w:pPr>
          </w:p>
        </w:tc>
        <w:tc>
          <w:tcPr>
            <w:tcW w:w="140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978"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违规记录</w:t>
            </w:r>
          </w:p>
        </w:tc>
        <w:tc>
          <w:tcPr>
            <w:tcW w:w="855"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w:t>
            </w:r>
          </w:p>
        </w:tc>
        <w:tc>
          <w:tcPr>
            <w:tcW w:w="93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10</w:t>
            </w:r>
          </w:p>
        </w:tc>
        <w:tc>
          <w:tcPr>
            <w:tcW w:w="1118"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sz w:val="24"/>
                <w:szCs w:val="24"/>
                <w:highlight w:val="none"/>
                <w:lang w:val="en-US" w:eastAsia="zh-CN" w:bidi="ar"/>
              </w:rPr>
            </w:pPr>
            <w:r>
              <w:rPr>
                <w:rFonts w:hint="eastAsia" w:eastAsia="仿宋_GB2312" w:cs="Times New Roman"/>
                <w:color w:val="000000"/>
                <w:kern w:val="0"/>
                <w:highlight w:val="none"/>
                <w:lang w:val="en-US" w:eastAsia="zh-CN" w:bidi="ar"/>
              </w:rPr>
              <w:t>10</w:t>
            </w:r>
          </w:p>
        </w:tc>
        <w:tc>
          <w:tcPr>
            <w:tcW w:w="1113"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849"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8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80</w:t>
            </w:r>
          </w:p>
        </w:tc>
        <w:tc>
          <w:tcPr>
            <w:tcW w:w="93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60</w:t>
            </w:r>
          </w:p>
        </w:tc>
        <w:tc>
          <w:tcPr>
            <w:tcW w:w="1118"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47.94</w:t>
            </w:r>
          </w:p>
        </w:tc>
        <w:tc>
          <w:tcPr>
            <w:tcW w:w="111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79.90%</w:t>
            </w:r>
          </w:p>
        </w:tc>
      </w:tr>
    </w:tbl>
    <w:p>
      <w:pPr>
        <w:pStyle w:val="24"/>
        <w:rPr>
          <w:rFonts w:hint="default" w:ascii="Times New Roman" w:hAnsi="Times New Roman" w:cs="Times New Roman"/>
        </w:rPr>
      </w:pP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shd w:val="clear" w:color="auto" w:fill="FFFFFF"/>
          <w:lang w:val="en-US" w:eastAsia="zh-CN"/>
        </w:rPr>
      </w:pPr>
      <w:r>
        <w:rPr>
          <w:rFonts w:hint="default" w:ascii="Times New Roman" w:hAnsi="Times New Roman" w:eastAsia="仿宋_GB2312" w:cs="Times New Roman"/>
          <w:b/>
          <w:bCs/>
          <w:kern w:val="0"/>
          <w:sz w:val="32"/>
          <w:szCs w:val="32"/>
          <w:shd w:val="clear" w:color="auto" w:fill="FFFFFF"/>
          <w:lang w:val="en-US" w:eastAsia="zh-CN"/>
        </w:rPr>
        <w:t>（1）</w:t>
      </w:r>
      <w:r>
        <w:rPr>
          <w:rFonts w:hint="eastAsia" w:eastAsia="仿宋_GB2312" w:cs="Times New Roman"/>
          <w:b/>
          <w:bCs/>
          <w:kern w:val="0"/>
          <w:sz w:val="32"/>
          <w:szCs w:val="32"/>
          <w:shd w:val="clear" w:color="auto" w:fill="FFFFFF"/>
          <w:lang w:val="en-US" w:eastAsia="zh-CN"/>
        </w:rPr>
        <w:t>预算编制</w:t>
      </w:r>
      <w:r>
        <w:rPr>
          <w:rFonts w:hint="default" w:ascii="Times New Roman" w:hAnsi="Times New Roman" w:eastAsia="仿宋_GB2312" w:cs="Times New Roman"/>
          <w:b/>
          <w:bCs/>
          <w:kern w:val="0"/>
          <w:sz w:val="32"/>
          <w:szCs w:val="32"/>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——目标制定指标分析（权重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阿坝县统计局</w:t>
      </w:r>
      <w:r>
        <w:rPr>
          <w:rFonts w:hint="eastAsia" w:eastAsia="仿宋_GB2312" w:cs="Times New Roman"/>
          <w:color w:val="auto"/>
          <w:kern w:val="0"/>
          <w:sz w:val="32"/>
          <w:szCs w:val="32"/>
          <w:highlight w:val="none"/>
          <w:shd w:val="clear" w:color="auto" w:fill="FFFFFF"/>
          <w:lang w:val="en-US" w:eastAsia="zh-CN" w:bidi="ar-SA"/>
        </w:rPr>
        <w:t>2022年</w:t>
      </w:r>
      <w:r>
        <w:rPr>
          <w:rFonts w:hint="eastAsia" w:ascii="Times New Roman" w:hAnsi="Times New Roman" w:eastAsia="仿宋_GB2312" w:cs="Times New Roman"/>
          <w:color w:val="auto"/>
          <w:kern w:val="0"/>
          <w:sz w:val="32"/>
          <w:szCs w:val="32"/>
          <w:highlight w:val="none"/>
          <w:shd w:val="clear" w:color="auto" w:fill="FFFFFF"/>
          <w:lang w:val="en-US" w:eastAsia="zh-CN" w:bidi="ar-SA"/>
        </w:rPr>
        <w:t>住户调查</w:t>
      </w:r>
      <w:r>
        <w:rPr>
          <w:rFonts w:hint="eastAsia" w:eastAsia="仿宋_GB2312" w:cs="Times New Roman"/>
          <w:color w:val="auto"/>
          <w:kern w:val="0"/>
          <w:sz w:val="32"/>
          <w:szCs w:val="32"/>
          <w:highlight w:val="none"/>
          <w:shd w:val="clear" w:color="auto" w:fill="FFFFFF"/>
          <w:lang w:val="en-US" w:eastAsia="zh-CN" w:bidi="ar-SA"/>
        </w:rPr>
        <w:t>项目</w:t>
      </w:r>
      <w:r>
        <w:rPr>
          <w:rFonts w:hint="eastAsia" w:ascii="Times New Roman" w:hAnsi="Times New Roman" w:eastAsia="仿宋_GB2312" w:cs="Times New Roman"/>
          <w:color w:val="auto"/>
          <w:kern w:val="0"/>
          <w:sz w:val="32"/>
          <w:szCs w:val="32"/>
          <w:highlight w:val="none"/>
          <w:shd w:val="clear" w:color="auto" w:fill="FFFFFF"/>
          <w:lang w:val="en-US" w:eastAsia="zh-CN" w:bidi="ar-SA"/>
        </w:rPr>
        <w:t>支出绩效目标设置情况：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绩效目标编制要素方面，</w:t>
      </w:r>
      <w:r>
        <w:rPr>
          <w:rFonts w:hint="eastAsia" w:eastAsia="仿宋_GB2312" w:cs="Times New Roman"/>
          <w:color w:val="auto"/>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color w:val="auto"/>
          <w:kern w:val="0"/>
          <w:sz w:val="32"/>
          <w:szCs w:val="32"/>
          <w:highlight w:val="none"/>
          <w:shd w:val="clear" w:color="auto" w:fill="FFFFFF"/>
          <w:lang w:val="en-US" w:eastAsia="zh-CN" w:bidi="ar-SA"/>
        </w:rPr>
        <w:t>2022年住户调查项目</w:t>
      </w:r>
      <w:r>
        <w:rPr>
          <w:rFonts w:hint="eastAsia" w:eastAsia="仿宋_GB2312" w:cs="Times New Roman"/>
          <w:color w:val="auto"/>
          <w:kern w:val="0"/>
          <w:sz w:val="32"/>
          <w:szCs w:val="32"/>
          <w:highlight w:val="none"/>
          <w:shd w:val="clear" w:color="auto" w:fill="FFFFFF"/>
          <w:lang w:val="en-US" w:eastAsia="zh-CN" w:bidi="ar-SA"/>
        </w:rPr>
        <w:t>绩效</w:t>
      </w:r>
      <w:r>
        <w:rPr>
          <w:rFonts w:hint="eastAsia" w:ascii="Times New Roman" w:hAnsi="Times New Roman" w:eastAsia="仿宋_GB2312" w:cs="Times New Roman"/>
          <w:color w:val="auto"/>
          <w:kern w:val="0"/>
          <w:sz w:val="32"/>
          <w:szCs w:val="32"/>
          <w:highlight w:val="none"/>
          <w:shd w:val="clear" w:color="auto" w:fill="FFFFFF"/>
          <w:lang w:val="en-US" w:eastAsia="zh-CN" w:bidi="ar-SA"/>
        </w:rPr>
        <w:t>目标</w:t>
      </w:r>
      <w:r>
        <w:rPr>
          <w:rFonts w:hint="eastAsia" w:eastAsia="仿宋_GB2312" w:cs="Times New Roman"/>
          <w:color w:val="auto"/>
          <w:kern w:val="0"/>
          <w:sz w:val="32"/>
          <w:szCs w:val="32"/>
          <w:highlight w:val="none"/>
          <w:shd w:val="clear" w:color="auto" w:fill="FFFFFF"/>
          <w:lang w:val="en-US" w:eastAsia="zh-CN" w:bidi="ar-SA"/>
        </w:rPr>
        <w:t>设置较全面，已设置数量、质量、时效、成本指标</w:t>
      </w:r>
      <w:r>
        <w:rPr>
          <w:rFonts w:hint="eastAsia" w:ascii="Times New Roman" w:hAnsi="Times New Roman" w:eastAsia="仿宋_GB2312" w:cs="Times New Roman"/>
          <w:color w:val="auto"/>
          <w:kern w:val="0"/>
          <w:sz w:val="32"/>
          <w:szCs w:val="32"/>
          <w:highlight w:val="none"/>
          <w:shd w:val="clear" w:color="auto" w:fill="FFFFFF"/>
          <w:lang w:val="en-US" w:eastAsia="zh-CN" w:bidi="ar-SA"/>
        </w:rPr>
        <w:t>，</w:t>
      </w:r>
      <w:r>
        <w:rPr>
          <w:rFonts w:hint="eastAsia" w:eastAsia="仿宋_GB2312" w:cs="Times New Roman"/>
          <w:color w:val="auto"/>
          <w:kern w:val="0"/>
          <w:sz w:val="32"/>
          <w:szCs w:val="32"/>
          <w:highlight w:val="none"/>
          <w:shd w:val="clear" w:color="auto" w:fill="FFFFFF"/>
          <w:lang w:val="en-US" w:eastAsia="zh-CN" w:bidi="ar-SA"/>
        </w:rPr>
        <w:t>设置了社会效益指标及满意度指标，</w:t>
      </w:r>
      <w:r>
        <w:rPr>
          <w:rFonts w:hint="eastAsia" w:ascii="Times New Roman" w:hAnsi="Times New Roman" w:eastAsia="仿宋_GB2312" w:cs="Times New Roman"/>
          <w:color w:val="auto"/>
          <w:kern w:val="0"/>
          <w:sz w:val="32"/>
          <w:szCs w:val="32"/>
          <w:highlight w:val="none"/>
          <w:shd w:val="clear" w:color="auto" w:fill="FFFFFF"/>
          <w:lang w:val="en-US" w:eastAsia="zh-CN" w:bidi="ar-SA"/>
        </w:rPr>
        <w:t>符合《四川省财政支出绩效评价管理办法》第十五条“绩效目标包括以下主要内容：（一）预期产出，包括提供的公共产品和服务的数量；（二）预期效果，包括经济效益、社会效益、环境效益和可持续影响等；（三）绩效指标，是对预期产出和预期效果的细化和量化，主要包括完成指标、效果指标和满意度指标等；（四）绩效指标值，是绩效指标的具体表现，通常用可衡量的标准、数值、比率等来表示，确定指标值时主要依据或参考历史标准、行业标准、计划标准等绩效标准；（五）其他需要编制的内容。”之规定。</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ascii="Times New Roman" w:hAnsi="Times New Roman" w:eastAsia="仿宋_GB2312" w:cs="Times New Roman"/>
          <w:color w:val="auto"/>
          <w:kern w:val="0"/>
          <w:sz w:val="32"/>
          <w:szCs w:val="32"/>
          <w:highlight w:val="none"/>
          <w:shd w:val="clear" w:color="auto" w:fill="FFFFFF"/>
          <w:lang w:val="en-US" w:eastAsia="zh-CN" w:bidi="ar-SA"/>
        </w:rPr>
      </w:pPr>
      <w:r>
        <w:rPr>
          <w:rFonts w:hint="eastAsia" w:ascii="Times New Roman" w:hAnsi="Times New Roman" w:eastAsia="仿宋_GB2312" w:cs="Times New Roman"/>
          <w:color w:val="auto"/>
          <w:kern w:val="0"/>
          <w:sz w:val="32"/>
          <w:szCs w:val="32"/>
          <w:highlight w:val="none"/>
          <w:shd w:val="clear" w:color="auto" w:fill="FFFFFF"/>
          <w:lang w:val="en-US" w:eastAsia="zh-CN" w:bidi="ar-SA"/>
        </w:rPr>
        <w:t>绩效指标细化量化方面，</w:t>
      </w:r>
      <w:r>
        <w:rPr>
          <w:rFonts w:hint="eastAsia" w:eastAsia="仿宋_GB2312" w:cs="Times New Roman"/>
          <w:color w:val="auto"/>
          <w:kern w:val="0"/>
          <w:sz w:val="32"/>
          <w:szCs w:val="32"/>
          <w:highlight w:val="none"/>
          <w:shd w:val="clear" w:color="auto" w:fill="FFFFFF"/>
          <w:lang w:val="en-US" w:eastAsia="zh-CN" w:bidi="ar-SA"/>
        </w:rPr>
        <w:t>阿坝县统计局2022年住户调查项目绩效目标已细化量化。</w:t>
      </w:r>
      <w:r>
        <w:rPr>
          <w:rFonts w:hint="eastAsia" w:ascii="Times New Roman" w:hAnsi="Times New Roman" w:eastAsia="仿宋_GB2312" w:cs="Times New Roman"/>
          <w:color w:val="auto"/>
          <w:kern w:val="0"/>
          <w:sz w:val="32"/>
          <w:szCs w:val="32"/>
          <w:highlight w:val="none"/>
          <w:shd w:val="clear" w:color="auto" w:fill="FFFFFF"/>
          <w:lang w:val="en-US" w:eastAsia="zh-CN" w:bidi="ar-SA"/>
        </w:rPr>
        <w:t>符合《四川省财政支出绩效评价管理办法》“第十六条 绩效目标要符合以下要求：细化量化。绩效目标应当从数量、质量、成本、时效以及经济效益、社会效益、生态效益、可持续影响、满意度等方面进行细化，尽量进行定量表述。不能量化表述的，可采用定性表述，但应具有可衡量性。”的规定。</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default" w:ascii="Times New Roman" w:hAnsi="Times New Roman" w:eastAsia="仿宋_GB2312" w:cs="Times New Roman"/>
          <w:b/>
          <w:bCs/>
          <w:color w:val="000000"/>
          <w:kern w:val="0"/>
          <w:sz w:val="24"/>
          <w:szCs w:val="24"/>
          <w:highlight w:val="none"/>
          <w:lang w:val="en-US" w:eastAsia="zh-CN" w:bidi="ar"/>
        </w:rPr>
      </w:pPr>
      <w:r>
        <w:rPr>
          <w:rFonts w:hint="default" w:ascii="Times New Roman" w:hAnsi="Times New Roman" w:eastAsia="仿宋_GB2312" w:cs="Times New Roman"/>
          <w:b/>
          <w:bCs/>
          <w:color w:val="000000"/>
          <w:kern w:val="0"/>
          <w:sz w:val="24"/>
          <w:szCs w:val="24"/>
          <w:highlight w:val="none"/>
          <w:lang w:val="en-US" w:eastAsia="zh-CN" w:bidi="ar"/>
        </w:rPr>
        <w:t>表8</w:t>
      </w:r>
      <w:r>
        <w:rPr>
          <w:rFonts w:hint="eastAsia" w:eastAsia="仿宋_GB2312" w:cs="Times New Roman"/>
          <w:b/>
          <w:bCs/>
          <w:color w:val="000000"/>
          <w:kern w:val="0"/>
          <w:sz w:val="24"/>
          <w:szCs w:val="24"/>
          <w:highlight w:val="none"/>
          <w:lang w:val="en-US" w:eastAsia="zh-CN" w:bidi="ar"/>
        </w:rPr>
        <w:t xml:space="preserve"> </w:t>
      </w:r>
      <w:r>
        <w:rPr>
          <w:rFonts w:hint="default" w:ascii="Times New Roman" w:hAnsi="Times New Roman" w:eastAsia="仿宋_GB2312" w:cs="Times New Roman"/>
          <w:b/>
          <w:bCs/>
          <w:color w:val="000000"/>
          <w:kern w:val="0"/>
          <w:sz w:val="24"/>
          <w:szCs w:val="24"/>
          <w:highlight w:val="none"/>
          <w:lang w:val="en-US" w:eastAsia="zh-CN" w:bidi="ar"/>
        </w:rPr>
        <w:t xml:space="preserve"> 阿坝县统计局2022年住户调查项目绩效目标表</w:t>
      </w:r>
    </w:p>
    <w:tbl>
      <w:tblPr>
        <w:tblStyle w:val="40"/>
        <w:tblW w:w="9114" w:type="dxa"/>
        <w:jc w:val="right"/>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1341"/>
        <w:gridCol w:w="1453"/>
        <w:gridCol w:w="2880"/>
        <w:gridCol w:w="3440"/>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618" w:hRule="atLeast"/>
          <w:tblHeader/>
          <w:jc w:val="right"/>
        </w:trPr>
        <w:tc>
          <w:tcPr>
            <w:tcW w:w="1341" w:type="dxa"/>
            <w:vMerge w:val="restart"/>
            <w:tcBorders>
              <w:top w:val="single" w:color="000000" w:sz="8" w:space="0"/>
              <w:left w:val="single" w:color="000000" w:sz="8" w:space="0"/>
              <w:bottom w:val="single" w:color="auto" w:sz="4" w:space="0"/>
              <w:right w:val="single" w:color="000000" w:sz="8" w:space="0"/>
            </w:tcBorders>
            <w:shd w:val="clear" w:color="auto" w:fill="BEBEBE"/>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b/>
                <w:bCs/>
                <w:i w:val="0"/>
                <w:iCs w:val="0"/>
                <w:color w:val="000000"/>
                <w:kern w:val="0"/>
                <w:sz w:val="21"/>
                <w:szCs w:val="21"/>
                <w:highlight w:val="none"/>
                <w:u w:val="none"/>
                <w:lang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一级指标</w:t>
            </w:r>
          </w:p>
        </w:tc>
        <w:tc>
          <w:tcPr>
            <w:tcW w:w="1453" w:type="dxa"/>
            <w:vMerge w:val="restart"/>
            <w:tcBorders>
              <w:top w:val="single" w:color="000000" w:sz="8" w:space="0"/>
              <w:left w:val="nil"/>
              <w:bottom w:val="single" w:color="000000" w:sz="8" w:space="0"/>
              <w:right w:val="single" w:color="000000" w:sz="8" w:space="0"/>
            </w:tcBorders>
            <w:shd w:val="clear" w:color="auto" w:fill="BEBEBE"/>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b/>
                <w:bCs/>
                <w:i w:val="0"/>
                <w:iCs w:val="0"/>
                <w:color w:val="000000"/>
                <w:kern w:val="0"/>
                <w:sz w:val="21"/>
                <w:szCs w:val="21"/>
                <w:highlight w:val="none"/>
                <w:u w:val="none"/>
                <w:lang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二级指标</w:t>
            </w:r>
          </w:p>
        </w:tc>
        <w:tc>
          <w:tcPr>
            <w:tcW w:w="2880" w:type="dxa"/>
            <w:tcBorders>
              <w:top w:val="single" w:color="000000" w:sz="8" w:space="0"/>
              <w:left w:val="nil"/>
              <w:bottom w:val="single" w:color="000000" w:sz="8" w:space="0"/>
              <w:right w:val="single" w:color="000000" w:sz="8" w:space="0"/>
            </w:tcBorders>
            <w:shd w:val="clear" w:color="auto" w:fill="BEBEBE"/>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b/>
                <w:bCs/>
                <w:i w:val="0"/>
                <w:iCs w:val="0"/>
                <w:color w:val="000000"/>
                <w:kern w:val="0"/>
                <w:sz w:val="21"/>
                <w:szCs w:val="21"/>
                <w:highlight w:val="none"/>
                <w:u w:val="none"/>
                <w:lang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三级指标</w:t>
            </w:r>
          </w:p>
        </w:tc>
        <w:tc>
          <w:tcPr>
            <w:tcW w:w="3440" w:type="dxa"/>
            <w:tcBorders>
              <w:top w:val="single" w:color="000000" w:sz="8" w:space="0"/>
              <w:left w:val="nil"/>
              <w:bottom w:val="single" w:color="000000" w:sz="8" w:space="0"/>
              <w:right w:val="single" w:color="000000" w:sz="8" w:space="0"/>
            </w:tcBorders>
            <w:shd w:val="clear" w:color="auto" w:fill="BEBEBE"/>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b/>
                <w:bCs/>
                <w:i w:val="0"/>
                <w:iCs w:val="0"/>
                <w:color w:val="000000"/>
                <w:kern w:val="0"/>
                <w:sz w:val="21"/>
                <w:szCs w:val="21"/>
                <w:highlight w:val="none"/>
                <w:u w:val="none"/>
                <w:lang w:bidi="ar"/>
              </w:rPr>
            </w:pPr>
            <w:r>
              <w:rPr>
                <w:rFonts w:hint="eastAsia" w:ascii="Times New Roman" w:hAnsi="Times New Roman" w:eastAsia="仿宋_GB2312" w:cs="Times New Roman"/>
                <w:b/>
                <w:bCs/>
                <w:i w:val="0"/>
                <w:iCs w:val="0"/>
                <w:color w:val="000000"/>
                <w:kern w:val="0"/>
                <w:sz w:val="21"/>
                <w:szCs w:val="21"/>
                <w:highlight w:val="none"/>
                <w:u w:val="none"/>
                <w:lang w:val="en-US" w:eastAsia="zh-CN" w:bidi="ar"/>
              </w:rPr>
              <w:t>指标值（数字表述）</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right"/>
        </w:trPr>
        <w:tc>
          <w:tcPr>
            <w:tcW w:w="1341"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val="en-US" w:eastAsia="zh-CN"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产</w:t>
            </w:r>
          </w:p>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出</w:t>
            </w:r>
          </w:p>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指</w:t>
            </w:r>
          </w:p>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标</w:t>
            </w:r>
          </w:p>
        </w:tc>
        <w:tc>
          <w:tcPr>
            <w:tcW w:w="14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数量指标</w:t>
            </w: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住户调查培训</w:t>
            </w:r>
          </w:p>
        </w:tc>
        <w:tc>
          <w:tcPr>
            <w:tcW w:w="3440" w:type="dxa"/>
            <w:tcBorders>
              <w:top w:val="nil"/>
              <w:left w:val="single" w:color="auto" w:sz="4" w:space="0"/>
              <w:bottom w:val="single" w:color="000000" w:sz="8" w:space="0"/>
              <w:right w:val="single" w:color="000000" w:sz="8"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预计全年开展2次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right"/>
        </w:trPr>
        <w:tc>
          <w:tcPr>
            <w:tcW w:w="13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288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住户调查各类资料、宣传手册发放</w:t>
            </w:r>
          </w:p>
        </w:tc>
        <w:tc>
          <w:tcPr>
            <w:tcW w:w="3440" w:type="dxa"/>
            <w:tcBorders>
              <w:top w:val="nil"/>
              <w:left w:val="single" w:color="auto" w:sz="4" w:space="0"/>
              <w:bottom w:val="single" w:color="auto" w:sz="4" w:space="0"/>
              <w:right w:val="single" w:color="000000" w:sz="8"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覆盖全县6镇5乡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right"/>
        </w:trPr>
        <w:tc>
          <w:tcPr>
            <w:tcW w:w="13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2880" w:type="dxa"/>
            <w:tcBorders>
              <w:top w:val="single" w:color="auto" w:sz="4" w:space="0"/>
              <w:left w:val="single" w:color="auto" w:sz="4" w:space="0"/>
              <w:bottom w:val="single" w:color="auto" w:sz="4" w:space="0"/>
              <w:right w:val="single" w:color="auto" w:sz="4" w:space="0"/>
            </w:tcBorders>
            <w:shd w:val="clear" w:color="auto" w:fill="auto"/>
            <w:noWrap/>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全面调查可支配收入结构的分布</w:t>
            </w:r>
          </w:p>
        </w:tc>
        <w:tc>
          <w:tcPr>
            <w:tcW w:w="34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覆盖阿坝县所有调查户</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right"/>
        </w:trPr>
        <w:tc>
          <w:tcPr>
            <w:tcW w:w="1341"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质量指标</w:t>
            </w: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住户调查培训质量</w:t>
            </w:r>
          </w:p>
        </w:tc>
        <w:tc>
          <w:tcPr>
            <w:tcW w:w="34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将培训质量达到最好</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8" w:hRule="atLeast"/>
          <w:jc w:val="right"/>
        </w:trPr>
        <w:tc>
          <w:tcPr>
            <w:tcW w:w="1341"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时效指标</w:t>
            </w: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住户调查培训时间</w:t>
            </w:r>
          </w:p>
        </w:tc>
        <w:tc>
          <w:tcPr>
            <w:tcW w:w="34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全年共培训两次，各半年一次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303" w:hRule="atLeast"/>
          <w:jc w:val="right"/>
        </w:trPr>
        <w:tc>
          <w:tcPr>
            <w:tcW w:w="1341"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住户调查进度检查</w:t>
            </w:r>
          </w:p>
        </w:tc>
        <w:tc>
          <w:tcPr>
            <w:tcW w:w="3440" w:type="dxa"/>
            <w:tcBorders>
              <w:top w:val="single" w:color="auto" w:sz="4" w:space="0"/>
              <w:left w:val="single" w:color="auto" w:sz="4" w:space="0"/>
              <w:bottom w:val="single" w:color="auto" w:sz="4" w:space="0"/>
              <w:right w:val="single" w:color="000000" w:sz="8"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每月一次，每季度总结</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91" w:hRule="atLeast"/>
          <w:jc w:val="right"/>
        </w:trPr>
        <w:tc>
          <w:tcPr>
            <w:tcW w:w="1341" w:type="dxa"/>
            <w:vMerge w:val="continue"/>
            <w:tcBorders>
              <w:top w:val="single" w:color="auto" w:sz="4" w:space="0"/>
              <w:left w:val="single" w:color="auto" w:sz="4" w:space="0"/>
              <w:bottom w:val="single" w:color="auto" w:sz="4" w:space="0"/>
              <w:right w:val="single" w:color="auto" w:sz="4" w:space="0"/>
            </w:tcBorders>
            <w:shd w:val="clear" w:color="auto" w:fill="auto"/>
            <w:noWrap/>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成本指标</w:t>
            </w: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住户调查资金拨付进度</w:t>
            </w:r>
          </w:p>
        </w:tc>
        <w:tc>
          <w:tcPr>
            <w:tcW w:w="34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按照相关制度规定，资料齐全后，开始拨付</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303" w:hRule="atLeast"/>
          <w:jc w:val="right"/>
        </w:trPr>
        <w:tc>
          <w:tcPr>
            <w:tcW w:w="1341" w:type="dxa"/>
            <w:vMerge w:val="continue"/>
            <w:tcBorders>
              <w:top w:val="single" w:color="auto" w:sz="4" w:space="0"/>
              <w:left w:val="single" w:color="auto" w:sz="4" w:space="0"/>
              <w:bottom w:val="single" w:color="auto" w:sz="4" w:space="0"/>
              <w:right w:val="single" w:color="000000" w:sz="8" w:space="0"/>
            </w:tcBorders>
            <w:shd w:val="clear" w:color="auto" w:fill="auto"/>
            <w:noWrap/>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1453" w:type="dxa"/>
            <w:vMerge w:val="continue"/>
            <w:tcBorders>
              <w:top w:val="single" w:color="auto" w:sz="4" w:space="0"/>
              <w:left w:val="nil"/>
              <w:bottom w:val="single" w:color="auto" w:sz="4" w:space="0"/>
              <w:right w:val="single" w:color="auto" w:sz="4" w:space="0"/>
            </w:tcBorders>
            <w:shd w:val="clear" w:color="auto" w:fill="auto"/>
            <w:vAlign w:val="center"/>
          </w:tcPr>
          <w:p>
            <w:pPr>
              <w:pStyle w:val="24"/>
              <w:widowControl w:val="0"/>
              <w:snapToGrid w:val="0"/>
              <w:jc w:val="center"/>
              <w:rPr>
                <w:rFonts w:hint="eastAsia" w:ascii="Times New Roman" w:hAnsi="Times New Roman" w:eastAsia="仿宋_GB2312" w:cs="Times New Roman"/>
                <w:i w:val="0"/>
                <w:iCs w:val="0"/>
                <w:color w:val="000000"/>
                <w:kern w:val="0"/>
                <w:sz w:val="21"/>
                <w:szCs w:val="21"/>
                <w:highlight w:val="none"/>
                <w:u w:val="none"/>
                <w:lang w:bidi="ar"/>
              </w:rPr>
            </w:pP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住户调查日常工作开展经费</w:t>
            </w:r>
          </w:p>
        </w:tc>
        <w:tc>
          <w:tcPr>
            <w:tcW w:w="34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32.8万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606" w:hRule="atLeast"/>
          <w:jc w:val="right"/>
        </w:trPr>
        <w:tc>
          <w:tcPr>
            <w:tcW w:w="1341"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效益指标</w:t>
            </w:r>
          </w:p>
        </w:tc>
        <w:tc>
          <w:tcPr>
            <w:tcW w:w="1453"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社会效益</w:t>
            </w: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全面调查我县可支配收入分布结构</w:t>
            </w:r>
          </w:p>
        </w:tc>
        <w:tc>
          <w:tcPr>
            <w:tcW w:w="3440" w:type="dxa"/>
            <w:tcBorders>
              <w:top w:val="single" w:color="auto" w:sz="4" w:space="0"/>
              <w:left w:val="single" w:color="auto" w:sz="4" w:space="0"/>
              <w:bottom w:val="single" w:color="auto" w:sz="4" w:space="0"/>
              <w:right w:val="single" w:color="000000" w:sz="8"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准确把握可支配收入发展变化的新情况，摸清我县可支配收入规模。</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465" w:hRule="atLeast"/>
          <w:jc w:val="right"/>
        </w:trPr>
        <w:tc>
          <w:tcPr>
            <w:tcW w:w="1341" w:type="dxa"/>
            <w:tcBorders>
              <w:top w:val="single" w:color="auto" w:sz="4" w:space="0"/>
              <w:left w:val="single" w:color="000000" w:sz="8" w:space="0"/>
              <w:bottom w:val="single" w:color="000000" w:sz="8" w:space="0"/>
              <w:right w:val="single" w:color="000000" w:sz="8"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满意度指标</w:t>
            </w:r>
          </w:p>
        </w:tc>
        <w:tc>
          <w:tcPr>
            <w:tcW w:w="1453" w:type="dxa"/>
            <w:tcBorders>
              <w:top w:val="single" w:color="auto" w:sz="4" w:space="0"/>
              <w:left w:val="nil"/>
              <w:bottom w:val="single" w:color="000000" w:sz="8"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服务对象满意度指标</w:t>
            </w:r>
          </w:p>
        </w:tc>
        <w:tc>
          <w:tcPr>
            <w:tcW w:w="288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上级部门满意度</w:t>
            </w:r>
          </w:p>
        </w:tc>
        <w:tc>
          <w:tcPr>
            <w:tcW w:w="3440" w:type="dxa"/>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widowControl w:val="0"/>
              <w:suppressLineNumbers w:val="0"/>
              <w:snapToGrid w:val="0"/>
              <w:spacing w:line="240" w:lineRule="auto"/>
              <w:ind w:firstLine="0" w:firstLineChars="0"/>
              <w:jc w:val="center"/>
              <w:textAlignment w:val="auto"/>
              <w:rPr>
                <w:rFonts w:hint="eastAsia" w:ascii="Times New Roman" w:hAnsi="Times New Roman" w:eastAsia="仿宋_GB2312" w:cs="Times New Roman"/>
                <w:i w:val="0"/>
                <w:iCs w:val="0"/>
                <w:color w:val="000000"/>
                <w:kern w:val="0"/>
                <w:sz w:val="21"/>
                <w:szCs w:val="21"/>
                <w:highlight w:val="none"/>
                <w:u w:val="none"/>
                <w:lang w:bidi="ar"/>
              </w:rPr>
            </w:pPr>
            <w:r>
              <w:rPr>
                <w:rFonts w:hint="eastAsia" w:ascii="Times New Roman" w:hAnsi="Times New Roman" w:eastAsia="仿宋_GB2312" w:cs="Times New Roman"/>
                <w:i w:val="0"/>
                <w:iCs w:val="0"/>
                <w:color w:val="000000"/>
                <w:kern w:val="0"/>
                <w:sz w:val="21"/>
                <w:szCs w:val="21"/>
                <w:highlight w:val="none"/>
                <w:u w:val="none"/>
                <w:lang w:val="en-US" w:eastAsia="zh-CN" w:bidi="ar"/>
              </w:rPr>
              <w:t>98%</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yellow"/>
          <w:lang w:val="en-US" w:eastAsia="zh-CN" w:bidi="ar"/>
        </w:rPr>
      </w:pPr>
      <w:r>
        <w:rPr>
          <w:rFonts w:hint="eastAsia" w:eastAsia="仿宋_GB2312" w:cs="Times New Roman"/>
          <w:color w:val="000000"/>
          <w:kern w:val="0"/>
          <w:sz w:val="32"/>
          <w:szCs w:val="32"/>
          <w:highlight w:val="none"/>
          <w:lang w:val="en-US" w:eastAsia="zh-CN" w:bidi="ar"/>
        </w:rPr>
        <w:t>综上所述，2022年住户调查项目</w:t>
      </w:r>
      <w:r>
        <w:rPr>
          <w:rFonts w:hint="eastAsia" w:eastAsia="仿宋_GB2312" w:cs="Times New Roman"/>
          <w:color w:val="auto"/>
          <w:kern w:val="0"/>
          <w:sz w:val="32"/>
          <w:szCs w:val="32"/>
          <w:highlight w:val="none"/>
          <w:shd w:val="clear" w:color="auto" w:fill="FFFFFF"/>
          <w:lang w:val="en-US" w:eastAsia="zh-CN" w:bidi="ar-SA"/>
        </w:rPr>
        <w:t>绩效目标设置完整，已细化量化，得10分</w:t>
      </w:r>
      <w:r>
        <w:rPr>
          <w:rFonts w:hint="eastAsia"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b/>
          <w:bCs/>
          <w:kern w:val="0"/>
          <w:sz w:val="32"/>
          <w:szCs w:val="32"/>
          <w:highlight w:val="none"/>
          <w:shd w:val="clear" w:color="auto" w:fill="FFFFFF"/>
          <w:lang w:val="en-US" w:eastAsia="zh-CN"/>
        </w:rPr>
        <w:t>——目标实现指标分析（权重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b/>
          <w:bCs/>
          <w:color w:val="auto"/>
          <w:kern w:val="0"/>
          <w:sz w:val="24"/>
          <w:szCs w:val="24"/>
          <w:highlight w:val="none"/>
          <w:lang w:val="en-US" w:eastAsia="zh-CN" w:bidi="ar"/>
        </w:rPr>
      </w:pPr>
      <w:r>
        <w:rPr>
          <w:rFonts w:hint="eastAsia" w:eastAsia="仿宋_GB2312" w:cs="Times New Roman"/>
          <w:color w:val="000000"/>
          <w:kern w:val="0"/>
          <w:sz w:val="32"/>
          <w:szCs w:val="32"/>
          <w:highlight w:val="none"/>
          <w:lang w:val="en-US" w:eastAsia="zh-CN" w:bidi="ar"/>
        </w:rPr>
        <w:t>2022年阿坝县统计局编制住户调查项目绩效目标共计3个，目标实现程度如下：</w:t>
      </w:r>
    </w:p>
    <w:p>
      <w:pPr>
        <w:pStyle w:val="24"/>
        <w:keepNext w:val="0"/>
        <w:keepLines w:val="0"/>
        <w:pageBreakBefore w:val="0"/>
        <w:widowControl w:val="0"/>
        <w:kinsoku/>
        <w:wordWrap/>
        <w:overflowPunct/>
        <w:topLinePunct w:val="0"/>
        <w:autoSpaceDE/>
        <w:autoSpaceDN/>
        <w:bidi w:val="0"/>
        <w:adjustRightInd/>
        <w:snapToGrid w:val="0"/>
        <w:spacing w:line="600" w:lineRule="exact"/>
        <w:jc w:val="center"/>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b/>
          <w:bCs/>
          <w:color w:val="auto"/>
          <w:kern w:val="0"/>
          <w:sz w:val="24"/>
          <w:szCs w:val="24"/>
          <w:highlight w:val="none"/>
          <w:lang w:val="en-US" w:eastAsia="zh-CN" w:bidi="ar"/>
        </w:rPr>
        <w:t>表9  2022年预算项目绩效目标</w:t>
      </w:r>
      <w:r>
        <w:rPr>
          <w:rFonts w:hint="default" w:ascii="Times New Roman" w:hAnsi="Times New Roman" w:eastAsia="仿宋_GB2312" w:cs="Times New Roman"/>
          <w:b/>
          <w:bCs/>
          <w:color w:val="auto"/>
          <w:kern w:val="0"/>
          <w:sz w:val="24"/>
          <w:szCs w:val="24"/>
          <w:highlight w:val="none"/>
          <w:lang w:val="en-US" w:eastAsia="zh-CN" w:bidi="ar"/>
        </w:rPr>
        <w:t>完成情况统计表</w:t>
      </w:r>
    </w:p>
    <w:tbl>
      <w:tblPr>
        <w:tblStyle w:val="40"/>
        <w:tblW w:w="4972" w:type="pct"/>
        <w:jc w:val="center"/>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autofit"/>
        <w:tblCellMar>
          <w:top w:w="0" w:type="dxa"/>
          <w:left w:w="108" w:type="dxa"/>
          <w:bottom w:w="0" w:type="dxa"/>
          <w:right w:w="108" w:type="dxa"/>
        </w:tblCellMar>
      </w:tblPr>
      <w:tblGrid>
        <w:gridCol w:w="706"/>
        <w:gridCol w:w="786"/>
        <w:gridCol w:w="1840"/>
        <w:gridCol w:w="2388"/>
        <w:gridCol w:w="2374"/>
        <w:gridCol w:w="858"/>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555" w:hRule="atLeast"/>
          <w:tblHeader/>
          <w:jc w:val="center"/>
        </w:trPr>
        <w:tc>
          <w:tcPr>
            <w:tcW w:w="394" w:type="pct"/>
            <w:tcBorders>
              <w:top w:val="single" w:color="000000" w:sz="4" w:space="0"/>
              <w:left w:val="single" w:color="auto" w:sz="4" w:space="0"/>
              <w:bottom w:val="single" w:color="auto" w:sz="4" w:space="0"/>
              <w:right w:val="single" w:color="000000" w:sz="4" w:space="0"/>
            </w:tcBorders>
            <w:shd w:val="clear" w:color="auto" w:fill="BEBEBE" w:themeFill="background1" w:themeFillShade="BF"/>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1"/>
                <w:szCs w:val="21"/>
                <w:highlight w:val="none"/>
                <w:lang w:val="en-US" w:eastAsia="zh-CN" w:bidi="ar"/>
              </w:rPr>
            </w:pPr>
            <w:r>
              <w:rPr>
                <w:rFonts w:hint="eastAsia" w:eastAsia="仿宋_GB2312" w:cs="Times New Roman"/>
                <w:b/>
                <w:bCs/>
                <w:color w:val="000000"/>
                <w:kern w:val="0"/>
                <w:sz w:val="21"/>
                <w:szCs w:val="21"/>
                <w:highlight w:val="none"/>
                <w:lang w:val="en-US" w:eastAsia="zh-CN" w:bidi="ar"/>
              </w:rPr>
              <w:t>序号</w:t>
            </w:r>
          </w:p>
        </w:tc>
        <w:tc>
          <w:tcPr>
            <w:tcW w:w="439" w:type="pct"/>
            <w:tcBorders>
              <w:top w:val="single" w:color="000000" w:sz="4" w:space="0"/>
              <w:left w:val="single" w:color="auto" w:sz="4" w:space="0"/>
              <w:bottom w:val="single" w:color="auto" w:sz="4" w:space="0"/>
              <w:right w:val="single" w:color="000000" w:sz="4" w:space="0"/>
            </w:tcBorders>
            <w:shd w:val="clear" w:color="auto" w:fill="BEBEBE" w:themeFill="background1" w:themeFillShade="BF"/>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1"/>
                <w:szCs w:val="21"/>
                <w:highlight w:val="none"/>
                <w:lang w:val="en-US" w:eastAsia="zh-CN" w:bidi="ar"/>
              </w:rPr>
            </w:pPr>
            <w:r>
              <w:rPr>
                <w:rFonts w:hint="eastAsia" w:ascii="Times New Roman" w:hAnsi="Times New Roman" w:eastAsia="仿宋_GB2312" w:cs="Times New Roman"/>
                <w:b/>
                <w:bCs/>
                <w:color w:val="000000"/>
                <w:kern w:val="0"/>
                <w:sz w:val="21"/>
                <w:szCs w:val="21"/>
                <w:highlight w:val="none"/>
                <w:lang w:val="en-US" w:eastAsia="zh-CN" w:bidi="ar"/>
              </w:rPr>
              <w:t>项目名称</w:t>
            </w:r>
          </w:p>
        </w:tc>
        <w:tc>
          <w:tcPr>
            <w:tcW w:w="1027" w:type="pct"/>
            <w:tcBorders>
              <w:top w:val="single" w:color="000000" w:sz="4" w:space="0"/>
              <w:left w:val="single" w:color="000000" w:sz="4" w:space="0"/>
              <w:bottom w:val="single" w:color="auto" w:sz="4" w:space="0"/>
              <w:right w:val="single" w:color="000000" w:sz="4" w:space="0"/>
            </w:tcBorders>
            <w:shd w:val="clear" w:color="auto" w:fill="BEBEBE" w:themeFill="background1" w:themeFillShade="BF"/>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1"/>
                <w:szCs w:val="21"/>
                <w:highlight w:val="none"/>
                <w:lang w:val="en-US" w:eastAsia="zh-CN" w:bidi="ar"/>
              </w:rPr>
            </w:pPr>
            <w:r>
              <w:rPr>
                <w:rFonts w:hint="eastAsia" w:ascii="Times New Roman" w:hAnsi="Times New Roman" w:eastAsia="仿宋_GB2312" w:cs="Times New Roman"/>
                <w:b/>
                <w:bCs/>
                <w:color w:val="000000"/>
                <w:kern w:val="0"/>
                <w:sz w:val="21"/>
                <w:szCs w:val="21"/>
                <w:highlight w:val="none"/>
                <w:lang w:val="en-US" w:eastAsia="zh-CN" w:bidi="ar"/>
              </w:rPr>
              <w:t>绩效目标名称</w:t>
            </w:r>
          </w:p>
        </w:tc>
        <w:tc>
          <w:tcPr>
            <w:tcW w:w="1333"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1"/>
                <w:szCs w:val="21"/>
                <w:highlight w:val="none"/>
                <w:lang w:val="en-US" w:eastAsia="zh-CN" w:bidi="ar"/>
              </w:rPr>
            </w:pPr>
            <w:r>
              <w:rPr>
                <w:rFonts w:hint="eastAsia" w:ascii="Times New Roman" w:hAnsi="Times New Roman" w:eastAsia="仿宋_GB2312" w:cs="Times New Roman"/>
                <w:b/>
                <w:bCs/>
                <w:color w:val="000000"/>
                <w:kern w:val="0"/>
                <w:sz w:val="21"/>
                <w:szCs w:val="21"/>
                <w:highlight w:val="none"/>
                <w:lang w:val="en-US" w:eastAsia="zh-CN" w:bidi="ar"/>
              </w:rPr>
              <w:t>指标值</w:t>
            </w:r>
          </w:p>
        </w:tc>
        <w:tc>
          <w:tcPr>
            <w:tcW w:w="1325"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1"/>
                <w:szCs w:val="21"/>
                <w:highlight w:val="none"/>
                <w:lang w:val="en-US" w:eastAsia="zh-CN" w:bidi="ar"/>
              </w:rPr>
            </w:pPr>
            <w:r>
              <w:rPr>
                <w:rFonts w:hint="eastAsia" w:ascii="Times New Roman" w:hAnsi="Times New Roman" w:eastAsia="仿宋_GB2312" w:cs="Times New Roman"/>
                <w:b/>
                <w:bCs/>
                <w:color w:val="000000"/>
                <w:kern w:val="0"/>
                <w:sz w:val="21"/>
                <w:szCs w:val="21"/>
                <w:highlight w:val="none"/>
                <w:lang w:val="en-US" w:eastAsia="zh-CN" w:bidi="ar"/>
              </w:rPr>
              <w:t>实际完成绩效目标</w:t>
            </w:r>
          </w:p>
        </w:tc>
        <w:tc>
          <w:tcPr>
            <w:tcW w:w="479" w:type="pct"/>
            <w:tcBorders>
              <w:top w:val="single" w:color="000000" w:sz="4" w:space="0"/>
              <w:left w:val="single" w:color="000000" w:sz="4" w:space="0"/>
              <w:bottom w:val="single" w:color="000000" w:sz="4" w:space="0"/>
              <w:right w:val="single" w:color="000000" w:sz="4" w:space="0"/>
            </w:tcBorders>
            <w:shd w:val="clear" w:color="auto" w:fill="BEBEBE" w:themeFill="background1" w:themeFillShade="BF"/>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21"/>
                <w:szCs w:val="21"/>
                <w:highlight w:val="none"/>
                <w:lang w:val="en-US" w:eastAsia="zh-CN" w:bidi="ar"/>
              </w:rPr>
            </w:pPr>
            <w:r>
              <w:rPr>
                <w:rFonts w:hint="eastAsia" w:ascii="Times New Roman" w:hAnsi="Times New Roman" w:eastAsia="仿宋_GB2312" w:cs="Times New Roman"/>
                <w:b/>
                <w:bCs/>
                <w:color w:val="000000"/>
                <w:kern w:val="0"/>
                <w:sz w:val="21"/>
                <w:szCs w:val="21"/>
                <w:highlight w:val="none"/>
                <w:lang w:val="en-US" w:eastAsia="zh-CN" w:bidi="ar"/>
              </w:rPr>
              <w:t>目标实现率</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513" w:hRule="atLeast"/>
          <w:jc w:val="center"/>
        </w:trPr>
        <w:tc>
          <w:tcPr>
            <w:tcW w:w="3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eastAsia" w:eastAsia="仿宋_GB2312" w:cs="Times New Roman"/>
                <w:b w:val="0"/>
                <w:bCs w:val="0"/>
                <w:color w:val="000000"/>
                <w:kern w:val="0"/>
                <w:sz w:val="21"/>
                <w:szCs w:val="21"/>
                <w:highlight w:val="none"/>
                <w:lang w:val="en-US" w:eastAsia="zh-CN" w:bidi="ar"/>
              </w:rPr>
              <w:t>1</w:t>
            </w:r>
          </w:p>
        </w:tc>
        <w:tc>
          <w:tcPr>
            <w:tcW w:w="439" w:type="pct"/>
            <w:vMerge w:val="restar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default" w:ascii="Times New Roman" w:hAnsi="Times New Roman" w:eastAsia="仿宋_GB2312" w:cs="Times New Roman"/>
                <w:b w:val="0"/>
                <w:bCs w:val="0"/>
                <w:color w:val="000000"/>
                <w:kern w:val="0"/>
                <w:sz w:val="21"/>
                <w:szCs w:val="21"/>
                <w:highlight w:val="none"/>
                <w:lang w:val="en-US" w:eastAsia="zh-CN" w:bidi="ar"/>
              </w:rPr>
              <w:t>住户调查项目</w:t>
            </w:r>
          </w:p>
        </w:tc>
        <w:tc>
          <w:tcPr>
            <w:tcW w:w="102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住户调查培训</w:t>
            </w:r>
          </w:p>
        </w:tc>
        <w:tc>
          <w:tcPr>
            <w:tcW w:w="1333" w:type="pct"/>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预计全年开展</w:t>
            </w:r>
            <w:r>
              <w:rPr>
                <w:rFonts w:hint="default" w:ascii="Times New Roman" w:hAnsi="Times New Roman" w:eastAsia="仿宋_GB2312" w:cs="Times New Roman"/>
                <w:i w:val="0"/>
                <w:iCs w:val="0"/>
                <w:color w:val="000000"/>
                <w:kern w:val="0"/>
                <w:sz w:val="21"/>
                <w:szCs w:val="21"/>
                <w:u w:val="none"/>
                <w:lang w:val="en-US" w:eastAsia="zh-CN" w:bidi="ar"/>
              </w:rPr>
              <w:t>2</w:t>
            </w:r>
            <w:r>
              <w:rPr>
                <w:rFonts w:hint="eastAsia" w:ascii="仿宋_GB2312" w:hAnsi="宋体" w:eastAsia="仿宋_GB2312" w:cs="仿宋_GB2312"/>
                <w:i w:val="0"/>
                <w:iCs w:val="0"/>
                <w:color w:val="000000"/>
                <w:kern w:val="0"/>
                <w:sz w:val="21"/>
                <w:szCs w:val="21"/>
                <w:u w:val="none"/>
                <w:lang w:val="en-US" w:eastAsia="zh-CN" w:bidi="ar"/>
              </w:rPr>
              <w:t>次</w:t>
            </w:r>
          </w:p>
        </w:tc>
        <w:tc>
          <w:tcPr>
            <w:tcW w:w="13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firstLine="420" w:firstLineChars="20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default" w:ascii="Times New Roman" w:hAnsi="Times New Roman" w:eastAsia="宋体" w:cs="Times New Roman"/>
                <w:i w:val="0"/>
                <w:iCs w:val="0"/>
                <w:color w:val="000000"/>
                <w:kern w:val="0"/>
                <w:sz w:val="21"/>
                <w:szCs w:val="21"/>
                <w:u w:val="none"/>
                <w:lang w:val="en-US" w:eastAsia="zh-CN" w:bidi="ar"/>
              </w:rPr>
              <w:t>2</w:t>
            </w:r>
            <w:r>
              <w:rPr>
                <w:rFonts w:hint="eastAsia" w:ascii="仿宋_GB2312" w:hAnsi="Times New Roman" w:eastAsia="仿宋_GB2312" w:cs="仿宋_GB2312"/>
                <w:i w:val="0"/>
                <w:iCs w:val="0"/>
                <w:color w:val="000000"/>
                <w:kern w:val="0"/>
                <w:sz w:val="21"/>
                <w:szCs w:val="21"/>
                <w:u w:val="none"/>
                <w:lang w:val="en-US" w:eastAsia="zh-CN" w:bidi="ar"/>
              </w:rPr>
              <w:t>次</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eastAsia" w:ascii="Times New Roman" w:hAnsi="Times New Roman" w:eastAsia="仿宋_GB2312" w:cs="Times New Roman"/>
                <w:b w:val="0"/>
                <w:bCs w:val="0"/>
                <w:color w:val="000000"/>
                <w:kern w:val="0"/>
                <w:sz w:val="21"/>
                <w:szCs w:val="21"/>
                <w:highlight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939" w:hRule="atLeast"/>
          <w:jc w:val="center"/>
        </w:trPr>
        <w:tc>
          <w:tcPr>
            <w:tcW w:w="3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eastAsia" w:eastAsia="仿宋_GB2312" w:cs="Times New Roman"/>
                <w:b w:val="0"/>
                <w:bCs w:val="0"/>
                <w:color w:val="000000"/>
                <w:kern w:val="0"/>
                <w:sz w:val="21"/>
                <w:szCs w:val="21"/>
                <w:highlight w:val="none"/>
                <w:lang w:val="en-US" w:eastAsia="zh-CN" w:bidi="ar"/>
              </w:rPr>
              <w:t>2</w:t>
            </w:r>
          </w:p>
        </w:tc>
        <w:tc>
          <w:tcPr>
            <w:tcW w:w="439"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p>
        </w:tc>
        <w:tc>
          <w:tcPr>
            <w:tcW w:w="102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住户调查各类资料、宣传手册发放</w:t>
            </w:r>
          </w:p>
        </w:tc>
        <w:tc>
          <w:tcPr>
            <w:tcW w:w="1333" w:type="pct"/>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覆盖全县6镇5乡</w:t>
            </w:r>
          </w:p>
        </w:tc>
        <w:tc>
          <w:tcPr>
            <w:tcW w:w="13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覆盖全县6镇5乡</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Times New Roman" w:hAnsi="Times New Roman" w:eastAsia="仿宋_GB2312" w:cs="Times New Roman"/>
                <w:b w:val="0"/>
                <w:bCs w:val="0"/>
                <w:color w:val="000000"/>
                <w:kern w:val="0"/>
                <w:sz w:val="21"/>
                <w:szCs w:val="21"/>
                <w:highlight w:val="none"/>
                <w:lang w:val="en-US" w:eastAsia="zh-CN" w:bidi="ar"/>
              </w:rPr>
              <w:t>100%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746" w:hRule="atLeast"/>
          <w:jc w:val="center"/>
        </w:trPr>
        <w:tc>
          <w:tcPr>
            <w:tcW w:w="394" w:type="pct"/>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r>
              <w:rPr>
                <w:rFonts w:hint="eastAsia" w:eastAsia="仿宋_GB2312" w:cs="Times New Roman"/>
                <w:b w:val="0"/>
                <w:bCs w:val="0"/>
                <w:color w:val="000000"/>
                <w:kern w:val="0"/>
                <w:sz w:val="21"/>
                <w:szCs w:val="21"/>
                <w:highlight w:val="none"/>
                <w:lang w:val="en-US" w:eastAsia="zh-CN" w:bidi="ar"/>
              </w:rPr>
              <w:t>3</w:t>
            </w:r>
          </w:p>
        </w:tc>
        <w:tc>
          <w:tcPr>
            <w:tcW w:w="439" w:type="pct"/>
            <w:vMerge w:val="continue"/>
            <w:tcBorders>
              <w:top w:val="single" w:color="auto" w:sz="4" w:space="0"/>
              <w:left w:val="single" w:color="auto" w:sz="4" w:space="0"/>
              <w:bottom w:val="single" w:color="auto" w:sz="4" w:space="0"/>
              <w:right w:val="single" w:color="auto"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val="0"/>
                <w:bCs w:val="0"/>
                <w:color w:val="000000"/>
                <w:kern w:val="0"/>
                <w:sz w:val="21"/>
                <w:szCs w:val="21"/>
                <w:highlight w:val="none"/>
                <w:lang w:val="en-US" w:eastAsia="zh-CN" w:bidi="ar"/>
              </w:rPr>
            </w:pPr>
          </w:p>
        </w:tc>
        <w:tc>
          <w:tcPr>
            <w:tcW w:w="1027" w:type="pct"/>
            <w:tcBorders>
              <w:top w:val="single" w:color="auto" w:sz="4" w:space="0"/>
              <w:left w:val="single" w:color="auto" w:sz="4" w:space="0"/>
              <w:bottom w:val="single" w:color="auto" w:sz="4" w:space="0"/>
              <w:right w:val="single" w:color="auto"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全面调查可支配收入结构的分布</w:t>
            </w:r>
          </w:p>
        </w:tc>
        <w:tc>
          <w:tcPr>
            <w:tcW w:w="1333" w:type="pct"/>
            <w:tcBorders>
              <w:top w:val="single" w:color="000000" w:sz="4" w:space="0"/>
              <w:left w:val="single" w:color="auto" w:sz="4" w:space="0"/>
              <w:bottom w:val="single" w:color="000000" w:sz="4" w:space="0"/>
              <w:right w:val="single" w:color="000000"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覆盖阿坝县所有调查户</w:t>
            </w:r>
          </w:p>
        </w:tc>
        <w:tc>
          <w:tcPr>
            <w:tcW w:w="1325" w:type="pct"/>
            <w:tcBorders>
              <w:top w:val="single" w:color="000000" w:sz="4" w:space="0"/>
              <w:left w:val="single" w:color="000000" w:sz="4" w:space="0"/>
              <w:bottom w:val="single" w:color="000000" w:sz="4" w:space="0"/>
              <w:right w:val="single" w:color="000000" w:sz="4" w:space="0"/>
            </w:tcBorders>
            <w:shd w:val="clear" w:color="auto" w:fill="auto"/>
            <w:vAlign w:val="center"/>
          </w:tcPr>
          <w:p>
            <w:pPr>
              <w:keepNext w:val="0"/>
              <w:keepLines w:val="0"/>
              <w:widowControl/>
              <w:suppressLineNumbers w:val="0"/>
              <w:ind w:firstLine="0" w:firstLineChars="0"/>
              <w:jc w:val="center"/>
              <w:textAlignment w:val="center"/>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仿宋_GB2312" w:hAnsi="宋体" w:eastAsia="仿宋_GB2312" w:cs="仿宋_GB2312"/>
                <w:i w:val="0"/>
                <w:iCs w:val="0"/>
                <w:color w:val="000000"/>
                <w:kern w:val="0"/>
                <w:sz w:val="21"/>
                <w:szCs w:val="21"/>
                <w:u w:val="none"/>
                <w:lang w:val="en-US" w:eastAsia="zh-CN" w:bidi="ar"/>
              </w:rPr>
              <w:t>覆盖阿坝县所有调查户</w:t>
            </w:r>
          </w:p>
        </w:tc>
        <w:tc>
          <w:tcPr>
            <w:tcW w:w="479" w:type="pct"/>
            <w:tcBorders>
              <w:top w:val="single" w:color="000000" w:sz="4" w:space="0"/>
              <w:left w:val="single" w:color="000000" w:sz="4" w:space="0"/>
              <w:bottom w:val="single" w:color="000000" w:sz="4" w:space="0"/>
              <w:right w:val="single" w:color="000000" w:sz="4" w:space="0"/>
            </w:tcBorders>
            <w:shd w:val="clear" w:color="auto" w:fill="auto"/>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val="0"/>
                <w:bCs w:val="0"/>
                <w:color w:val="000000"/>
                <w:kern w:val="0"/>
                <w:sz w:val="21"/>
                <w:szCs w:val="21"/>
                <w:highlight w:val="none"/>
                <w:lang w:val="en-US" w:eastAsia="zh-CN" w:bidi="ar"/>
              </w:rPr>
            </w:pPr>
            <w:r>
              <w:rPr>
                <w:rFonts w:hint="eastAsia" w:ascii="Times New Roman" w:hAnsi="Times New Roman" w:eastAsia="仿宋_GB2312" w:cs="Times New Roman"/>
                <w:b w:val="0"/>
                <w:bCs w:val="0"/>
                <w:color w:val="000000"/>
                <w:kern w:val="0"/>
                <w:sz w:val="21"/>
                <w:szCs w:val="21"/>
                <w:highlight w:val="none"/>
                <w:lang w:val="en-US" w:eastAsia="zh-CN" w:bidi="ar"/>
              </w:rPr>
              <w:t>100%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综上，</w:t>
      </w:r>
      <w:r>
        <w:rPr>
          <w:rFonts w:hint="eastAsia" w:eastAsia="仿宋_GB2312" w:cs="Times New Roman"/>
          <w:color w:val="000000"/>
          <w:kern w:val="0"/>
          <w:sz w:val="32"/>
          <w:szCs w:val="32"/>
          <w:highlight w:val="none"/>
          <w:lang w:val="en-US" w:eastAsia="zh-CN" w:bidi="ar"/>
        </w:rPr>
        <w:t>阿坝县统计局2022年</w:t>
      </w:r>
      <w:r>
        <w:rPr>
          <w:rFonts w:hint="default" w:ascii="Times New Roman" w:hAnsi="Times New Roman" w:eastAsia="仿宋_GB2312" w:cs="Times New Roman"/>
          <w:color w:val="000000"/>
          <w:kern w:val="0"/>
          <w:sz w:val="32"/>
          <w:szCs w:val="32"/>
          <w:highlight w:val="none"/>
          <w:lang w:val="en-US" w:eastAsia="zh-CN" w:bidi="ar"/>
        </w:rPr>
        <w:t>编制的绩效目标评价实现率为100%，共</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个绩效</w:t>
      </w:r>
      <w:r>
        <w:rPr>
          <w:rFonts w:hint="default" w:ascii="Times New Roman" w:hAnsi="Times New Roman" w:eastAsia="仿宋_GB2312" w:cs="Times New Roman"/>
          <w:color w:val="auto"/>
          <w:kern w:val="0"/>
          <w:sz w:val="32"/>
          <w:szCs w:val="32"/>
          <w:highlight w:val="none"/>
          <w:shd w:val="clear" w:color="auto" w:fill="FFFFFF"/>
          <w:lang w:val="en-US" w:eastAsia="zh-CN" w:bidi="ar-SA"/>
        </w:rPr>
        <w:t>目标</w:t>
      </w:r>
      <w:r>
        <w:rPr>
          <w:rFonts w:hint="default" w:ascii="Times New Roman" w:hAnsi="Times New Roman" w:eastAsia="仿宋_GB2312" w:cs="Times New Roman"/>
          <w:color w:val="000000"/>
          <w:kern w:val="0"/>
          <w:sz w:val="32"/>
          <w:szCs w:val="32"/>
          <w:highlight w:val="none"/>
          <w:lang w:val="en-US" w:eastAsia="zh-CN" w:bidi="ar"/>
        </w:rPr>
        <w:t>达到预期值。该项指标得分=达到预期值的数量指标个数/全部数量指标个数（即评价选取的项目绩效目标包含的所有数量指标）*</w:t>
      </w:r>
      <w:r>
        <w:rPr>
          <w:rFonts w:hint="eastAsia" w:eastAsia="仿宋_GB2312" w:cs="Times New Roman"/>
          <w:color w:val="000000"/>
          <w:kern w:val="0"/>
          <w:sz w:val="32"/>
          <w:szCs w:val="32"/>
          <w:highlight w:val="none"/>
          <w:lang w:val="en-US" w:eastAsia="zh-CN" w:bidi="ar"/>
        </w:rPr>
        <w:t>10</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个/</w:t>
      </w:r>
      <w:r>
        <w:rPr>
          <w:rFonts w:hint="eastAsia" w:eastAsia="仿宋_GB2312" w:cs="Times New Roman"/>
          <w:color w:val="000000"/>
          <w:kern w:val="0"/>
          <w:sz w:val="32"/>
          <w:szCs w:val="32"/>
          <w:highlight w:val="none"/>
          <w:lang w:val="en-US" w:eastAsia="zh-CN" w:bidi="ar"/>
        </w:rPr>
        <w:t>3</w:t>
      </w:r>
      <w:r>
        <w:rPr>
          <w:rFonts w:hint="default" w:ascii="Times New Roman" w:hAnsi="Times New Roman" w:eastAsia="仿宋_GB2312" w:cs="Times New Roman"/>
          <w:color w:val="000000"/>
          <w:kern w:val="0"/>
          <w:sz w:val="32"/>
          <w:szCs w:val="32"/>
          <w:highlight w:val="none"/>
          <w:lang w:val="en-US" w:eastAsia="zh-CN" w:bidi="ar"/>
        </w:rPr>
        <w:t>个*</w:t>
      </w:r>
      <w:r>
        <w:rPr>
          <w:rFonts w:hint="eastAsia" w:eastAsia="仿宋_GB2312" w:cs="Times New Roman"/>
          <w:color w:val="000000"/>
          <w:kern w:val="0"/>
          <w:sz w:val="32"/>
          <w:szCs w:val="32"/>
          <w:highlight w:val="none"/>
          <w:lang w:val="en-US" w:eastAsia="zh-CN" w:bidi="ar"/>
        </w:rPr>
        <w:t>10</w:t>
      </w:r>
      <w:r>
        <w:rPr>
          <w:rFonts w:hint="default" w:ascii="Times New Roman" w:hAnsi="Times New Roman" w:eastAsia="仿宋_GB2312" w:cs="Times New Roman"/>
          <w:color w:val="000000"/>
          <w:kern w:val="0"/>
          <w:sz w:val="32"/>
          <w:szCs w:val="32"/>
          <w:highlight w:val="none"/>
          <w:lang w:val="en-US" w:eastAsia="zh-CN" w:bidi="ar"/>
        </w:rPr>
        <w:t>分=</w:t>
      </w:r>
      <w:r>
        <w:rPr>
          <w:rFonts w:hint="eastAsia" w:eastAsia="仿宋_GB2312" w:cs="Times New Roman"/>
          <w:color w:val="000000"/>
          <w:kern w:val="0"/>
          <w:sz w:val="32"/>
          <w:szCs w:val="32"/>
          <w:highlight w:val="none"/>
          <w:lang w:val="en-US" w:eastAsia="zh-CN" w:bidi="ar"/>
        </w:rPr>
        <w:t>10</w:t>
      </w:r>
      <w:r>
        <w:rPr>
          <w:rFonts w:hint="default"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shd w:val="clear" w:color="auto" w:fill="FFFFFF"/>
          <w:lang w:val="en-US" w:eastAsia="zh-CN"/>
        </w:rPr>
      </w:pPr>
      <w:r>
        <w:rPr>
          <w:rFonts w:hint="default" w:ascii="Times New Roman" w:hAnsi="Times New Roman" w:eastAsia="仿宋_GB2312" w:cs="Times New Roman"/>
          <w:b/>
          <w:bCs/>
          <w:kern w:val="0"/>
          <w:sz w:val="32"/>
          <w:szCs w:val="32"/>
          <w:shd w:val="clear" w:color="auto" w:fill="FFFFFF"/>
          <w:lang w:val="en-US" w:eastAsia="zh-CN"/>
        </w:rPr>
        <w:t>（2）</w:t>
      </w:r>
      <w:r>
        <w:rPr>
          <w:rFonts w:hint="eastAsia" w:eastAsia="仿宋_GB2312" w:cs="Times New Roman"/>
          <w:b/>
          <w:bCs/>
          <w:kern w:val="0"/>
          <w:sz w:val="32"/>
          <w:szCs w:val="32"/>
          <w:shd w:val="clear" w:color="auto" w:fill="FFFFFF"/>
          <w:lang w:val="en-US" w:eastAsia="zh-CN"/>
        </w:rPr>
        <w:t>预算执行</w:t>
      </w:r>
      <w:r>
        <w:rPr>
          <w:rFonts w:hint="default" w:ascii="Times New Roman" w:hAnsi="Times New Roman" w:eastAsia="仿宋_GB2312" w:cs="Times New Roman"/>
          <w:b/>
          <w:bCs/>
          <w:kern w:val="0"/>
          <w:sz w:val="32"/>
          <w:szCs w:val="32"/>
          <w:shd w:val="clear" w:color="auto" w:fill="FFFFFF"/>
          <w:lang w:val="en-US" w:eastAsia="zh-CN"/>
        </w:rPr>
        <w:t>情况</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highlight w:val="none"/>
          <w:shd w:val="clear" w:color="auto" w:fill="FFFFFF"/>
        </w:rPr>
      </w:pPr>
      <w:r>
        <w:rPr>
          <w:rFonts w:hint="default" w:ascii="Times New Roman" w:hAnsi="Times New Roman" w:eastAsia="仿宋_GB2312" w:cs="Times New Roman"/>
          <w:b/>
          <w:bCs/>
          <w:kern w:val="0"/>
          <w:sz w:val="32"/>
          <w:szCs w:val="32"/>
          <w:highlight w:val="none"/>
          <w:shd w:val="clear" w:color="auto" w:fill="FFFFFF"/>
          <w:lang w:val="en-US" w:eastAsia="zh-CN"/>
        </w:rPr>
        <w:t>——支出控制指标分析（权重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分，评价权重得分0分）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color w:val="000000"/>
          <w:kern w:val="0"/>
          <w:sz w:val="32"/>
          <w:szCs w:val="32"/>
          <w:highlight w:val="none"/>
          <w:lang w:val="en-US" w:eastAsia="zh-CN" w:bidi="ar"/>
        </w:rPr>
        <w:t>被评价单位</w:t>
      </w:r>
      <w:r>
        <w:rPr>
          <w:rFonts w:hint="eastAsia" w:eastAsia="仿宋_GB2312" w:cs="Times New Roman"/>
          <w:color w:val="000000"/>
          <w:kern w:val="0"/>
          <w:sz w:val="32"/>
          <w:szCs w:val="32"/>
          <w:highlight w:val="none"/>
          <w:lang w:val="en-US" w:eastAsia="zh-CN" w:bidi="ar"/>
        </w:rPr>
        <w:t>2022年</w:t>
      </w:r>
      <w:r>
        <w:rPr>
          <w:rFonts w:hint="eastAsia" w:ascii="Times New Roman" w:hAnsi="Times New Roman" w:eastAsia="仿宋_GB2312" w:cs="Times New Roman"/>
          <w:color w:val="000000"/>
          <w:kern w:val="0"/>
          <w:sz w:val="32"/>
          <w:szCs w:val="32"/>
          <w:highlight w:val="none"/>
          <w:lang w:val="en-US" w:eastAsia="zh-CN" w:bidi="ar"/>
        </w:rPr>
        <w:t>预算报表记载，部门日常公用经费、项目支出中的</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办公费、</w:t>
      </w:r>
      <w:r>
        <w:rPr>
          <w:rFonts w:hint="default" w:ascii="Times New Roman" w:hAnsi="Times New Roman" w:eastAsia="仿宋_GB2312" w:cs="Times New Roman"/>
          <w:color w:val="auto"/>
          <w:kern w:val="0"/>
          <w:sz w:val="32"/>
          <w:szCs w:val="32"/>
          <w:highlight w:val="none"/>
          <w:shd w:val="clear" w:color="auto" w:fill="FFFFFF"/>
          <w:lang w:val="en-US" w:eastAsia="zh-CN" w:bidi="ar-SA"/>
        </w:rPr>
        <w:t>印刷费</w:t>
      </w:r>
      <w:r>
        <w:rPr>
          <w:rFonts w:hint="default" w:ascii="Times New Roman" w:hAnsi="Times New Roman" w:eastAsia="仿宋_GB2312" w:cs="Times New Roman"/>
          <w:color w:val="000000"/>
          <w:kern w:val="0"/>
          <w:sz w:val="32"/>
          <w:szCs w:val="32"/>
          <w:highlight w:val="none"/>
          <w:lang w:val="en-US" w:eastAsia="zh-CN" w:bidi="ar"/>
        </w:rPr>
        <w:t>、水费、电费、物业管理费</w:t>
      </w:r>
      <w:r>
        <w:rPr>
          <w:rFonts w:hint="eastAsia" w:eastAsia="仿宋_GB2312" w:cs="Times New Roman"/>
          <w:color w:val="000000"/>
          <w:kern w:val="0"/>
          <w:sz w:val="32"/>
          <w:szCs w:val="32"/>
          <w:highlight w:val="none"/>
          <w:lang w:val="en-US" w:eastAsia="zh-CN" w:bidi="ar"/>
        </w:rPr>
        <w:t>”</w:t>
      </w:r>
      <w:r>
        <w:rPr>
          <w:rFonts w:hint="eastAsia" w:ascii="Times New Roman" w:hAnsi="Times New Roman" w:eastAsia="仿宋_GB2312" w:cs="Times New Roman"/>
          <w:color w:val="000000"/>
          <w:kern w:val="0"/>
          <w:sz w:val="32"/>
          <w:szCs w:val="32"/>
          <w:highlight w:val="none"/>
          <w:lang w:val="en-US" w:eastAsia="zh-CN" w:bidi="ar"/>
        </w:rPr>
        <w:t>年初预算共</w:t>
      </w:r>
      <w:r>
        <w:rPr>
          <w:rFonts w:hint="eastAsia" w:eastAsia="仿宋_GB2312" w:cs="Times New Roman"/>
          <w:color w:val="000000"/>
          <w:kern w:val="0"/>
          <w:sz w:val="32"/>
          <w:szCs w:val="32"/>
          <w:highlight w:val="none"/>
          <w:lang w:val="en-US" w:eastAsia="zh-CN" w:bidi="ar"/>
        </w:rPr>
        <w:t>8.28</w:t>
      </w:r>
      <w:r>
        <w:rPr>
          <w:rFonts w:hint="eastAsia" w:ascii="Times New Roman" w:hAnsi="Times New Roman" w:eastAsia="仿宋_GB2312" w:cs="Times New Roman"/>
          <w:color w:val="000000"/>
          <w:kern w:val="0"/>
          <w:sz w:val="32"/>
          <w:szCs w:val="32"/>
          <w:highlight w:val="none"/>
          <w:lang w:val="en-US" w:eastAsia="zh-CN" w:bidi="ar"/>
        </w:rPr>
        <w:t>万元（其中部门日常公用经费涉及</w:t>
      </w:r>
      <w:r>
        <w:rPr>
          <w:rFonts w:hint="eastAsia" w:eastAsia="仿宋_GB2312" w:cs="Times New Roman"/>
          <w:color w:val="000000"/>
          <w:kern w:val="0"/>
          <w:sz w:val="32"/>
          <w:szCs w:val="32"/>
          <w:highlight w:val="none"/>
          <w:lang w:val="en-US" w:eastAsia="zh-CN" w:bidi="ar"/>
        </w:rPr>
        <w:t>8.28</w:t>
      </w:r>
      <w:r>
        <w:rPr>
          <w:rFonts w:hint="eastAsia" w:ascii="Times New Roman" w:hAnsi="Times New Roman" w:eastAsia="仿宋_GB2312" w:cs="Times New Roman"/>
          <w:color w:val="000000"/>
          <w:kern w:val="0"/>
          <w:sz w:val="32"/>
          <w:szCs w:val="32"/>
          <w:highlight w:val="none"/>
          <w:lang w:val="en-US" w:eastAsia="zh-CN" w:bidi="ar"/>
        </w:rPr>
        <w:t>万元，项目支出涉及</w:t>
      </w:r>
      <w:r>
        <w:rPr>
          <w:rFonts w:hint="eastAsia" w:eastAsia="仿宋_GB2312" w:cs="Times New Roman"/>
          <w:color w:val="000000"/>
          <w:kern w:val="0"/>
          <w:sz w:val="32"/>
          <w:szCs w:val="32"/>
          <w:highlight w:val="none"/>
          <w:lang w:val="en-US" w:eastAsia="zh-CN" w:bidi="ar"/>
        </w:rPr>
        <w:t>0.00</w:t>
      </w:r>
      <w:r>
        <w:rPr>
          <w:rFonts w:hint="eastAsia" w:ascii="Times New Roman" w:hAnsi="Times New Roman" w:eastAsia="仿宋_GB2312" w:cs="Times New Roman"/>
          <w:color w:val="000000"/>
          <w:kern w:val="0"/>
          <w:sz w:val="32"/>
          <w:szCs w:val="32"/>
          <w:highlight w:val="none"/>
          <w:lang w:val="en-US" w:eastAsia="zh-CN" w:bidi="ar"/>
        </w:rPr>
        <w:t>万元），</w:t>
      </w:r>
      <w:r>
        <w:rPr>
          <w:rFonts w:hint="eastAsia" w:eastAsia="仿宋_GB2312" w:cs="Times New Roman"/>
          <w:color w:val="000000"/>
          <w:kern w:val="0"/>
          <w:sz w:val="32"/>
          <w:szCs w:val="32"/>
          <w:highlight w:val="none"/>
          <w:lang w:val="en-US" w:eastAsia="zh-CN" w:bidi="ar"/>
        </w:rPr>
        <w:t>2022年</w:t>
      </w:r>
      <w:r>
        <w:rPr>
          <w:rFonts w:hint="eastAsia" w:ascii="Times New Roman" w:hAnsi="Times New Roman" w:eastAsia="仿宋_GB2312" w:cs="Times New Roman"/>
          <w:color w:val="000000"/>
          <w:kern w:val="0"/>
          <w:sz w:val="32"/>
          <w:szCs w:val="32"/>
          <w:highlight w:val="none"/>
          <w:lang w:val="en-US" w:eastAsia="zh-CN" w:bidi="ar"/>
        </w:rPr>
        <w:t>部门决算报表记载，部门日常公用经费</w:t>
      </w:r>
      <w:r>
        <w:rPr>
          <w:rFonts w:hint="default" w:ascii="Times New Roman" w:hAnsi="Times New Roman" w:eastAsia="仿宋_GB2312" w:cs="Times New Roman"/>
          <w:color w:val="000000"/>
          <w:kern w:val="0"/>
          <w:sz w:val="32"/>
          <w:szCs w:val="32"/>
          <w:highlight w:val="none"/>
          <w:lang w:val="en-US" w:eastAsia="zh-CN" w:bidi="ar"/>
        </w:rPr>
        <w:t>、项目支出中</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办公费、印刷费、水费、电费、物业管理费</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等科目支出数共</w:t>
      </w:r>
      <w:r>
        <w:rPr>
          <w:rFonts w:hint="eastAsia" w:eastAsia="仿宋_GB2312" w:cs="Times New Roman"/>
          <w:color w:val="000000"/>
          <w:kern w:val="0"/>
          <w:sz w:val="32"/>
          <w:szCs w:val="32"/>
          <w:highlight w:val="none"/>
          <w:lang w:val="en-US" w:eastAsia="zh-CN" w:bidi="ar"/>
        </w:rPr>
        <w:t>15.17</w:t>
      </w:r>
      <w:r>
        <w:rPr>
          <w:rFonts w:hint="eastAsia" w:ascii="Times New Roman" w:hAnsi="Times New Roman" w:eastAsia="仿宋_GB2312" w:cs="Times New Roman"/>
          <w:color w:val="000000"/>
          <w:kern w:val="0"/>
          <w:sz w:val="32"/>
          <w:szCs w:val="32"/>
          <w:highlight w:val="none"/>
          <w:lang w:val="en-US" w:eastAsia="zh-CN" w:bidi="ar"/>
        </w:rPr>
        <w:t>万元（其中部门日常公用经费涉及</w:t>
      </w:r>
      <w:r>
        <w:rPr>
          <w:rFonts w:hint="eastAsia" w:eastAsia="仿宋_GB2312" w:cs="Times New Roman"/>
          <w:color w:val="000000"/>
          <w:kern w:val="0"/>
          <w:sz w:val="32"/>
          <w:szCs w:val="32"/>
          <w:highlight w:val="none"/>
          <w:lang w:val="en-US" w:eastAsia="zh-CN" w:bidi="ar"/>
        </w:rPr>
        <w:t>8.06</w:t>
      </w:r>
      <w:r>
        <w:rPr>
          <w:rFonts w:hint="eastAsia" w:ascii="Times New Roman" w:hAnsi="Times New Roman" w:eastAsia="仿宋_GB2312" w:cs="Times New Roman"/>
          <w:color w:val="000000"/>
          <w:kern w:val="0"/>
          <w:sz w:val="32"/>
          <w:szCs w:val="32"/>
          <w:highlight w:val="none"/>
          <w:lang w:val="en-US" w:eastAsia="zh-CN" w:bidi="ar"/>
        </w:rPr>
        <w:t>万元，项目支出涉及</w:t>
      </w:r>
      <w:r>
        <w:rPr>
          <w:rFonts w:hint="eastAsia" w:eastAsia="仿宋_GB2312" w:cs="Times New Roman"/>
          <w:color w:val="000000"/>
          <w:kern w:val="0"/>
          <w:sz w:val="32"/>
          <w:szCs w:val="32"/>
          <w:highlight w:val="none"/>
          <w:lang w:val="en-US" w:eastAsia="zh-CN" w:bidi="ar"/>
        </w:rPr>
        <w:t>7.11</w:t>
      </w:r>
      <w:r>
        <w:rPr>
          <w:rFonts w:hint="eastAsia" w:ascii="Times New Roman" w:hAnsi="Times New Roman" w:eastAsia="仿宋_GB2312" w:cs="Times New Roman"/>
          <w:color w:val="000000"/>
          <w:kern w:val="0"/>
          <w:sz w:val="32"/>
          <w:szCs w:val="32"/>
          <w:highlight w:val="none"/>
          <w:lang w:val="en-US" w:eastAsia="zh-CN" w:bidi="ar"/>
        </w:rPr>
        <w:t>万元），</w:t>
      </w:r>
      <w:r>
        <w:rPr>
          <w:rFonts w:hint="default" w:ascii="Times New Roman" w:hAnsi="Times New Roman" w:eastAsia="仿宋_GB2312" w:cs="Times New Roman"/>
          <w:color w:val="000000"/>
          <w:kern w:val="0"/>
          <w:sz w:val="32"/>
          <w:szCs w:val="32"/>
          <w:highlight w:val="none"/>
          <w:lang w:val="en-US" w:eastAsia="zh-CN" w:bidi="ar"/>
        </w:rPr>
        <w:t>预决算偏差程度=</w:t>
      </w:r>
      <w:r>
        <w:rPr>
          <w:rFonts w:hint="eastAsia"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15.17</w:t>
      </w:r>
      <w:r>
        <w:rPr>
          <w:rFonts w:hint="eastAsia" w:ascii="Times New Roman" w:hAnsi="Times New Roman" w:eastAsia="仿宋_GB2312" w:cs="Times New Roman"/>
          <w:color w:val="000000"/>
          <w:kern w:val="0"/>
          <w:sz w:val="32"/>
          <w:szCs w:val="32"/>
          <w:highlight w:val="none"/>
          <w:lang w:val="en-US" w:eastAsia="zh-CN" w:bidi="ar"/>
        </w:rPr>
        <w:t>万元</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8.28</w:t>
      </w:r>
      <w:r>
        <w:rPr>
          <w:rFonts w:hint="eastAsia" w:ascii="Times New Roman" w:hAnsi="Times New Roman" w:eastAsia="仿宋_GB2312" w:cs="Times New Roman"/>
          <w:color w:val="000000"/>
          <w:kern w:val="0"/>
          <w:sz w:val="32"/>
          <w:szCs w:val="32"/>
          <w:highlight w:val="none"/>
          <w:lang w:val="en-US" w:eastAsia="zh-CN" w:bidi="ar"/>
        </w:rPr>
        <w:t>万元</w:t>
      </w:r>
      <w:r>
        <w:rPr>
          <w:rFonts w:hint="default" w:ascii="Times New Roman" w:hAnsi="Times New Roman" w:eastAsia="仿宋_GB2312" w:cs="Times New Roman"/>
          <w:color w:val="000000"/>
          <w:kern w:val="0"/>
          <w:sz w:val="32"/>
          <w:szCs w:val="32"/>
          <w:highlight w:val="none"/>
          <w:lang w:val="en-US" w:eastAsia="zh-CN" w:bidi="ar"/>
        </w:rPr>
        <w:t>）/8.28</w:t>
      </w:r>
      <w:r>
        <w:rPr>
          <w:rFonts w:hint="eastAsia" w:ascii="Times New Roman" w:hAnsi="Times New Roman" w:eastAsia="仿宋_GB2312" w:cs="Times New Roman"/>
          <w:color w:val="000000"/>
          <w:kern w:val="0"/>
          <w:sz w:val="32"/>
          <w:szCs w:val="32"/>
          <w:highlight w:val="none"/>
          <w:lang w:val="en-US" w:eastAsia="zh-CN" w:bidi="ar"/>
        </w:rPr>
        <w:t>万元</w:t>
      </w:r>
      <w:r>
        <w:rPr>
          <w:rFonts w:hint="default" w:ascii="Times New Roman" w:hAnsi="Times New Roman" w:eastAsia="仿宋_GB2312" w:cs="Times New Roman"/>
          <w:color w:val="000000"/>
          <w:kern w:val="0"/>
          <w:sz w:val="32"/>
          <w:szCs w:val="32"/>
          <w:highlight w:val="none"/>
          <w:lang w:val="en-US" w:eastAsia="zh-CN" w:bidi="ar"/>
        </w:rPr>
        <w:t>×100%=</w:t>
      </w:r>
      <w:r>
        <w:rPr>
          <w:rFonts w:hint="eastAsia" w:eastAsia="仿宋_GB2312" w:cs="Times New Roman"/>
          <w:color w:val="000000"/>
          <w:kern w:val="0"/>
          <w:sz w:val="32"/>
          <w:szCs w:val="32"/>
          <w:highlight w:val="none"/>
          <w:lang w:val="en-US" w:eastAsia="zh-CN" w:bidi="ar"/>
        </w:rPr>
        <w:t>-83.21%</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（预决算偏差原因为年初预算未下达项目经费）</w:t>
      </w:r>
      <w:r>
        <w:rPr>
          <w:rFonts w:hint="default" w:ascii="Times New Roman" w:hAnsi="Times New Roman" w:eastAsia="仿宋_GB2312" w:cs="Times New Roman"/>
          <w:color w:val="000000"/>
          <w:kern w:val="0"/>
          <w:sz w:val="32"/>
          <w:szCs w:val="32"/>
          <w:highlight w:val="none"/>
          <w:lang w:val="en-US" w:eastAsia="zh-CN" w:bidi="ar"/>
        </w:rPr>
        <w:t>预决算偏差度超过20%</w:t>
      </w:r>
      <w:r>
        <w:rPr>
          <w:rFonts w:hint="eastAsia" w:ascii="Times New Roman" w:hAnsi="Times New Roman"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不得分。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——执行进度指标分析（权重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7.94</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keepNext w:val="0"/>
        <w:keepLines w:val="0"/>
        <w:pageBreakBefore w:val="0"/>
        <w:widowControl w:val="0"/>
        <w:kinsoku/>
        <w:wordWrap/>
        <w:overflowPunct/>
        <w:topLinePunct w:val="0"/>
        <w:autoSpaceDE/>
        <w:autoSpaceDN/>
        <w:bidi w:val="0"/>
        <w:adjustRightInd/>
        <w:snapToGri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2022年</w:t>
      </w:r>
      <w:r>
        <w:rPr>
          <w:rFonts w:hint="default" w:ascii="Times New Roman" w:hAnsi="Times New Roman" w:eastAsia="仿宋_GB2312" w:cs="Times New Roman"/>
          <w:color w:val="000000"/>
          <w:kern w:val="0"/>
          <w:sz w:val="32"/>
          <w:szCs w:val="32"/>
          <w:highlight w:val="none"/>
          <w:lang w:val="en-US" w:eastAsia="zh-CN" w:bidi="ar"/>
        </w:rPr>
        <w:t>1-6月份下达预算</w:t>
      </w:r>
      <w:r>
        <w:rPr>
          <w:rFonts w:hint="eastAsia" w:eastAsia="仿宋_GB2312" w:cs="Times New Roman"/>
          <w:color w:val="000000"/>
          <w:kern w:val="0"/>
          <w:sz w:val="32"/>
          <w:szCs w:val="32"/>
          <w:highlight w:val="none"/>
          <w:lang w:val="en-US" w:eastAsia="zh-CN" w:bidi="ar"/>
        </w:rPr>
        <w:t>412.78</w:t>
      </w:r>
      <w:r>
        <w:rPr>
          <w:rFonts w:hint="default" w:ascii="Times New Roman" w:hAnsi="Times New Roman" w:eastAsia="仿宋_GB2312" w:cs="Times New Roman"/>
          <w:color w:val="000000"/>
          <w:kern w:val="0"/>
          <w:sz w:val="32"/>
          <w:szCs w:val="32"/>
          <w:highlight w:val="none"/>
          <w:lang w:val="en-US" w:eastAsia="zh-CN" w:bidi="ar"/>
        </w:rPr>
        <w:t>万元，实际支出数为210.92万元，序时进度为</w:t>
      </w:r>
      <w:r>
        <w:rPr>
          <w:rFonts w:hint="eastAsia" w:eastAsia="仿宋_GB2312" w:cs="Times New Roman"/>
          <w:color w:val="000000"/>
          <w:kern w:val="0"/>
          <w:sz w:val="32"/>
          <w:szCs w:val="32"/>
          <w:highlight w:val="none"/>
          <w:lang w:val="en-US" w:eastAsia="zh-CN" w:bidi="ar"/>
        </w:rPr>
        <w:t>51.10%</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未达到目标进度的</w:t>
      </w:r>
      <w:r>
        <w:rPr>
          <w:rFonts w:hint="default" w:ascii="Times New Roman" w:hAnsi="Times New Roman" w:eastAsia="仿宋_GB2312" w:cs="Times New Roman"/>
          <w:color w:val="000000"/>
          <w:kern w:val="0"/>
          <w:sz w:val="32"/>
          <w:szCs w:val="32"/>
          <w:highlight w:val="none"/>
          <w:lang w:val="en-US" w:eastAsia="zh-CN" w:bidi="ar"/>
        </w:rPr>
        <w:t>80%</w:t>
      </w:r>
      <w:r>
        <w:rPr>
          <w:rFonts w:hint="eastAsia" w:ascii="Times New Roman" w:hAnsi="Times New Roman"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得分</w:t>
      </w:r>
      <w:r>
        <w:rPr>
          <w:rFonts w:hint="eastAsia" w:eastAsia="仿宋_GB2312" w:cs="Times New Roman"/>
          <w:color w:val="000000"/>
          <w:kern w:val="0"/>
          <w:sz w:val="32"/>
          <w:szCs w:val="32"/>
          <w:highlight w:val="none"/>
          <w:lang w:val="en-US" w:eastAsia="zh-CN" w:bidi="ar"/>
        </w:rPr>
        <w:t>1.92</w:t>
      </w:r>
      <w:r>
        <w:rPr>
          <w:rFonts w:hint="default"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2022年</w:t>
      </w:r>
      <w:r>
        <w:rPr>
          <w:rFonts w:hint="default" w:ascii="Times New Roman" w:hAnsi="Times New Roman" w:eastAsia="仿宋_GB2312" w:cs="Times New Roman"/>
          <w:color w:val="000000"/>
          <w:kern w:val="0"/>
          <w:sz w:val="32"/>
          <w:szCs w:val="32"/>
          <w:highlight w:val="none"/>
          <w:lang w:val="en-US" w:eastAsia="zh-CN" w:bidi="ar"/>
        </w:rPr>
        <w:t>1-9月份下达预算412.78万元，实际支出数为298.48万元，序时进度为</w:t>
      </w:r>
      <w:r>
        <w:rPr>
          <w:rFonts w:hint="eastAsia" w:eastAsia="仿宋_GB2312" w:cs="Times New Roman"/>
          <w:color w:val="000000"/>
          <w:kern w:val="0"/>
          <w:sz w:val="32"/>
          <w:szCs w:val="32"/>
          <w:highlight w:val="none"/>
          <w:lang w:val="en-US" w:eastAsia="zh-CN" w:bidi="ar"/>
        </w:rPr>
        <w:t>72.31%</w:t>
      </w:r>
      <w:r>
        <w:rPr>
          <w:rFonts w:hint="default" w:ascii="Times New Roman" w:hAnsi="Times New Roman" w:eastAsia="仿宋_GB2312" w:cs="Times New Roman"/>
          <w:color w:val="000000"/>
          <w:kern w:val="0"/>
          <w:sz w:val="32"/>
          <w:szCs w:val="32"/>
          <w:highlight w:val="none"/>
          <w:lang w:val="en-US" w:eastAsia="zh-CN" w:bidi="ar"/>
        </w:rPr>
        <w:t>，</w:t>
      </w:r>
      <w:r>
        <w:rPr>
          <w:rFonts w:hint="eastAsia" w:eastAsia="仿宋_GB2312" w:cs="Times New Roman"/>
          <w:color w:val="000000"/>
          <w:kern w:val="0"/>
          <w:sz w:val="32"/>
          <w:szCs w:val="32"/>
          <w:highlight w:val="none"/>
          <w:lang w:val="en-US" w:eastAsia="zh-CN" w:bidi="ar"/>
        </w:rPr>
        <w:t>未达到目标进度的</w:t>
      </w:r>
      <w:r>
        <w:rPr>
          <w:rFonts w:hint="eastAsia" w:ascii="Times New Roman" w:hAnsi="Times New Roman" w:eastAsia="仿宋_GB2312" w:cs="Times New Roman"/>
          <w:color w:val="000000"/>
          <w:kern w:val="0"/>
          <w:sz w:val="32"/>
          <w:szCs w:val="32"/>
          <w:highlight w:val="none"/>
          <w:lang w:val="en-US" w:eastAsia="zh-CN" w:bidi="ar"/>
        </w:rPr>
        <w:t>9</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得分</w:t>
      </w:r>
      <w:r>
        <w:rPr>
          <w:rFonts w:hint="eastAsia" w:eastAsia="仿宋_GB2312" w:cs="Times New Roman"/>
          <w:color w:val="000000"/>
          <w:kern w:val="0"/>
          <w:sz w:val="32"/>
          <w:szCs w:val="32"/>
          <w:highlight w:val="none"/>
          <w:lang w:val="en-US" w:eastAsia="zh-CN" w:bidi="ar"/>
        </w:rPr>
        <w:t>3.21</w:t>
      </w:r>
      <w:r>
        <w:rPr>
          <w:rFonts w:hint="default" w:ascii="Times New Roman" w:hAnsi="Times New Roman" w:eastAsia="仿宋_GB2312" w:cs="Times New Roman"/>
          <w:color w:val="000000"/>
          <w:kern w:val="0"/>
          <w:sz w:val="32"/>
          <w:szCs w:val="32"/>
          <w:highlight w:val="none"/>
          <w:lang w:val="en-US" w:eastAsia="zh-CN" w:bidi="ar"/>
        </w:rPr>
        <w:t>分；</w:t>
      </w:r>
    </w:p>
    <w:p>
      <w:pPr>
        <w:keepNext w:val="0"/>
        <w:keepLines w:val="0"/>
        <w:pageBreakBefore w:val="0"/>
        <w:widowControl w:val="0"/>
        <w:kinsoku/>
        <w:wordWrap/>
        <w:overflowPunct/>
        <w:topLinePunct w:val="0"/>
        <w:autoSpaceDE/>
        <w:autoSpaceDN/>
        <w:bidi w:val="0"/>
        <w:adjustRightInd/>
        <w:snapToGrid/>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2022</w:t>
      </w:r>
      <w:r>
        <w:rPr>
          <w:rFonts w:hint="default" w:eastAsia="仿宋_GB2312" w:cs="Times New Roman"/>
          <w:color w:val="000000"/>
          <w:kern w:val="0"/>
          <w:sz w:val="32"/>
          <w:szCs w:val="32"/>
          <w:highlight w:val="none"/>
          <w:lang w:val="en-US" w:eastAsia="zh-CN" w:bidi="ar"/>
        </w:rPr>
        <w:t>年</w:t>
      </w:r>
      <w:r>
        <w:rPr>
          <w:rFonts w:hint="default" w:ascii="Times New Roman" w:hAnsi="Times New Roman" w:eastAsia="仿宋_GB2312" w:cs="Times New Roman"/>
          <w:color w:val="000000"/>
          <w:kern w:val="0"/>
          <w:sz w:val="32"/>
          <w:szCs w:val="32"/>
          <w:highlight w:val="none"/>
          <w:lang w:val="en-US" w:eastAsia="zh-CN" w:bidi="ar"/>
        </w:rPr>
        <w:t>1-11月份下达预算</w:t>
      </w:r>
      <w:r>
        <w:rPr>
          <w:rFonts w:hint="default" w:eastAsia="仿宋_GB2312" w:cs="Times New Roman"/>
          <w:color w:val="000000"/>
          <w:kern w:val="0"/>
          <w:sz w:val="32"/>
          <w:szCs w:val="32"/>
          <w:highlight w:val="none"/>
          <w:lang w:val="en-US" w:eastAsia="zh-CN" w:bidi="ar"/>
        </w:rPr>
        <w:t>412.78</w:t>
      </w:r>
      <w:r>
        <w:rPr>
          <w:rFonts w:hint="default" w:ascii="Times New Roman" w:hAnsi="Times New Roman" w:eastAsia="仿宋_GB2312" w:cs="Times New Roman"/>
          <w:color w:val="000000"/>
          <w:kern w:val="0"/>
          <w:sz w:val="32"/>
          <w:szCs w:val="32"/>
          <w:highlight w:val="none"/>
          <w:lang w:val="en-US" w:eastAsia="zh-CN" w:bidi="ar"/>
        </w:rPr>
        <w:t>万元，实际支出数为</w:t>
      </w:r>
      <w:r>
        <w:rPr>
          <w:rFonts w:hint="default" w:eastAsia="仿宋_GB2312" w:cs="Times New Roman"/>
          <w:color w:val="000000"/>
          <w:kern w:val="0"/>
          <w:sz w:val="32"/>
          <w:szCs w:val="32"/>
          <w:highlight w:val="none"/>
          <w:lang w:val="en-US" w:eastAsia="zh-CN" w:bidi="ar"/>
        </w:rPr>
        <w:t>348.03</w:t>
      </w:r>
      <w:r>
        <w:rPr>
          <w:rFonts w:hint="default" w:ascii="Times New Roman" w:hAnsi="Times New Roman" w:eastAsia="仿宋_GB2312" w:cs="Times New Roman"/>
          <w:color w:val="000000"/>
          <w:kern w:val="0"/>
          <w:sz w:val="32"/>
          <w:szCs w:val="32"/>
          <w:highlight w:val="none"/>
          <w:lang w:val="en-US" w:eastAsia="zh-CN" w:bidi="ar"/>
        </w:rPr>
        <w:t>万元，序时进度为</w:t>
      </w:r>
      <w:r>
        <w:rPr>
          <w:rFonts w:hint="default" w:eastAsia="仿宋_GB2312" w:cs="Times New Roman"/>
          <w:color w:val="000000"/>
          <w:kern w:val="0"/>
          <w:sz w:val="32"/>
          <w:szCs w:val="32"/>
          <w:highlight w:val="none"/>
          <w:lang w:val="en-US" w:eastAsia="zh-CN" w:bidi="ar"/>
        </w:rPr>
        <w:t>84.31%</w:t>
      </w:r>
      <w:r>
        <w:rPr>
          <w:rFonts w:hint="default" w:ascii="Times New Roman" w:hAnsi="Times New Roman" w:eastAsia="仿宋_GB2312" w:cs="Times New Roman"/>
          <w:color w:val="000000"/>
          <w:kern w:val="0"/>
          <w:sz w:val="32"/>
          <w:szCs w:val="32"/>
          <w:highlight w:val="none"/>
          <w:lang w:val="en-US" w:eastAsia="zh-CN" w:bidi="ar"/>
        </w:rPr>
        <w:t>，</w:t>
      </w:r>
      <w:r>
        <w:rPr>
          <w:rFonts w:hint="default" w:eastAsia="仿宋_GB2312" w:cs="Times New Roman"/>
          <w:color w:val="000000"/>
          <w:kern w:val="0"/>
          <w:sz w:val="32"/>
          <w:szCs w:val="32"/>
          <w:highlight w:val="none"/>
          <w:lang w:val="en-US" w:eastAsia="zh-CN" w:bidi="ar"/>
        </w:rPr>
        <w:t>未达到目标进度的</w:t>
      </w:r>
      <w:r>
        <w:rPr>
          <w:rFonts w:hint="eastAsia" w:ascii="Times New Roman" w:hAnsi="Times New Roman" w:eastAsia="仿宋_GB2312" w:cs="Times New Roman"/>
          <w:color w:val="000000"/>
          <w:kern w:val="0"/>
          <w:sz w:val="32"/>
          <w:szCs w:val="32"/>
          <w:highlight w:val="none"/>
          <w:lang w:val="en-US" w:eastAsia="zh-CN" w:bidi="ar"/>
        </w:rPr>
        <w:t>9</w:t>
      </w:r>
      <w:r>
        <w:rPr>
          <w:rFonts w:hint="default" w:ascii="Times New Roman" w:hAnsi="Times New Roman" w:eastAsia="仿宋_GB2312" w:cs="Times New Roman"/>
          <w:color w:val="000000"/>
          <w:kern w:val="0"/>
          <w:sz w:val="32"/>
          <w:szCs w:val="32"/>
          <w:highlight w:val="none"/>
          <w:lang w:val="en-US" w:eastAsia="zh-CN" w:bidi="ar"/>
        </w:rPr>
        <w:t>0%</w:t>
      </w:r>
      <w:r>
        <w:rPr>
          <w:rFonts w:hint="eastAsia" w:ascii="Times New Roman" w:hAnsi="Times New Roman" w:eastAsia="仿宋_GB2312" w:cs="Times New Roman"/>
          <w:color w:val="000000"/>
          <w:kern w:val="0"/>
          <w:sz w:val="32"/>
          <w:szCs w:val="32"/>
          <w:highlight w:val="none"/>
          <w:lang w:val="en-US" w:eastAsia="zh-CN" w:bidi="ar"/>
        </w:rPr>
        <w:t>，</w:t>
      </w:r>
      <w:r>
        <w:rPr>
          <w:rFonts w:hint="default" w:ascii="Times New Roman" w:hAnsi="Times New Roman" w:eastAsia="仿宋_GB2312" w:cs="Times New Roman"/>
          <w:color w:val="000000"/>
          <w:kern w:val="0"/>
          <w:sz w:val="32"/>
          <w:szCs w:val="32"/>
          <w:highlight w:val="none"/>
          <w:lang w:val="en-US" w:eastAsia="zh-CN" w:bidi="ar"/>
        </w:rPr>
        <w:t>得分</w:t>
      </w:r>
      <w:r>
        <w:rPr>
          <w:rFonts w:hint="default" w:eastAsia="仿宋_GB2312" w:cs="Times New Roman"/>
          <w:color w:val="000000"/>
          <w:kern w:val="0"/>
          <w:sz w:val="32"/>
          <w:szCs w:val="32"/>
          <w:highlight w:val="none"/>
          <w:lang w:val="en-US" w:eastAsia="zh-CN" w:bidi="ar"/>
        </w:rPr>
        <w:t>2.81</w:t>
      </w:r>
      <w:r>
        <w:rPr>
          <w:rFonts w:hint="default" w:ascii="Times New Roman" w:hAnsi="Times New Roman" w:eastAsia="仿宋_GB2312" w:cs="Times New Roman"/>
          <w:color w:val="000000"/>
          <w:kern w:val="0"/>
          <w:sz w:val="32"/>
          <w:szCs w:val="32"/>
          <w:highlight w:val="none"/>
          <w:lang w:val="en-US" w:eastAsia="zh-CN" w:bidi="ar"/>
        </w:rPr>
        <w:t>分；</w:t>
      </w:r>
      <w:r>
        <w:rPr>
          <w:rFonts w:hint="default" w:eastAsia="仿宋_GB2312"/>
          <w:color w:val="000000"/>
          <w:kern w:val="0"/>
          <w:sz w:val="32"/>
          <w:szCs w:val="32"/>
          <w:highlight w:val="none"/>
          <w:lang w:bidi="ar"/>
        </w:rPr>
        <w:t>最终得分=1.92+3.21+2.81=</w:t>
      </w:r>
      <w:r>
        <w:rPr>
          <w:rFonts w:hint="default" w:eastAsia="仿宋_GB2312"/>
          <w:color w:val="000000"/>
          <w:kern w:val="0"/>
          <w:sz w:val="32"/>
          <w:szCs w:val="32"/>
          <w:highlight w:val="none"/>
          <w:lang w:eastAsia="zh-CN" w:bidi="ar"/>
        </w:rPr>
        <w:t>7</w:t>
      </w:r>
      <w:r>
        <w:rPr>
          <w:rFonts w:hint="default" w:eastAsia="仿宋_GB2312"/>
          <w:color w:val="000000"/>
          <w:kern w:val="0"/>
          <w:sz w:val="32"/>
          <w:szCs w:val="32"/>
          <w:highlight w:val="none"/>
          <w:lang w:bidi="ar"/>
        </w:rPr>
        <w:t>.9</w:t>
      </w:r>
      <w:r>
        <w:rPr>
          <w:rFonts w:hint="default" w:eastAsia="仿宋_GB2312"/>
          <w:color w:val="000000"/>
          <w:kern w:val="0"/>
          <w:sz w:val="32"/>
          <w:szCs w:val="32"/>
          <w:highlight w:val="none"/>
          <w:lang w:val="en-US" w:eastAsia="zh-CN" w:bidi="ar"/>
        </w:rPr>
        <w:t>4分</w:t>
      </w:r>
      <w:r>
        <w:rPr>
          <w:rFonts w:hint="eastAsia" w:eastAsia="仿宋_GB2312"/>
          <w:color w:val="000000"/>
          <w:kern w:val="0"/>
          <w:sz w:val="32"/>
          <w:szCs w:val="32"/>
          <w:highlight w:val="none"/>
          <w:lang w:val="en-US" w:eastAsia="zh-CN" w:bidi="ar"/>
        </w:rPr>
        <w:t>。</w:t>
      </w:r>
    </w:p>
    <w:p>
      <w:pPr>
        <w:keepNext w:val="0"/>
        <w:keepLines w:val="0"/>
        <w:pageBreakBefore w:val="0"/>
        <w:widowControl w:val="0"/>
        <w:kinsoku/>
        <w:wordWrap/>
        <w:overflowPunct/>
        <w:topLinePunct w:val="0"/>
        <w:autoSpaceDE/>
        <w:autoSpaceDN/>
        <w:bidi w:val="0"/>
        <w:adjustRightInd/>
        <w:snapToGrid/>
        <w:spacing w:line="600" w:lineRule="exact"/>
        <w:ind w:firstLine="640"/>
        <w:textAlignment w:val="auto"/>
        <w:rPr>
          <w:rFonts w:hint="default" w:ascii="Times New Roman" w:hAnsi="Times New Roman" w:eastAsia="仿宋_GB2312" w:cs="Times New Roman"/>
          <w:b/>
          <w:bCs/>
          <w:kern w:val="0"/>
          <w:sz w:val="32"/>
          <w:szCs w:val="32"/>
          <w:shd w:val="clear" w:color="auto" w:fill="FFFFFF"/>
          <w:lang w:val="en-US" w:eastAsia="zh-CN"/>
        </w:rPr>
      </w:pPr>
      <w:r>
        <w:rPr>
          <w:rFonts w:hint="default" w:ascii="Times New Roman" w:hAnsi="Times New Roman" w:eastAsia="仿宋_GB2312" w:cs="Times New Roman"/>
          <w:b/>
          <w:bCs/>
          <w:kern w:val="0"/>
          <w:sz w:val="32"/>
          <w:szCs w:val="32"/>
          <w:shd w:val="clear" w:color="auto" w:fill="FFFFFF"/>
          <w:lang w:val="en-US" w:eastAsia="zh-CN"/>
        </w:rPr>
        <w:t>（3）完成结果情况</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预算完成</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r>
        <w:rPr>
          <w:rFonts w:hint="eastAsia" w:eastAsia="仿宋_GB2312" w:cs="Times New Roman"/>
          <w:color w:val="000000"/>
          <w:kern w:val="0"/>
          <w:sz w:val="32"/>
          <w:szCs w:val="32"/>
          <w:highlight w:val="none"/>
          <w:lang w:val="en-US" w:eastAsia="zh-CN" w:bidi="ar"/>
        </w:rPr>
        <w:t>被评价单位2022年部门预算项目共3个，截至2022年12月31日部门预算项目预算执行进度如下表：</w:t>
      </w:r>
    </w:p>
    <w:p>
      <w:pPr>
        <w:pStyle w:val="24"/>
        <w:keepNext w:val="0"/>
        <w:keepLines w:val="0"/>
        <w:pageBreakBefore w:val="0"/>
        <w:widowControl w:val="0"/>
        <w:kinsoku/>
        <w:wordWrap/>
        <w:overflowPunct/>
        <w:topLinePunct w:val="0"/>
        <w:autoSpaceDE/>
        <w:autoSpaceDN/>
        <w:bidi w:val="0"/>
        <w:adjustRightInd/>
        <w:snapToGrid w:val="0"/>
        <w:spacing w:line="600" w:lineRule="exact"/>
        <w:ind w:left="0" w:leftChars="0" w:firstLine="0" w:firstLineChars="0"/>
        <w:jc w:val="center"/>
        <w:textAlignment w:val="auto"/>
        <w:rPr>
          <w:rFonts w:hint="eastAsia"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b/>
          <w:bCs/>
          <w:color w:val="auto"/>
          <w:kern w:val="0"/>
          <w:sz w:val="24"/>
          <w:szCs w:val="24"/>
          <w:highlight w:val="none"/>
          <w:lang w:val="en-US" w:eastAsia="zh-CN" w:bidi="ar"/>
        </w:rPr>
        <w:t>表</w:t>
      </w:r>
      <w:r>
        <w:rPr>
          <w:rFonts w:hint="eastAsia" w:eastAsia="仿宋_GB2312" w:cs="Times New Roman"/>
          <w:b/>
          <w:bCs/>
          <w:color w:val="auto"/>
          <w:kern w:val="0"/>
          <w:sz w:val="24"/>
          <w:szCs w:val="24"/>
          <w:highlight w:val="none"/>
          <w:lang w:val="en-US" w:eastAsia="zh-CN" w:bidi="ar"/>
        </w:rPr>
        <w:t>10</w:t>
      </w:r>
      <w:r>
        <w:rPr>
          <w:rFonts w:hint="eastAsia" w:ascii="Times New Roman" w:hAnsi="Times New Roman" w:eastAsia="仿宋_GB2312" w:cs="Times New Roman"/>
          <w:b/>
          <w:bCs/>
          <w:color w:val="auto"/>
          <w:kern w:val="0"/>
          <w:sz w:val="24"/>
          <w:szCs w:val="24"/>
          <w:highlight w:val="none"/>
          <w:lang w:val="en-US" w:eastAsia="zh-CN" w:bidi="ar"/>
        </w:rPr>
        <w:t xml:space="preserve">  </w:t>
      </w:r>
      <w:r>
        <w:rPr>
          <w:rFonts w:hint="eastAsia" w:eastAsia="仿宋_GB2312" w:cs="Times New Roman"/>
          <w:b/>
          <w:bCs/>
          <w:color w:val="auto"/>
          <w:kern w:val="0"/>
          <w:sz w:val="24"/>
          <w:szCs w:val="24"/>
          <w:highlight w:val="none"/>
          <w:lang w:val="en-US" w:eastAsia="zh-CN" w:bidi="ar"/>
        </w:rPr>
        <w:t>2022年</w:t>
      </w:r>
      <w:r>
        <w:rPr>
          <w:rFonts w:hint="default" w:ascii="Times New Roman" w:hAnsi="Times New Roman" w:eastAsia="仿宋_GB2312" w:cs="Times New Roman"/>
          <w:b/>
          <w:bCs/>
          <w:color w:val="auto"/>
          <w:kern w:val="0"/>
          <w:sz w:val="24"/>
          <w:szCs w:val="24"/>
          <w:highlight w:val="none"/>
          <w:lang w:val="en-US" w:eastAsia="zh-CN" w:bidi="ar"/>
        </w:rPr>
        <w:t>项目支出统计表</w:t>
      </w:r>
    </w:p>
    <w:tbl>
      <w:tblPr>
        <w:tblStyle w:val="40"/>
        <w:tblW w:w="5000" w:type="pct"/>
        <w:tblInd w:w="0" w:type="dxa"/>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Layout w:type="fixed"/>
        <w:tblCellMar>
          <w:top w:w="0" w:type="dxa"/>
          <w:left w:w="108" w:type="dxa"/>
          <w:bottom w:w="0" w:type="dxa"/>
          <w:right w:w="108" w:type="dxa"/>
        </w:tblCellMar>
      </w:tblPr>
      <w:tblGrid>
        <w:gridCol w:w="509"/>
        <w:gridCol w:w="1600"/>
        <w:gridCol w:w="1267"/>
        <w:gridCol w:w="1167"/>
        <w:gridCol w:w="1044"/>
        <w:gridCol w:w="1249"/>
        <w:gridCol w:w="1242"/>
        <w:gridCol w:w="924"/>
      </w:tblGrid>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83" w:hRule="atLeast"/>
        </w:trPr>
        <w:tc>
          <w:tcPr>
            <w:tcW w:w="282"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color w:val="000000"/>
                <w:kern w:val="0"/>
                <w:sz w:val="18"/>
                <w:szCs w:val="18"/>
                <w:highlight w:val="none"/>
                <w:lang w:val="en-US" w:eastAsia="zh-CN" w:bidi="ar"/>
              </w:rPr>
              <w:t>序号</w:t>
            </w:r>
          </w:p>
        </w:tc>
        <w:tc>
          <w:tcPr>
            <w:tcW w:w="888"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项目名称</w:t>
            </w:r>
          </w:p>
        </w:tc>
        <w:tc>
          <w:tcPr>
            <w:tcW w:w="703"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年初预算数（万元）</w:t>
            </w:r>
          </w:p>
        </w:tc>
        <w:tc>
          <w:tcPr>
            <w:tcW w:w="648"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追加数（万元）</w:t>
            </w:r>
          </w:p>
        </w:tc>
        <w:tc>
          <w:tcPr>
            <w:tcW w:w="579"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追减数（万元）</w:t>
            </w:r>
          </w:p>
        </w:tc>
        <w:tc>
          <w:tcPr>
            <w:tcW w:w="693"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当前预算</w:t>
            </w:r>
          </w:p>
        </w:tc>
        <w:tc>
          <w:tcPr>
            <w:tcW w:w="689"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年末执行数（万元）</w:t>
            </w:r>
          </w:p>
        </w:tc>
        <w:tc>
          <w:tcPr>
            <w:tcW w:w="513" w:type="pct"/>
            <w:tcBorders>
              <w:top w:val="single" w:color="000000" w:sz="4" w:space="0"/>
              <w:left w:val="single" w:color="000000" w:sz="4" w:space="0"/>
              <w:bottom w:val="single" w:color="000000" w:sz="4" w:space="0"/>
              <w:right w:val="single" w:color="000000" w:sz="4" w:space="0"/>
            </w:tcBorders>
            <w:shd w:val="clear" w:color="auto" w:fill="BEBEBE"/>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执行进度（%）</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8" w:hRule="atLeast"/>
        </w:trPr>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default" w:ascii="Times New Roman" w:hAnsi="Times New Roman" w:eastAsia="仿宋_GB2312" w:cs="Times New Roman"/>
                <w:color w:val="000000"/>
                <w:kern w:val="0"/>
                <w:sz w:val="18"/>
                <w:szCs w:val="18"/>
                <w:highlight w:val="none"/>
                <w:lang w:val="en-US" w:eastAsia="zh-CN" w:bidi="ar"/>
              </w:rPr>
              <w:t>1</w:t>
            </w:r>
          </w:p>
        </w:tc>
        <w:tc>
          <w:tcPr>
            <w:tcW w:w="8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住户调查</w:t>
            </w:r>
          </w:p>
        </w:tc>
        <w:tc>
          <w:tcPr>
            <w:tcW w:w="7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32.77</w:t>
            </w:r>
          </w:p>
        </w:tc>
        <w:tc>
          <w:tcPr>
            <w:tcW w:w="6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5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32.77</w:t>
            </w:r>
          </w:p>
        </w:tc>
        <w:tc>
          <w:tcPr>
            <w:tcW w:w="6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32.77</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9" w:hRule="atLeast"/>
        </w:trPr>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default" w:ascii="Times New Roman" w:hAnsi="Times New Roman" w:eastAsia="仿宋_GB2312" w:cs="Times New Roman"/>
                <w:color w:val="000000"/>
                <w:kern w:val="0"/>
                <w:sz w:val="18"/>
                <w:szCs w:val="18"/>
                <w:highlight w:val="none"/>
                <w:lang w:val="en-US" w:eastAsia="zh-CN" w:bidi="ar"/>
              </w:rPr>
              <w:t>2</w:t>
            </w:r>
          </w:p>
        </w:tc>
        <w:tc>
          <w:tcPr>
            <w:tcW w:w="8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阿坝县劳动力调查</w:t>
            </w:r>
          </w:p>
        </w:tc>
        <w:tc>
          <w:tcPr>
            <w:tcW w:w="7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1</w:t>
            </w:r>
          </w:p>
        </w:tc>
        <w:tc>
          <w:tcPr>
            <w:tcW w:w="6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5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1</w:t>
            </w: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6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shd w:val="clear" w:color="auto" w:fill="auto"/>
          <w:tblCellMar>
            <w:top w:w="0" w:type="dxa"/>
            <w:left w:w="108" w:type="dxa"/>
            <w:bottom w:w="0" w:type="dxa"/>
            <w:right w:w="108" w:type="dxa"/>
          </w:tblCellMar>
        </w:tblPrEx>
        <w:trPr>
          <w:trHeight w:val="249" w:hRule="atLeast"/>
        </w:trPr>
        <w:tc>
          <w:tcPr>
            <w:tcW w:w="282"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default" w:ascii="Times New Roman" w:hAnsi="Times New Roman" w:eastAsia="仿宋_GB2312" w:cs="Times New Roman"/>
                <w:color w:val="000000"/>
                <w:kern w:val="0"/>
                <w:sz w:val="18"/>
                <w:szCs w:val="18"/>
                <w:highlight w:val="none"/>
                <w:lang w:val="en-US" w:eastAsia="zh-CN" w:bidi="ar"/>
              </w:rPr>
              <w:t>3</w:t>
            </w:r>
          </w:p>
        </w:tc>
        <w:tc>
          <w:tcPr>
            <w:tcW w:w="88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阿坝县住户调查大样本轮换工作经费</w:t>
            </w:r>
          </w:p>
        </w:tc>
        <w:tc>
          <w:tcPr>
            <w:tcW w:w="70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4.93</w:t>
            </w:r>
          </w:p>
        </w:tc>
        <w:tc>
          <w:tcPr>
            <w:tcW w:w="648"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57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jc w:val="center"/>
              <w:rPr>
                <w:rFonts w:hint="default" w:ascii="Times New Roman" w:hAnsi="Times New Roman" w:eastAsia="仿宋_GB2312" w:cs="Times New Roman"/>
                <w:color w:val="000000"/>
                <w:kern w:val="0"/>
                <w:sz w:val="18"/>
                <w:szCs w:val="18"/>
                <w:highlight w:val="none"/>
                <w:lang w:val="en-US" w:eastAsia="zh-CN" w:bidi="ar"/>
              </w:rPr>
            </w:pPr>
          </w:p>
        </w:tc>
        <w:tc>
          <w:tcPr>
            <w:tcW w:w="69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4.93</w:t>
            </w:r>
          </w:p>
        </w:tc>
        <w:tc>
          <w:tcPr>
            <w:tcW w:w="689"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4.93</w:t>
            </w:r>
          </w:p>
        </w:tc>
        <w:tc>
          <w:tcPr>
            <w:tcW w:w="513" w:type="pct"/>
            <w:tcBorders>
              <w:top w:val="single" w:color="000000" w:sz="4" w:space="0"/>
              <w:left w:val="single" w:color="000000" w:sz="4" w:space="0"/>
              <w:bottom w:val="single" w:color="000000" w:sz="4" w:space="0"/>
              <w:right w:val="single" w:color="000000" w:sz="4" w:space="0"/>
            </w:tcBorders>
            <w:shd w:val="clear" w:color="auto" w:fill="auto"/>
            <w:noWrap/>
            <w:vAlign w:val="center"/>
          </w:tcPr>
          <w:p>
            <w:pPr>
              <w:pStyle w:val="24"/>
              <w:widowControl w:val="0"/>
              <w:snapToGrid w:val="0"/>
              <w:spacing w:line="240" w:lineRule="auto"/>
              <w:ind w:firstLine="0" w:firstLineChars="0"/>
              <w:jc w:val="center"/>
              <w:textAlignment w:val="auto"/>
              <w:rPr>
                <w:rFonts w:hint="default" w:ascii="Times New Roman" w:hAnsi="Times New Roman" w:eastAsia="仿宋_GB2312" w:cs="Times New Roman"/>
                <w:color w:val="000000"/>
                <w:kern w:val="0"/>
                <w:sz w:val="18"/>
                <w:szCs w:val="18"/>
                <w:highlight w:val="none"/>
                <w:lang w:val="en-US" w:eastAsia="zh-CN" w:bidi="ar"/>
              </w:rPr>
            </w:pPr>
            <w:r>
              <w:rPr>
                <w:rFonts w:hint="eastAsia" w:ascii="Times New Roman" w:hAnsi="Times New Roman" w:eastAsia="仿宋_GB2312" w:cs="Times New Roman"/>
                <w:i w:val="0"/>
                <w:iCs w:val="0"/>
                <w:color w:val="000000"/>
                <w:kern w:val="0"/>
                <w:sz w:val="18"/>
                <w:szCs w:val="18"/>
                <w:highlight w:val="none"/>
                <w:u w:val="none"/>
                <w:lang w:val="en-US" w:eastAsia="zh-CN" w:bidi="ar"/>
              </w:rPr>
              <w:t>100.00%</w:t>
            </w:r>
          </w:p>
        </w:tc>
      </w:tr>
      <w:tr>
        <w:tblPrEx>
          <w:tblBorders>
            <w:top w:val="none" w:color="auto" w:sz="0" w:space="0"/>
            <w:left w:val="none" w:color="auto" w:sz="0" w:space="0"/>
            <w:bottom w:val="none" w:color="auto" w:sz="0" w:space="0"/>
            <w:right w:val="none" w:color="auto" w:sz="0" w:space="0"/>
            <w:insideH w:val="none" w:color="auto" w:sz="0" w:space="0"/>
            <w:insideV w:val="none" w:color="auto" w:sz="0" w:space="0"/>
          </w:tblBorders>
          <w:tblCellMar>
            <w:top w:w="0" w:type="dxa"/>
            <w:left w:w="108" w:type="dxa"/>
            <w:bottom w:w="0" w:type="dxa"/>
            <w:right w:w="108" w:type="dxa"/>
          </w:tblCellMar>
        </w:tblPrEx>
        <w:trPr>
          <w:trHeight w:val="248" w:hRule="atLeast"/>
        </w:trPr>
        <w:tc>
          <w:tcPr>
            <w:tcW w:w="1171" w:type="pct"/>
            <w:gridSpan w:val="2"/>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keepNext w:val="0"/>
              <w:keepLines w:val="0"/>
              <w:pageBreakBefore w:val="0"/>
              <w:widowControl w:val="0"/>
              <w:kinsoku/>
              <w:wordWrap/>
              <w:overflowPunct/>
              <w:topLinePunct w:val="0"/>
              <w:autoSpaceDE/>
              <w:autoSpaceDN/>
              <w:bidi w:val="0"/>
              <w:adjustRightInd/>
              <w:snapToGrid w:val="0"/>
              <w:spacing w:line="240" w:lineRule="auto"/>
              <w:ind w:left="0" w:leftChars="0" w:firstLine="0" w:firstLineChars="0"/>
              <w:jc w:val="center"/>
              <w:textAlignment w:val="auto"/>
              <w:rPr>
                <w:rFonts w:hint="default" w:ascii="Times New Roman" w:hAnsi="Times New Roman" w:eastAsia="仿宋_GB2312" w:cs="Times New Roman"/>
                <w:b/>
                <w:bCs/>
                <w:color w:val="000000"/>
                <w:kern w:val="0"/>
                <w:sz w:val="18"/>
                <w:szCs w:val="18"/>
                <w:highlight w:val="none"/>
                <w:lang w:val="en-US" w:eastAsia="zh-CN" w:bidi="ar"/>
              </w:rPr>
            </w:pPr>
            <w:r>
              <w:rPr>
                <w:rFonts w:hint="eastAsia" w:ascii="Times New Roman" w:hAnsi="Times New Roman" w:eastAsia="仿宋_GB2312" w:cs="Times New Roman"/>
                <w:b/>
                <w:bCs/>
                <w:color w:val="000000"/>
                <w:kern w:val="0"/>
                <w:sz w:val="18"/>
                <w:szCs w:val="18"/>
                <w:highlight w:val="none"/>
                <w:lang w:val="en-US" w:eastAsia="zh-CN" w:bidi="ar"/>
              </w:rPr>
              <w:t>合计：</w:t>
            </w:r>
          </w:p>
        </w:tc>
        <w:tc>
          <w:tcPr>
            <w:tcW w:w="1267"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u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38.7</w:t>
            </w:r>
          </w:p>
        </w:tc>
        <w:tc>
          <w:tcPr>
            <w:tcW w:w="1167"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u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0</w:t>
            </w:r>
          </w:p>
        </w:tc>
        <w:tc>
          <w:tcPr>
            <w:tcW w:w="1044"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u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1</w:t>
            </w:r>
          </w:p>
        </w:tc>
        <w:tc>
          <w:tcPr>
            <w:tcW w:w="1249"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u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37.7</w:t>
            </w:r>
          </w:p>
        </w:tc>
        <w:tc>
          <w:tcPr>
            <w:tcW w:w="1242"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u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37.7</w:t>
            </w:r>
          </w:p>
        </w:tc>
        <w:tc>
          <w:tcPr>
            <w:tcW w:w="924" w:type="dxa"/>
            <w:tcBorders>
              <w:top w:val="single" w:color="000000" w:sz="4" w:space="0"/>
              <w:left w:val="single" w:color="000000" w:sz="4" w:space="0"/>
              <w:bottom w:val="single" w:color="000000" w:sz="4" w:space="0"/>
              <w:right w:val="single" w:color="000000" w:sz="4" w:space="0"/>
            </w:tcBorders>
            <w:shd w:val="clear" w:color="auto" w:fill="BEBEBE" w:themeFill="background1" w:themeFillShade="BF"/>
            <w:noWrap/>
            <w:vAlign w:val="center"/>
          </w:tcPr>
          <w:p>
            <w:pPr>
              <w:pStyle w:val="24"/>
              <w:widowControl w:val="0"/>
              <w:snapToGrid w:val="0"/>
              <w:spacing w:line="240" w:lineRule="auto"/>
              <w:ind w:firstLine="0" w:firstLineChars="0"/>
              <w:jc w:val="center"/>
              <w:textAlignment w:val="auto"/>
              <w:rPr>
                <w:rFonts w:hint="eastAsia" w:ascii="Times New Roman" w:hAnsi="Times New Roman" w:eastAsia="仿宋_GB2312" w:cs="Times New Roman"/>
                <w:b/>
                <w:bCs/>
                <w:color w:val="000000"/>
                <w:kern w:val="0"/>
                <w:sz w:val="18"/>
                <w:szCs w:val="18"/>
                <w:highlight w:val="none"/>
                <w:u w:val="none"/>
                <w:lang w:val="en-US" w:eastAsia="zh-CN" w:bidi="ar"/>
              </w:rPr>
            </w:pPr>
            <w:r>
              <w:rPr>
                <w:rFonts w:hint="eastAsia" w:ascii="Times New Roman" w:hAnsi="Times New Roman" w:eastAsia="仿宋_GB2312" w:cs="Times New Roman"/>
                <w:b/>
                <w:bCs/>
                <w:i w:val="0"/>
                <w:iCs w:val="0"/>
                <w:color w:val="000000"/>
                <w:kern w:val="0"/>
                <w:sz w:val="18"/>
                <w:szCs w:val="18"/>
                <w:highlight w:val="none"/>
                <w:u w:val="none"/>
                <w:lang w:val="en-US" w:eastAsia="zh-CN" w:bidi="ar"/>
              </w:rPr>
              <w:t>100.00%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eastAsia" w:ascii="Times New Roman" w:hAnsi="Times New Roman" w:eastAsia="仿宋_GB2312" w:cs="Times New Roman"/>
          <w:color w:val="000000"/>
          <w:kern w:val="0"/>
          <w:sz w:val="32"/>
          <w:szCs w:val="32"/>
          <w:highlight w:val="none"/>
          <w:lang w:val="en-US" w:eastAsia="zh-CN" w:bidi="ar"/>
        </w:rPr>
        <w:t>综上，被评价单位</w:t>
      </w:r>
      <w:r>
        <w:rPr>
          <w:rFonts w:hint="eastAsia" w:eastAsia="仿宋_GB2312" w:cs="Times New Roman"/>
          <w:color w:val="000000"/>
          <w:kern w:val="0"/>
          <w:sz w:val="32"/>
          <w:szCs w:val="32"/>
          <w:highlight w:val="none"/>
          <w:lang w:val="en-US" w:eastAsia="zh-CN" w:bidi="ar"/>
        </w:rPr>
        <w:t>2022年</w:t>
      </w:r>
      <w:r>
        <w:rPr>
          <w:rFonts w:hint="eastAsia" w:ascii="Times New Roman" w:hAnsi="Times New Roman" w:eastAsia="仿宋_GB2312" w:cs="Times New Roman"/>
          <w:color w:val="000000"/>
          <w:kern w:val="0"/>
          <w:sz w:val="32"/>
          <w:szCs w:val="32"/>
          <w:highlight w:val="none"/>
          <w:lang w:val="en-US" w:eastAsia="zh-CN" w:bidi="ar"/>
        </w:rPr>
        <w:t>部门预算项目总执行进度为</w:t>
      </w:r>
      <w:r>
        <w:rPr>
          <w:rFonts w:hint="eastAsia" w:eastAsia="仿宋_GB2312" w:cs="Times New Roman"/>
          <w:color w:val="000000"/>
          <w:kern w:val="0"/>
          <w:sz w:val="32"/>
          <w:szCs w:val="32"/>
          <w:highlight w:val="none"/>
          <w:lang w:val="en-US" w:eastAsia="zh-CN" w:bidi="ar"/>
        </w:rPr>
        <w:t>100</w:t>
      </w:r>
      <w:r>
        <w:rPr>
          <w:rFonts w:hint="eastAsia" w:ascii="Times New Roman" w:hAnsi="Times New Roman" w:eastAsia="仿宋_GB2312" w:cs="Times New Roman"/>
          <w:color w:val="000000"/>
          <w:kern w:val="0"/>
          <w:sz w:val="32"/>
          <w:szCs w:val="32"/>
          <w:highlight w:val="none"/>
          <w:lang w:val="en-US" w:eastAsia="zh-CN" w:bidi="ar"/>
        </w:rPr>
        <w:t>%，得分</w:t>
      </w:r>
      <w:r>
        <w:rPr>
          <w:rFonts w:hint="eastAsia" w:eastAsia="仿宋_GB2312" w:cs="Times New Roman"/>
          <w:color w:val="000000"/>
          <w:kern w:val="0"/>
          <w:sz w:val="32"/>
          <w:szCs w:val="32"/>
          <w:highlight w:val="none"/>
          <w:lang w:val="en-US" w:eastAsia="zh-CN" w:bidi="ar"/>
        </w:rPr>
        <w:t>10</w:t>
      </w:r>
      <w:r>
        <w:rPr>
          <w:rFonts w:hint="eastAsia" w:ascii="Times New Roman" w:hAnsi="Times New Roman" w:eastAsia="仿宋_GB2312" w:cs="Times New Roman"/>
          <w:color w:val="000000"/>
          <w:kern w:val="0"/>
          <w:sz w:val="32"/>
          <w:szCs w:val="32"/>
          <w:highlight w:val="none"/>
          <w:lang w:val="en-US" w:eastAsia="zh-CN" w:bidi="ar"/>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违规记录</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val="0"/>
          <w:bCs w:val="0"/>
          <w:kern w:val="0"/>
          <w:sz w:val="32"/>
          <w:szCs w:val="32"/>
          <w:highlight w:val="none"/>
          <w:shd w:val="clear" w:color="auto" w:fill="FFFFFF"/>
          <w:lang w:val="en-US" w:eastAsia="zh-CN"/>
        </w:rPr>
      </w:pPr>
      <w:r>
        <w:rPr>
          <w:rFonts w:hint="eastAsia" w:eastAsia="仿宋_GB2312" w:cs="Times New Roman"/>
          <w:b w:val="0"/>
          <w:bCs w:val="0"/>
          <w:kern w:val="0"/>
          <w:sz w:val="32"/>
          <w:szCs w:val="32"/>
          <w:highlight w:val="none"/>
          <w:shd w:val="clear" w:color="auto" w:fill="FFFFFF"/>
          <w:lang w:val="en-US" w:eastAsia="zh-CN"/>
        </w:rPr>
        <w:t>阿坝县统计局未接受过</w:t>
      </w:r>
      <w:r>
        <w:rPr>
          <w:rFonts w:hint="default" w:ascii="Times New Roman" w:hAnsi="Times New Roman" w:eastAsia="仿宋_GB2312" w:cs="Times New Roman"/>
          <w:b w:val="0"/>
          <w:bCs w:val="0"/>
          <w:kern w:val="0"/>
          <w:sz w:val="32"/>
          <w:szCs w:val="32"/>
          <w:highlight w:val="none"/>
          <w:shd w:val="clear" w:color="auto" w:fill="FFFFFF"/>
          <w:lang w:val="en-US" w:eastAsia="zh-CN"/>
        </w:rPr>
        <w:t>审计、财政</w:t>
      </w:r>
      <w:r>
        <w:rPr>
          <w:rFonts w:hint="eastAsia" w:eastAsia="仿宋_GB2312" w:cs="Times New Roman"/>
          <w:b w:val="0"/>
          <w:bCs w:val="0"/>
          <w:kern w:val="0"/>
          <w:sz w:val="32"/>
          <w:szCs w:val="32"/>
          <w:highlight w:val="none"/>
          <w:shd w:val="clear" w:color="auto" w:fill="FFFFFF"/>
          <w:lang w:val="en-US" w:eastAsia="zh-CN"/>
        </w:rPr>
        <w:t>等</w:t>
      </w:r>
      <w:r>
        <w:rPr>
          <w:rFonts w:hint="default" w:ascii="Times New Roman" w:hAnsi="Times New Roman" w:eastAsia="仿宋_GB2312" w:cs="Times New Roman"/>
          <w:b w:val="0"/>
          <w:bCs w:val="0"/>
          <w:kern w:val="0"/>
          <w:sz w:val="32"/>
          <w:szCs w:val="32"/>
          <w:highlight w:val="none"/>
          <w:shd w:val="clear" w:color="auto" w:fill="FFFFFF"/>
          <w:lang w:val="en-US" w:eastAsia="zh-CN"/>
        </w:rPr>
        <w:t>部门</w:t>
      </w:r>
      <w:r>
        <w:rPr>
          <w:rFonts w:hint="eastAsia" w:eastAsia="仿宋_GB2312" w:cs="Times New Roman"/>
          <w:b w:val="0"/>
          <w:bCs w:val="0"/>
          <w:kern w:val="0"/>
          <w:sz w:val="32"/>
          <w:szCs w:val="32"/>
          <w:highlight w:val="none"/>
          <w:shd w:val="clear" w:color="auto" w:fill="FFFFFF"/>
          <w:lang w:val="en-US" w:eastAsia="zh-CN"/>
        </w:rPr>
        <w:t>对2022年度部门</w:t>
      </w:r>
      <w:r>
        <w:rPr>
          <w:rFonts w:hint="default" w:ascii="Times New Roman" w:hAnsi="Times New Roman" w:eastAsia="仿宋_GB2312" w:cs="Times New Roman"/>
          <w:b w:val="0"/>
          <w:bCs w:val="0"/>
          <w:kern w:val="0"/>
          <w:sz w:val="32"/>
          <w:szCs w:val="32"/>
          <w:highlight w:val="none"/>
          <w:shd w:val="clear" w:color="auto" w:fill="FFFFFF"/>
          <w:lang w:val="en-US" w:eastAsia="zh-CN"/>
        </w:rPr>
        <w:t>预算</w:t>
      </w:r>
      <w:r>
        <w:rPr>
          <w:rFonts w:hint="default" w:eastAsia="仿宋_GB2312" w:cs="Times New Roman"/>
          <w:color w:val="000000"/>
          <w:kern w:val="0"/>
          <w:sz w:val="32"/>
          <w:szCs w:val="32"/>
          <w:highlight w:val="none"/>
          <w:lang w:val="en-US" w:eastAsia="zh-CN" w:bidi="ar"/>
        </w:rPr>
        <w:t>管理</w:t>
      </w:r>
      <w:r>
        <w:rPr>
          <w:rFonts w:hint="eastAsia" w:eastAsia="仿宋_GB2312" w:cs="Times New Roman"/>
          <w:b w:val="0"/>
          <w:bCs w:val="0"/>
          <w:kern w:val="0"/>
          <w:sz w:val="32"/>
          <w:szCs w:val="32"/>
          <w:highlight w:val="none"/>
          <w:shd w:val="clear" w:color="auto" w:fill="FFFFFF"/>
          <w:lang w:val="en-US" w:eastAsia="zh-CN"/>
        </w:rPr>
        <w:t>方面的</w:t>
      </w:r>
      <w:r>
        <w:rPr>
          <w:rFonts w:hint="default" w:ascii="Times New Roman" w:hAnsi="Times New Roman" w:eastAsia="仿宋_GB2312" w:cs="Times New Roman"/>
          <w:b w:val="0"/>
          <w:bCs w:val="0"/>
          <w:kern w:val="0"/>
          <w:sz w:val="32"/>
          <w:szCs w:val="32"/>
          <w:highlight w:val="none"/>
          <w:shd w:val="clear" w:color="auto" w:fill="FFFFFF"/>
          <w:lang w:val="en-US" w:eastAsia="zh-CN"/>
        </w:rPr>
        <w:t>审计监督</w:t>
      </w:r>
      <w:r>
        <w:rPr>
          <w:rFonts w:hint="eastAsia" w:eastAsia="仿宋_GB2312" w:cs="Times New Roman"/>
          <w:b w:val="0"/>
          <w:bCs w:val="0"/>
          <w:kern w:val="0"/>
          <w:sz w:val="32"/>
          <w:szCs w:val="32"/>
          <w:highlight w:val="none"/>
          <w:shd w:val="clear" w:color="auto" w:fill="FFFFFF"/>
          <w:lang w:val="en-US" w:eastAsia="zh-CN"/>
        </w:rPr>
        <w:t>或</w:t>
      </w:r>
      <w:r>
        <w:rPr>
          <w:rFonts w:hint="default" w:ascii="Times New Roman" w:hAnsi="Times New Roman" w:eastAsia="仿宋_GB2312" w:cs="Times New Roman"/>
          <w:b w:val="0"/>
          <w:bCs w:val="0"/>
          <w:kern w:val="0"/>
          <w:sz w:val="32"/>
          <w:szCs w:val="32"/>
          <w:highlight w:val="none"/>
          <w:shd w:val="clear" w:color="auto" w:fill="FFFFFF"/>
          <w:lang w:val="en-US" w:eastAsia="zh-CN"/>
        </w:rPr>
        <w:t>财政检查。</w:t>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eastAsia="仿宋_GB2312" w:cs="Times New Roman"/>
          <w:lang w:val="en-US" w:eastAsia="zh-CN"/>
        </w:rPr>
      </w:pPr>
      <w:bookmarkStart w:id="128" w:name="_Toc8780"/>
      <w:bookmarkStart w:id="129" w:name="_Toc20958"/>
      <w:bookmarkStart w:id="130" w:name="_Toc6812"/>
      <w:bookmarkStart w:id="131" w:name="_Toc15102"/>
      <w:bookmarkStart w:id="132" w:name="_Toc26309"/>
      <w:bookmarkStart w:id="133" w:name="_Toc7086"/>
      <w:r>
        <w:rPr>
          <w:rFonts w:hint="eastAsia" w:eastAsia="仿宋_GB2312" w:cs="Times New Roman"/>
          <w:lang w:val="en-US" w:eastAsia="zh-CN"/>
        </w:rPr>
        <w:t>2</w:t>
      </w:r>
      <w:r>
        <w:rPr>
          <w:rFonts w:hint="default" w:eastAsia="仿宋_GB2312" w:cs="Times New Roman"/>
          <w:lang w:val="en-US" w:eastAsia="zh-CN"/>
        </w:rPr>
        <w:t>、绩效结果应用情况分析</w:t>
      </w:r>
      <w:bookmarkEnd w:id="128"/>
      <w:bookmarkEnd w:id="129"/>
      <w:bookmarkEnd w:id="130"/>
      <w:bookmarkEnd w:id="131"/>
      <w:bookmarkEnd w:id="132"/>
      <w:bookmarkEnd w:id="133"/>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该指标权重为</w:t>
      </w:r>
      <w:r>
        <w:rPr>
          <w:rFonts w:hint="eastAsia" w:eastAsia="仿宋_GB2312" w:cs="Times New Roman"/>
          <w:color w:val="000000"/>
          <w:kern w:val="0"/>
          <w:sz w:val="32"/>
          <w:szCs w:val="32"/>
          <w:highlight w:val="none"/>
          <w:lang w:val="en-US" w:eastAsia="zh-CN" w:bidi="ar"/>
        </w:rPr>
        <w:t>1</w:t>
      </w:r>
      <w:r>
        <w:rPr>
          <w:rFonts w:hint="default" w:eastAsia="仿宋_GB2312" w:cs="Times New Roman"/>
          <w:color w:val="000000"/>
          <w:kern w:val="0"/>
          <w:sz w:val="32"/>
          <w:szCs w:val="32"/>
          <w:highlight w:val="none"/>
          <w:lang w:val="en-US" w:eastAsia="zh-CN" w:bidi="ar"/>
        </w:rPr>
        <w:t>0分，评价权重</w:t>
      </w:r>
      <w:r>
        <w:rPr>
          <w:rFonts w:hint="eastAsia" w:eastAsia="仿宋_GB2312" w:cs="Times New Roman"/>
          <w:color w:val="000000"/>
          <w:kern w:val="0"/>
          <w:sz w:val="32"/>
          <w:szCs w:val="32"/>
          <w:highlight w:val="none"/>
          <w:lang w:val="en-US" w:eastAsia="zh-CN" w:bidi="ar"/>
        </w:rPr>
        <w:t>2</w:t>
      </w:r>
      <w:r>
        <w:rPr>
          <w:rFonts w:hint="default" w:eastAsia="仿宋_GB2312" w:cs="Times New Roman"/>
          <w:color w:val="000000"/>
          <w:kern w:val="0"/>
          <w:sz w:val="32"/>
          <w:szCs w:val="32"/>
          <w:highlight w:val="none"/>
          <w:lang w:val="en-US" w:eastAsia="zh-CN" w:bidi="ar"/>
        </w:rPr>
        <w:t>分，评价权重得分</w:t>
      </w:r>
      <w:r>
        <w:rPr>
          <w:rFonts w:hint="eastAsia" w:eastAsia="仿宋_GB2312" w:cs="Times New Roman"/>
          <w:color w:val="000000"/>
          <w:kern w:val="0"/>
          <w:sz w:val="32"/>
          <w:szCs w:val="32"/>
          <w:highlight w:val="none"/>
          <w:lang w:val="en-US" w:eastAsia="zh-CN" w:bidi="ar"/>
        </w:rPr>
        <w:t>2</w:t>
      </w:r>
      <w:r>
        <w:rPr>
          <w:rFonts w:hint="default" w:eastAsia="仿宋_GB2312" w:cs="Times New Roman"/>
          <w:color w:val="000000"/>
          <w:kern w:val="0"/>
          <w:sz w:val="32"/>
          <w:szCs w:val="32"/>
          <w:highlight w:val="none"/>
          <w:lang w:val="en-US" w:eastAsia="zh-CN" w:bidi="ar"/>
        </w:rPr>
        <w:t>分。用于考察评价部门是否按要求将相关绩效信息向社会公开</w:t>
      </w:r>
      <w:r>
        <w:rPr>
          <w:rFonts w:hint="eastAsia" w:eastAsia="仿宋_GB2312" w:cs="Times New Roman"/>
          <w:color w:val="000000"/>
          <w:kern w:val="0"/>
          <w:sz w:val="32"/>
          <w:szCs w:val="32"/>
          <w:highlight w:val="none"/>
          <w:lang w:val="en-US" w:eastAsia="zh-CN" w:bidi="ar"/>
        </w:rPr>
        <w:t>；评价部门根据绩效管理结果整改问题、完善政策、改进管理的情况；评价部门按要求及时向财政部门反馈结果应用情况等</w:t>
      </w:r>
      <w:r>
        <w:rPr>
          <w:rFonts w:hint="default"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各分项指标得分和绩效分析如下：</w:t>
      </w:r>
    </w:p>
    <w:p>
      <w:pPr>
        <w:widowControl/>
        <w:spacing w:line="600" w:lineRule="exact"/>
        <w:ind w:firstLine="48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表</w:t>
      </w:r>
      <w:r>
        <w:rPr>
          <w:rFonts w:hint="eastAsia" w:eastAsia="仿宋_GB2312" w:cs="Times New Roman"/>
          <w:b/>
          <w:bCs/>
          <w:color w:val="000000"/>
          <w:kern w:val="0"/>
          <w:highlight w:val="none"/>
          <w:lang w:val="en-US" w:eastAsia="zh-CN" w:bidi="ar"/>
        </w:rPr>
        <w:t>11</w:t>
      </w:r>
      <w:r>
        <w:rPr>
          <w:rFonts w:hint="default" w:ascii="Times New Roman" w:hAnsi="Times New Roman" w:eastAsia="仿宋_GB2312" w:cs="Times New Roman"/>
          <w:b/>
          <w:bCs/>
          <w:color w:val="000000"/>
          <w:kern w:val="0"/>
          <w:highlight w:val="none"/>
          <w:lang w:bidi="ar"/>
        </w:rPr>
        <w:t>部门整体支出</w:t>
      </w:r>
      <w:r>
        <w:rPr>
          <w:rFonts w:hint="default" w:ascii="Times New Roman" w:hAnsi="Times New Roman" w:eastAsia="仿宋_GB2312" w:cs="Times New Roman"/>
          <w:b/>
          <w:bCs/>
          <w:color w:val="000000"/>
          <w:kern w:val="0"/>
          <w:highlight w:val="none"/>
          <w:lang w:val="en-US" w:eastAsia="zh-CN" w:bidi="ar"/>
        </w:rPr>
        <w:t>绩效结果</w:t>
      </w:r>
      <w:r>
        <w:rPr>
          <w:rFonts w:hint="eastAsia" w:eastAsia="仿宋_GB2312" w:cs="Times New Roman"/>
          <w:b/>
          <w:bCs/>
          <w:color w:val="000000"/>
          <w:kern w:val="0"/>
          <w:highlight w:val="none"/>
          <w:lang w:val="en-US" w:eastAsia="zh-CN" w:bidi="ar"/>
        </w:rPr>
        <w:t>应用</w:t>
      </w:r>
      <w:r>
        <w:rPr>
          <w:rFonts w:hint="default" w:ascii="Times New Roman" w:hAnsi="Times New Roman" w:eastAsia="仿宋_GB2312" w:cs="Times New Roman"/>
          <w:b/>
          <w:bCs/>
          <w:color w:val="000000"/>
          <w:kern w:val="0"/>
          <w:highlight w:val="none"/>
          <w:lang w:bidi="ar"/>
        </w:rPr>
        <w:t>情况得分表</w:t>
      </w:r>
    </w:p>
    <w:tbl>
      <w:tblPr>
        <w:tblStyle w:val="41"/>
        <w:tblW w:w="8946"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1720"/>
        <w:gridCol w:w="1333"/>
        <w:gridCol w:w="1467"/>
        <w:gridCol w:w="900"/>
        <w:gridCol w:w="1267"/>
        <w:gridCol w:w="1197"/>
        <w:gridCol w:w="1062"/>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172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一级指标</w:t>
            </w:r>
          </w:p>
        </w:tc>
        <w:tc>
          <w:tcPr>
            <w:tcW w:w="1333"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二级指标</w:t>
            </w:r>
          </w:p>
        </w:tc>
        <w:tc>
          <w:tcPr>
            <w:tcW w:w="14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三级指标</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权重</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default" w:ascii="Times New Roman" w:hAnsi="Times New Roman" w:eastAsia="仿宋_GB2312" w:cs="Times New Roman"/>
                <w:b/>
                <w:bCs/>
                <w:color w:val="000000"/>
                <w:kern w:val="0"/>
                <w:highlight w:val="none"/>
                <w:lang w:val="en-US" w:eastAsia="zh-CN" w:bidi="ar"/>
              </w:rPr>
              <w:t>评价权重</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val="en-US" w:eastAsia="zh-CN" w:bidi="ar"/>
              </w:rPr>
              <w:t>评价</w:t>
            </w:r>
            <w:r>
              <w:rPr>
                <w:rFonts w:hint="default" w:ascii="Times New Roman" w:hAnsi="Times New Roman" w:eastAsia="仿宋_GB2312" w:cs="Times New Roman"/>
                <w:b/>
                <w:bCs/>
                <w:color w:val="000000"/>
                <w:kern w:val="0"/>
                <w:highlight w:val="none"/>
                <w:lang w:bidi="ar"/>
              </w:rPr>
              <w:t>得分</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绩效结果应用（10分）</w:t>
            </w:r>
          </w:p>
        </w:tc>
        <w:tc>
          <w:tcPr>
            <w:tcW w:w="1333"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信息公开（2分）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自评公开</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2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19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2</w:t>
            </w:r>
          </w:p>
        </w:tc>
        <w:tc>
          <w:tcPr>
            <w:tcW w:w="1062"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100%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restart"/>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整改反馈（8分）</w:t>
            </w: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问题整改</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90" w:hRule="atLeast"/>
          <w:jc w:val="center"/>
        </w:trPr>
        <w:tc>
          <w:tcPr>
            <w:tcW w:w="1720"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333" w:type="dxa"/>
            <w:vMerge w:val="continue"/>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p>
        </w:tc>
        <w:tc>
          <w:tcPr>
            <w:tcW w:w="1467"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应用反馈</w:t>
            </w:r>
          </w:p>
        </w:tc>
        <w:tc>
          <w:tcPr>
            <w:tcW w:w="900" w:type="dxa"/>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4</w:t>
            </w:r>
          </w:p>
        </w:tc>
        <w:tc>
          <w:tcPr>
            <w:tcW w:w="3526" w:type="dxa"/>
            <w:gridSpan w:val="3"/>
            <w:vAlign w:val="center"/>
          </w:tcPr>
          <w:p>
            <w:pPr>
              <w:widowControl/>
              <w:spacing w:line="240" w:lineRule="auto"/>
              <w:ind w:firstLine="0" w:firstLineChars="0"/>
              <w:jc w:val="center"/>
              <w:rPr>
                <w:rFonts w:hint="default" w:eastAsia="仿宋_GB2312" w:cs="Times New Roman"/>
                <w:color w:val="000000"/>
                <w:kern w:val="0"/>
                <w:highlight w:val="none"/>
                <w:lang w:val="en-US" w:eastAsia="zh-CN" w:bidi="ar"/>
              </w:rPr>
            </w:pPr>
            <w:r>
              <w:rPr>
                <w:rFonts w:hint="eastAsia" w:eastAsia="仿宋_GB2312" w:cs="Times New Roman"/>
                <w:color w:val="000000"/>
                <w:kern w:val="0"/>
                <w:highlight w:val="none"/>
                <w:lang w:val="en-US" w:eastAsia="zh-CN" w:bidi="ar"/>
              </w:rPr>
              <w:t>指标不适用</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4520"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bidi="ar"/>
              </w:rPr>
            </w:pPr>
            <w:r>
              <w:rPr>
                <w:rFonts w:hint="default" w:ascii="Times New Roman" w:hAnsi="Times New Roman" w:eastAsia="仿宋_GB2312" w:cs="Times New Roman"/>
                <w:b/>
                <w:bCs/>
                <w:color w:val="000000"/>
                <w:kern w:val="0"/>
                <w:highlight w:val="none"/>
                <w:lang w:bidi="ar"/>
              </w:rPr>
              <w:t>得分合计</w:t>
            </w:r>
          </w:p>
        </w:tc>
        <w:tc>
          <w:tcPr>
            <w:tcW w:w="900"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w:t>
            </w:r>
            <w:r>
              <w:rPr>
                <w:rFonts w:hint="default" w:ascii="Times New Roman" w:hAnsi="Times New Roman" w:eastAsia="仿宋_GB2312" w:cs="Times New Roman"/>
                <w:b/>
                <w:bCs/>
                <w:color w:val="000000"/>
                <w:kern w:val="0"/>
                <w:highlight w:val="none"/>
                <w:lang w:val="en-US" w:eastAsia="zh-CN" w:bidi="ar"/>
              </w:rPr>
              <w:t>0</w:t>
            </w:r>
          </w:p>
        </w:tc>
        <w:tc>
          <w:tcPr>
            <w:tcW w:w="126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197"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2</w:t>
            </w:r>
          </w:p>
        </w:tc>
        <w:tc>
          <w:tcPr>
            <w:tcW w:w="10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highlight w:val="none"/>
                <w:lang w:val="en-US" w:eastAsia="zh-CN" w:bidi="ar"/>
              </w:rPr>
            </w:pPr>
            <w:r>
              <w:rPr>
                <w:rFonts w:hint="eastAsia" w:eastAsia="仿宋_GB2312" w:cs="Times New Roman"/>
                <w:b/>
                <w:bCs/>
                <w:color w:val="000000"/>
                <w:kern w:val="0"/>
                <w:highlight w:val="none"/>
                <w:lang w:val="en-US" w:eastAsia="zh-CN" w:bidi="ar"/>
              </w:rPr>
              <w:t>100%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w:t>
      </w:r>
      <w:r>
        <w:rPr>
          <w:rFonts w:hint="eastAsia" w:eastAsia="仿宋_GB2312" w:cs="Times New Roman"/>
          <w:b/>
          <w:bCs/>
          <w:kern w:val="0"/>
          <w:sz w:val="32"/>
          <w:szCs w:val="32"/>
          <w:highlight w:val="none"/>
          <w:shd w:val="clear" w:color="auto" w:fill="FFFFFF"/>
          <w:lang w:val="en-US" w:eastAsia="zh-CN"/>
        </w:rPr>
        <w:t>自评公开</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2</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color w:val="000000"/>
          <w:kern w:val="0"/>
          <w:highlight w:val="none"/>
          <w:shd w:val="clear" w:color="auto" w:fill="FFFFFF"/>
          <w:lang w:val="en-US" w:eastAsia="zh-CN"/>
        </w:rPr>
      </w:pPr>
      <w:r>
        <w:rPr>
          <w:rFonts w:hint="eastAsia" w:eastAsia="仿宋_GB2312" w:cs="Times New Roman"/>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kern w:val="0"/>
          <w:sz w:val="32"/>
          <w:szCs w:val="32"/>
          <w:highlight w:val="none"/>
          <w:shd w:val="clear" w:color="auto" w:fill="FFFFFF"/>
          <w:lang w:val="en-US" w:eastAsia="zh-CN" w:bidi="ar-SA"/>
        </w:rPr>
        <w:t>已按要求将统计局本部</w:t>
      </w:r>
      <w:r>
        <w:rPr>
          <w:rFonts w:hint="eastAsia" w:eastAsia="仿宋_GB2312" w:cs="Times New Roman"/>
          <w:kern w:val="0"/>
          <w:sz w:val="32"/>
          <w:szCs w:val="32"/>
          <w:highlight w:val="none"/>
          <w:shd w:val="clear" w:color="auto" w:fill="FFFFFF"/>
          <w:lang w:val="en-US" w:eastAsia="zh-CN" w:bidi="ar-SA"/>
        </w:rPr>
        <w:t>以及纳入统计局2022年度部门预决算编制范围的二级预算单位阿坝县统计局普查中心2022年</w:t>
      </w:r>
      <w:r>
        <w:rPr>
          <w:rFonts w:hint="eastAsia" w:ascii="Times New Roman" w:hAnsi="Times New Roman" w:eastAsia="仿宋_GB2312" w:cs="Times New Roman"/>
          <w:kern w:val="0"/>
          <w:sz w:val="32"/>
          <w:szCs w:val="32"/>
          <w:highlight w:val="none"/>
          <w:shd w:val="clear" w:color="auto" w:fill="FFFFFF"/>
          <w:lang w:val="en-US" w:eastAsia="zh-CN" w:bidi="ar-SA"/>
        </w:rPr>
        <w:t>预算、</w:t>
      </w:r>
      <w:r>
        <w:rPr>
          <w:rFonts w:hint="eastAsia" w:eastAsia="仿宋_GB2312" w:cs="Times New Roman"/>
          <w:kern w:val="0"/>
          <w:sz w:val="32"/>
          <w:szCs w:val="32"/>
          <w:highlight w:val="none"/>
          <w:shd w:val="clear" w:color="auto" w:fill="FFFFFF"/>
          <w:lang w:val="en-US" w:eastAsia="zh-CN" w:bidi="ar-SA"/>
        </w:rPr>
        <w:t>2022年</w:t>
      </w:r>
      <w:r>
        <w:rPr>
          <w:rFonts w:hint="eastAsia" w:ascii="Times New Roman" w:hAnsi="Times New Roman" w:eastAsia="仿宋_GB2312" w:cs="Times New Roman"/>
          <w:kern w:val="0"/>
          <w:sz w:val="32"/>
          <w:szCs w:val="32"/>
          <w:highlight w:val="none"/>
          <w:shd w:val="clear" w:color="auto" w:fill="FFFFFF"/>
          <w:lang w:val="en-US" w:eastAsia="zh-CN" w:bidi="ar-SA"/>
        </w:rPr>
        <w:t>决算</w:t>
      </w:r>
      <w:r>
        <w:rPr>
          <w:rFonts w:hint="eastAsia" w:eastAsia="仿宋_GB2312" w:cs="Times New Roman"/>
          <w:kern w:val="0"/>
          <w:sz w:val="32"/>
          <w:szCs w:val="32"/>
          <w:highlight w:val="none"/>
          <w:shd w:val="clear" w:color="auto" w:fill="FFFFFF"/>
          <w:lang w:val="en-US" w:eastAsia="zh-CN" w:bidi="ar-SA"/>
        </w:rPr>
        <w:t>公开；</w:t>
      </w:r>
      <w:r>
        <w:rPr>
          <w:rFonts w:hint="eastAsia" w:ascii="Times New Roman" w:hAnsi="Times New Roman" w:eastAsia="仿宋_GB2312" w:cs="Times New Roman"/>
          <w:kern w:val="0"/>
          <w:sz w:val="32"/>
          <w:szCs w:val="32"/>
          <w:highlight w:val="none"/>
          <w:shd w:val="clear" w:color="auto" w:fill="FFFFFF"/>
          <w:lang w:val="en-US" w:eastAsia="zh-CN" w:bidi="ar-SA"/>
        </w:rPr>
        <w:t>其中</w:t>
      </w:r>
      <w:r>
        <w:rPr>
          <w:rFonts w:hint="eastAsia" w:eastAsia="仿宋_GB2312" w:cs="Times New Roman"/>
          <w:kern w:val="0"/>
          <w:sz w:val="32"/>
          <w:szCs w:val="32"/>
          <w:highlight w:val="none"/>
          <w:shd w:val="clear" w:color="auto" w:fill="FFFFFF"/>
          <w:lang w:val="en-US" w:eastAsia="zh-CN" w:bidi="ar-SA"/>
        </w:rPr>
        <w:t>阿坝县统计局</w:t>
      </w:r>
      <w:r>
        <w:rPr>
          <w:rFonts w:hint="eastAsia" w:ascii="Times New Roman" w:hAnsi="Times New Roman" w:eastAsia="仿宋_GB2312" w:cs="Times New Roman"/>
          <w:kern w:val="0"/>
          <w:sz w:val="32"/>
          <w:szCs w:val="32"/>
          <w:highlight w:val="none"/>
          <w:shd w:val="clear" w:color="auto" w:fill="FFFFFF"/>
          <w:lang w:val="en-US" w:eastAsia="zh-CN" w:bidi="ar-SA"/>
        </w:rPr>
        <w:t>于</w:t>
      </w:r>
      <w:r>
        <w:rPr>
          <w:rFonts w:hint="eastAsia" w:eastAsia="仿宋_GB2312" w:cs="Times New Roman"/>
          <w:kern w:val="0"/>
          <w:sz w:val="32"/>
          <w:szCs w:val="32"/>
          <w:highlight w:val="none"/>
          <w:shd w:val="clear" w:color="auto" w:fill="FFFFFF"/>
          <w:lang w:val="en-US" w:eastAsia="zh-CN" w:bidi="ar-SA"/>
        </w:rPr>
        <w:t>2022年1</w:t>
      </w:r>
      <w:r>
        <w:rPr>
          <w:rFonts w:hint="eastAsia" w:ascii="Times New Roman" w:hAnsi="Times New Roman" w:eastAsia="仿宋_GB2312" w:cs="Times New Roman"/>
          <w:kern w:val="0"/>
          <w:sz w:val="32"/>
          <w:szCs w:val="32"/>
          <w:highlight w:val="none"/>
          <w:shd w:val="clear" w:color="auto" w:fill="FFFFFF"/>
          <w:lang w:val="en-US" w:eastAsia="zh-CN" w:bidi="ar-SA"/>
        </w:rPr>
        <w:t>月</w:t>
      </w:r>
      <w:r>
        <w:rPr>
          <w:rFonts w:hint="eastAsia" w:eastAsia="仿宋_GB2312" w:cs="Times New Roman"/>
          <w:kern w:val="0"/>
          <w:sz w:val="32"/>
          <w:szCs w:val="32"/>
          <w:highlight w:val="none"/>
          <w:shd w:val="clear" w:color="auto" w:fill="FFFFFF"/>
          <w:lang w:val="en-US" w:eastAsia="zh-CN" w:bidi="ar-SA"/>
        </w:rPr>
        <w:t>20</w:t>
      </w:r>
      <w:r>
        <w:rPr>
          <w:rFonts w:hint="eastAsia" w:ascii="Times New Roman" w:hAnsi="Times New Roman" w:eastAsia="仿宋_GB2312" w:cs="Times New Roman"/>
          <w:kern w:val="0"/>
          <w:sz w:val="32"/>
          <w:szCs w:val="32"/>
          <w:highlight w:val="none"/>
          <w:shd w:val="clear" w:color="auto" w:fill="FFFFFF"/>
          <w:lang w:val="en-US" w:eastAsia="zh-CN" w:bidi="ar-SA"/>
        </w:rPr>
        <w:t>日公开统计局本部以及阿坝县统计局普查中心</w:t>
      </w:r>
      <w:r>
        <w:rPr>
          <w:rFonts w:hint="eastAsia" w:eastAsia="仿宋_GB2312" w:cs="Times New Roman"/>
          <w:kern w:val="0"/>
          <w:sz w:val="32"/>
          <w:szCs w:val="32"/>
          <w:highlight w:val="none"/>
          <w:shd w:val="clear" w:color="auto" w:fill="FFFFFF"/>
          <w:lang w:val="en-US" w:eastAsia="zh-CN" w:bidi="ar-SA"/>
        </w:rPr>
        <w:t>2022年</w:t>
      </w:r>
      <w:r>
        <w:rPr>
          <w:rFonts w:hint="eastAsia" w:ascii="Times New Roman" w:hAnsi="Times New Roman" w:eastAsia="仿宋_GB2312" w:cs="Times New Roman"/>
          <w:kern w:val="0"/>
          <w:sz w:val="32"/>
          <w:szCs w:val="32"/>
          <w:highlight w:val="none"/>
          <w:shd w:val="clear" w:color="auto" w:fill="FFFFFF"/>
          <w:lang w:val="en-US" w:eastAsia="zh-CN" w:bidi="ar-SA"/>
        </w:rPr>
        <w:t>预算报表，202</w:t>
      </w:r>
      <w:r>
        <w:rPr>
          <w:rFonts w:hint="eastAsia" w:eastAsia="仿宋_GB2312" w:cs="Times New Roman"/>
          <w:kern w:val="0"/>
          <w:sz w:val="32"/>
          <w:szCs w:val="32"/>
          <w:highlight w:val="none"/>
          <w:shd w:val="clear" w:color="auto" w:fill="FFFFFF"/>
          <w:lang w:val="en-US" w:eastAsia="zh-CN" w:bidi="ar-SA"/>
        </w:rPr>
        <w:t>3</w:t>
      </w:r>
      <w:r>
        <w:rPr>
          <w:rFonts w:hint="eastAsia" w:ascii="Times New Roman" w:hAnsi="Times New Roman" w:eastAsia="仿宋_GB2312" w:cs="Times New Roman"/>
          <w:kern w:val="0"/>
          <w:sz w:val="32"/>
          <w:szCs w:val="32"/>
          <w:highlight w:val="none"/>
          <w:shd w:val="clear" w:color="auto" w:fill="FFFFFF"/>
          <w:lang w:val="en-US" w:eastAsia="zh-CN" w:bidi="ar-SA"/>
        </w:rPr>
        <w:t>年9月</w:t>
      </w:r>
      <w:r>
        <w:rPr>
          <w:rFonts w:hint="eastAsia" w:eastAsia="仿宋_GB2312" w:cs="Times New Roman"/>
          <w:kern w:val="0"/>
          <w:sz w:val="32"/>
          <w:szCs w:val="32"/>
          <w:highlight w:val="none"/>
          <w:shd w:val="clear" w:color="auto" w:fill="FFFFFF"/>
          <w:lang w:val="en-US" w:eastAsia="zh-CN" w:bidi="ar-SA"/>
        </w:rPr>
        <w:t>20</w:t>
      </w:r>
      <w:r>
        <w:rPr>
          <w:rFonts w:hint="eastAsia" w:ascii="Times New Roman" w:hAnsi="Times New Roman" w:eastAsia="仿宋_GB2312" w:cs="Times New Roman"/>
          <w:kern w:val="0"/>
          <w:sz w:val="32"/>
          <w:szCs w:val="32"/>
          <w:highlight w:val="none"/>
          <w:shd w:val="clear" w:color="auto" w:fill="FFFFFF"/>
          <w:lang w:val="en-US" w:eastAsia="zh-CN" w:bidi="ar-SA"/>
        </w:rPr>
        <w:t>日公开统计局本部以及阿坝县统计局普查中心</w:t>
      </w:r>
      <w:r>
        <w:rPr>
          <w:rFonts w:hint="eastAsia" w:eastAsia="仿宋_GB2312" w:cs="Times New Roman"/>
          <w:kern w:val="0"/>
          <w:sz w:val="32"/>
          <w:szCs w:val="32"/>
          <w:highlight w:val="none"/>
          <w:shd w:val="clear" w:color="auto" w:fill="FFFFFF"/>
          <w:lang w:val="en-US" w:eastAsia="zh-CN" w:bidi="ar-SA"/>
        </w:rPr>
        <w:t>2022年</w:t>
      </w:r>
      <w:r>
        <w:rPr>
          <w:rFonts w:hint="eastAsia" w:ascii="Times New Roman" w:hAnsi="Times New Roman" w:eastAsia="仿宋_GB2312" w:cs="Times New Roman"/>
          <w:kern w:val="0"/>
          <w:sz w:val="32"/>
          <w:szCs w:val="32"/>
          <w:highlight w:val="none"/>
          <w:shd w:val="clear" w:color="auto" w:fill="FFFFFF"/>
          <w:lang w:val="en-US" w:eastAsia="zh-CN" w:bidi="ar-SA"/>
        </w:rPr>
        <w:t>决算报表。</w:t>
      </w:r>
    </w:p>
    <w:p>
      <w:pPr>
        <w:spacing w:line="360" w:lineRule="auto"/>
        <w:ind w:left="0" w:leftChars="0" w:firstLine="0" w:firstLineChars="0"/>
        <w:jc w:val="center"/>
        <w:rPr>
          <w:rFonts w:hint="default" w:ascii="Times New Roman" w:hAnsi="Times New Roman" w:eastAsia="仿宋_GB2312" w:cs="Times New Roman"/>
          <w:b w:val="0"/>
          <w:bCs w:val="0"/>
          <w:kern w:val="0"/>
          <w:sz w:val="32"/>
          <w:szCs w:val="32"/>
          <w:shd w:val="clear" w:color="auto" w:fill="FFFFFF"/>
          <w:lang w:val="en-US" w:eastAsia="zh-CN"/>
        </w:rPr>
      </w:pPr>
      <w:r>
        <w:rPr>
          <w:rFonts w:hint="default" w:ascii="Times New Roman" w:hAnsi="Times New Roman" w:eastAsia="仿宋_GB2312" w:cs="Times New Roman"/>
          <w:b/>
          <w:bCs/>
          <w:color w:val="000000"/>
          <w:kern w:val="0"/>
          <w:highlight w:val="none"/>
          <w:shd w:val="clear" w:color="auto" w:fill="FFFFFF"/>
          <w:lang w:val="en-US" w:eastAsia="zh-CN"/>
        </w:rPr>
        <w:t>图</w:t>
      </w:r>
      <w:r>
        <w:rPr>
          <w:rFonts w:hint="eastAsia" w:ascii="Times New Roman" w:hAnsi="Times New Roman" w:eastAsia="仿宋_GB2312" w:cs="Times New Roman"/>
          <w:b/>
          <w:bCs/>
          <w:color w:val="000000"/>
          <w:kern w:val="0"/>
          <w:highlight w:val="none"/>
          <w:shd w:val="clear" w:color="auto" w:fill="FFFFFF"/>
          <w:lang w:val="en-US" w:eastAsia="zh-CN"/>
        </w:rPr>
        <w:t>3</w:t>
      </w:r>
      <w:r>
        <w:rPr>
          <w:rFonts w:hint="default" w:ascii="Times New Roman" w:hAnsi="Times New Roman" w:eastAsia="仿宋_GB2312" w:cs="Times New Roman"/>
          <w:b/>
          <w:bCs/>
          <w:color w:val="000000"/>
          <w:kern w:val="0"/>
          <w:highlight w:val="none"/>
          <w:shd w:val="clear" w:color="auto" w:fill="FFFFFF"/>
          <w:lang w:val="en-US" w:eastAsia="zh-CN"/>
        </w:rPr>
        <w:t xml:space="preserve"> </w:t>
      </w:r>
      <w:r>
        <w:rPr>
          <w:rFonts w:hint="eastAsia" w:eastAsia="仿宋_GB2312" w:cs="Times New Roman"/>
          <w:b/>
          <w:bCs/>
          <w:color w:val="000000"/>
          <w:kern w:val="0"/>
          <w:highlight w:val="none"/>
          <w:shd w:val="clear" w:color="auto" w:fill="FFFFFF"/>
          <w:lang w:eastAsia="zh-CN"/>
        </w:rPr>
        <w:t>2022年</w:t>
      </w:r>
      <w:r>
        <w:rPr>
          <w:rFonts w:hint="default" w:ascii="Times New Roman" w:hAnsi="Times New Roman" w:eastAsia="仿宋_GB2312" w:cs="Times New Roman"/>
          <w:b/>
          <w:bCs/>
          <w:color w:val="000000"/>
          <w:kern w:val="0"/>
          <w:highlight w:val="none"/>
          <w:shd w:val="clear" w:color="auto" w:fill="FFFFFF"/>
        </w:rPr>
        <w:t>预算</w:t>
      </w:r>
      <w:r>
        <w:rPr>
          <w:rFonts w:hint="eastAsia" w:ascii="Times New Roman" w:hAnsi="Times New Roman" w:eastAsia="仿宋_GB2312" w:cs="Times New Roman"/>
          <w:b/>
          <w:bCs/>
          <w:color w:val="000000"/>
          <w:kern w:val="0"/>
          <w:highlight w:val="none"/>
          <w:shd w:val="clear" w:color="auto" w:fill="FFFFFF"/>
          <w:lang w:eastAsia="zh-CN"/>
        </w:rPr>
        <w:t>、</w:t>
      </w:r>
      <w:r>
        <w:rPr>
          <w:rFonts w:hint="eastAsia" w:ascii="Times New Roman" w:hAnsi="Times New Roman" w:eastAsia="仿宋_GB2312" w:cs="Times New Roman"/>
          <w:b/>
          <w:bCs/>
          <w:color w:val="000000"/>
          <w:kern w:val="0"/>
          <w:highlight w:val="none"/>
          <w:shd w:val="clear" w:color="auto" w:fill="FFFFFF"/>
          <w:lang w:val="en-US" w:eastAsia="zh-CN"/>
        </w:rPr>
        <w:t>决算公开</w:t>
      </w:r>
      <w:r>
        <w:rPr>
          <w:rFonts w:hint="default" w:ascii="Times New Roman" w:hAnsi="Times New Roman" w:eastAsia="仿宋_GB2312" w:cs="Times New Roman"/>
          <w:b/>
          <w:bCs/>
          <w:color w:val="000000"/>
          <w:kern w:val="0"/>
          <w:highlight w:val="none"/>
          <w:shd w:val="clear" w:color="auto" w:fill="FFFFFF"/>
        </w:rPr>
        <w:t>情况图</w:t>
      </w:r>
    </w:p>
    <w:p>
      <w:pPr>
        <w:pStyle w:val="24"/>
        <w:keepNext w:val="0"/>
        <w:keepLines w:val="0"/>
        <w:pageBreakBefore w:val="0"/>
        <w:widowControl w:val="0"/>
        <w:kinsoku/>
        <w:wordWrap/>
        <w:overflowPunct/>
        <w:topLinePunct w:val="0"/>
        <w:autoSpaceDE/>
        <w:autoSpaceDN/>
        <w:bidi w:val="0"/>
        <w:adjustRightInd/>
        <w:snapToGrid w:val="0"/>
        <w:spacing w:line="360" w:lineRule="auto"/>
        <w:ind w:left="0" w:leftChars="0" w:firstLine="0" w:firstLineChars="0"/>
        <w:jc w:val="both"/>
        <w:textAlignment w:val="auto"/>
        <w:rPr>
          <w:rFonts w:hint="eastAsia" w:eastAsia="仿宋_GB2312" w:cs="Times New Roman"/>
          <w:lang w:val="en-US" w:eastAsia="zh-CN"/>
        </w:rPr>
      </w:pPr>
      <w:r>
        <w:drawing>
          <wp:inline distT="0" distB="0" distL="114300" distR="114300">
            <wp:extent cx="5570855" cy="3201035"/>
            <wp:effectExtent l="0" t="0" r="6985" b="14605"/>
            <wp:docPr id="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3"/>
                    <pic:cNvPicPr>
                      <a:picLocks noChangeAspect="1"/>
                    </pic:cNvPicPr>
                  </pic:nvPicPr>
                  <pic:blipFill>
                    <a:blip r:embed="rId19"/>
                    <a:stretch>
                      <a:fillRect/>
                    </a:stretch>
                  </pic:blipFill>
                  <pic:spPr>
                    <a:xfrm>
                      <a:off x="0" y="0"/>
                      <a:ext cx="5570855" cy="3201035"/>
                    </a:xfrm>
                    <a:prstGeom prst="rect">
                      <a:avLst/>
                    </a:prstGeom>
                    <a:noFill/>
                    <a:ln>
                      <a:noFill/>
                    </a:ln>
                  </pic:spPr>
                </pic:pic>
              </a:graphicData>
            </a:graphic>
          </wp:inline>
        </w:drawing>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rPr>
      </w:pPr>
      <w:bookmarkStart w:id="134" w:name="_Toc13997"/>
      <w:bookmarkStart w:id="135" w:name="_Toc14422"/>
      <w:bookmarkStart w:id="136" w:name="_Toc18328"/>
      <w:bookmarkStart w:id="137" w:name="_Toc27583"/>
      <w:bookmarkStart w:id="138" w:name="_Toc30691"/>
      <w:r>
        <w:rPr>
          <w:rFonts w:hint="eastAsia" w:eastAsia="仿宋_GB2312" w:cs="Times New Roman"/>
          <w:lang w:val="en-US" w:eastAsia="zh-CN"/>
        </w:rPr>
        <w:t>3</w:t>
      </w:r>
      <w:r>
        <w:rPr>
          <w:rFonts w:hint="default" w:ascii="Times New Roman" w:hAnsi="Times New Roman" w:eastAsia="仿宋_GB2312" w:cs="Times New Roman"/>
          <w:lang w:val="en-US" w:eastAsia="zh-CN"/>
        </w:rPr>
        <w:t>、</w:t>
      </w:r>
      <w:r>
        <w:rPr>
          <w:rFonts w:hint="eastAsia" w:eastAsia="仿宋_GB2312" w:cs="Times New Roman"/>
          <w:lang w:val="en-US" w:eastAsia="zh-CN"/>
        </w:rPr>
        <w:t>自评质量情况</w:t>
      </w:r>
      <w:r>
        <w:rPr>
          <w:rFonts w:hint="default" w:ascii="Times New Roman" w:hAnsi="Times New Roman" w:eastAsia="仿宋_GB2312" w:cs="Times New Roman"/>
        </w:rPr>
        <w:t>分析</w:t>
      </w:r>
      <w:bookmarkEnd w:id="134"/>
      <w:bookmarkEnd w:id="135"/>
      <w:bookmarkEnd w:id="136"/>
      <w:bookmarkEnd w:id="137"/>
      <w:bookmarkEnd w:id="138"/>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color w:val="000000"/>
          <w:kern w:val="0"/>
          <w:sz w:val="32"/>
          <w:szCs w:val="32"/>
          <w:highlight w:val="none"/>
          <w:lang w:val="en-US" w:eastAsia="zh-CN" w:bidi="ar"/>
        </w:rPr>
      </w:pPr>
      <w:r>
        <w:rPr>
          <w:rFonts w:hint="default" w:ascii="Times New Roman" w:hAnsi="Times New Roman" w:eastAsia="仿宋_GB2312" w:cs="Times New Roman"/>
          <w:kern w:val="0"/>
          <w:sz w:val="32"/>
          <w:szCs w:val="32"/>
          <w:shd w:val="clear" w:color="auto" w:fill="FFFFFF"/>
        </w:rPr>
        <w:t>该指标</w:t>
      </w:r>
      <w:r>
        <w:rPr>
          <w:rFonts w:hint="default" w:ascii="Times New Roman" w:hAnsi="Times New Roman" w:eastAsia="仿宋_GB2312" w:cs="Times New Roman"/>
          <w:kern w:val="0"/>
          <w:sz w:val="32"/>
          <w:szCs w:val="32"/>
          <w:highlight w:val="none"/>
          <w:shd w:val="clear" w:color="auto" w:fill="FFFFFF"/>
        </w:rPr>
        <w:t>权重为</w:t>
      </w:r>
      <w:r>
        <w:rPr>
          <w:rFonts w:hint="default" w:ascii="Times New Roman" w:hAnsi="Times New Roman" w:eastAsia="仿宋_GB2312" w:cs="Times New Roman"/>
          <w:color w:val="000000"/>
          <w:kern w:val="0"/>
          <w:sz w:val="32"/>
          <w:szCs w:val="32"/>
          <w:highlight w:val="none"/>
          <w:lang w:val="en-US" w:eastAsia="zh-CN" w:bidi="ar"/>
        </w:rPr>
        <w:t>10分，评价权重10分，评价权重得分</w:t>
      </w:r>
      <w:r>
        <w:rPr>
          <w:rFonts w:hint="eastAsia" w:eastAsia="仿宋_GB2312" w:cs="Times New Roman"/>
          <w:color w:val="000000"/>
          <w:kern w:val="0"/>
          <w:sz w:val="32"/>
          <w:szCs w:val="32"/>
          <w:highlight w:val="none"/>
          <w:lang w:val="en-US" w:eastAsia="zh-CN" w:bidi="ar"/>
        </w:rPr>
        <w:t>0</w:t>
      </w:r>
      <w:r>
        <w:rPr>
          <w:rFonts w:hint="default" w:ascii="Times New Roman" w:hAnsi="Times New Roman" w:eastAsia="仿宋_GB2312" w:cs="Times New Roman"/>
          <w:color w:val="000000"/>
          <w:kern w:val="0"/>
          <w:sz w:val="32"/>
          <w:szCs w:val="32"/>
          <w:highlight w:val="none"/>
          <w:lang w:val="en-US" w:eastAsia="zh-CN" w:bidi="ar"/>
        </w:rPr>
        <w:t>分。用于考察评价部门整体</w:t>
      </w:r>
      <w:r>
        <w:rPr>
          <w:rFonts w:hint="default" w:eastAsia="仿宋_GB2312" w:cs="Times New Roman"/>
          <w:color w:val="000000"/>
          <w:kern w:val="0"/>
          <w:sz w:val="32"/>
          <w:szCs w:val="32"/>
          <w:highlight w:val="none"/>
          <w:lang w:val="en-US" w:eastAsia="zh-CN" w:bidi="ar"/>
        </w:rPr>
        <w:t>支出</w:t>
      </w:r>
      <w:r>
        <w:rPr>
          <w:rFonts w:hint="default" w:ascii="Times New Roman" w:hAnsi="Times New Roman" w:eastAsia="仿宋_GB2312" w:cs="Times New Roman"/>
          <w:color w:val="000000"/>
          <w:kern w:val="0"/>
          <w:sz w:val="32"/>
          <w:szCs w:val="32"/>
          <w:highlight w:val="none"/>
          <w:lang w:val="en-US" w:eastAsia="zh-CN" w:bidi="ar"/>
        </w:rPr>
        <w:t>自评质量</w:t>
      </w:r>
      <w:r>
        <w:rPr>
          <w:rFonts w:hint="eastAsia" w:eastAsia="仿宋_GB2312" w:cs="Times New Roman"/>
          <w:color w:val="000000"/>
          <w:kern w:val="0"/>
          <w:sz w:val="32"/>
          <w:szCs w:val="32"/>
          <w:highlight w:val="none"/>
          <w:lang w:val="en-US" w:eastAsia="zh-CN" w:bidi="ar"/>
        </w:rPr>
        <w:t>情况</w:t>
      </w:r>
      <w:r>
        <w:rPr>
          <w:rFonts w:hint="default" w:ascii="Times New Roman" w:hAnsi="Times New Roman" w:eastAsia="仿宋_GB2312" w:cs="Times New Roman"/>
          <w:color w:val="000000"/>
          <w:kern w:val="0"/>
          <w:sz w:val="32"/>
          <w:szCs w:val="32"/>
          <w:highlight w:val="none"/>
          <w:lang w:val="en-US" w:eastAsia="zh-CN" w:bidi="ar"/>
        </w:rPr>
        <w:t>。</w:t>
      </w:r>
    </w:p>
    <w:p>
      <w:pPr>
        <w:pStyle w:val="24"/>
        <w:keepNext w:val="0"/>
        <w:keepLines w:val="0"/>
        <w:pageBreakBefore w:val="0"/>
        <w:widowControl w:val="0"/>
        <w:kinsoku/>
        <w:wordWrap/>
        <w:overflowPunct/>
        <w:topLinePunct w:val="0"/>
        <w:autoSpaceDE/>
        <w:autoSpaceDN/>
        <w:bidi w:val="0"/>
        <w:adjustRightInd/>
        <w:snapToGrid w:val="0"/>
        <w:spacing w:line="600" w:lineRule="exact"/>
        <w:ind w:firstLine="0" w:firstLineChars="0"/>
        <w:jc w:val="both"/>
        <w:textAlignment w:val="auto"/>
        <w:rPr>
          <w:rFonts w:hint="eastAsia" w:ascii="Times New Roman" w:hAnsi="Times New Roman" w:eastAsia="仿宋_GB2312" w:cs="Times New Roman"/>
          <w:kern w:val="0"/>
          <w:sz w:val="32"/>
          <w:szCs w:val="32"/>
          <w:shd w:val="clear" w:color="auto" w:fill="FFFFFF"/>
          <w:lang w:eastAsia="zh-CN"/>
        </w:rPr>
      </w:pPr>
      <w:r>
        <w:rPr>
          <w:rFonts w:hint="default" w:ascii="Times New Roman" w:hAnsi="Times New Roman" w:eastAsia="仿宋_GB2312" w:cs="Times New Roman"/>
          <w:color w:val="000000"/>
          <w:kern w:val="0"/>
          <w:sz w:val="32"/>
          <w:szCs w:val="32"/>
          <w:highlight w:val="none"/>
          <w:lang w:val="en-US" w:eastAsia="zh-CN" w:bidi="ar"/>
        </w:rPr>
        <w:t>各分项指标得分和</w:t>
      </w:r>
      <w:r>
        <w:rPr>
          <w:rFonts w:hint="default" w:eastAsia="仿宋_GB2312" w:cs="Times New Roman"/>
          <w:color w:val="000000"/>
          <w:kern w:val="0"/>
          <w:sz w:val="32"/>
          <w:szCs w:val="32"/>
          <w:highlight w:val="none"/>
          <w:lang w:val="en-US" w:eastAsia="zh-CN" w:bidi="ar"/>
        </w:rPr>
        <w:t>绩效</w:t>
      </w:r>
      <w:r>
        <w:rPr>
          <w:rFonts w:hint="default" w:ascii="Times New Roman" w:hAnsi="Times New Roman" w:eastAsia="仿宋_GB2312" w:cs="Times New Roman"/>
          <w:color w:val="000000"/>
          <w:kern w:val="0"/>
          <w:sz w:val="32"/>
          <w:szCs w:val="32"/>
          <w:highlight w:val="none"/>
          <w:lang w:val="en-US" w:eastAsia="zh-CN" w:bidi="ar"/>
        </w:rPr>
        <w:t>分析</w:t>
      </w:r>
      <w:r>
        <w:rPr>
          <w:rFonts w:hint="default" w:ascii="Times New Roman" w:hAnsi="Times New Roman" w:eastAsia="仿宋_GB2312" w:cs="Times New Roman"/>
          <w:kern w:val="0"/>
          <w:sz w:val="32"/>
          <w:szCs w:val="32"/>
          <w:shd w:val="clear" w:color="auto" w:fill="FFFFFF"/>
        </w:rPr>
        <w:t>如下：</w:t>
      </w:r>
    </w:p>
    <w:p>
      <w:pPr>
        <w:widowControl/>
        <w:spacing w:line="600" w:lineRule="exact"/>
        <w:ind w:firstLine="480"/>
        <w:jc w:val="center"/>
        <w:rPr>
          <w:rFonts w:hint="default" w:ascii="Times New Roman" w:hAnsi="Times New Roman" w:eastAsia="仿宋_GB2312" w:cs="Times New Roman"/>
          <w:b/>
          <w:bCs/>
          <w:color w:val="000000"/>
          <w:kern w:val="0"/>
          <w:lang w:bidi="ar"/>
        </w:rPr>
      </w:pPr>
    </w:p>
    <w:p>
      <w:pPr>
        <w:widowControl/>
        <w:spacing w:line="600" w:lineRule="exact"/>
        <w:ind w:firstLine="48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表</w:t>
      </w:r>
      <w:r>
        <w:rPr>
          <w:rFonts w:hint="eastAsia" w:eastAsia="仿宋_GB2312" w:cs="Times New Roman"/>
          <w:b/>
          <w:bCs/>
          <w:color w:val="000000"/>
          <w:kern w:val="0"/>
          <w:lang w:val="en-US" w:eastAsia="zh-CN" w:bidi="ar"/>
        </w:rPr>
        <w:t>12</w:t>
      </w:r>
      <w:r>
        <w:rPr>
          <w:rFonts w:hint="default" w:ascii="Times New Roman" w:hAnsi="Times New Roman" w:eastAsia="仿宋_GB2312" w:cs="Times New Roman"/>
          <w:b/>
          <w:bCs/>
          <w:color w:val="000000"/>
          <w:kern w:val="0"/>
          <w:lang w:bidi="ar"/>
        </w:rPr>
        <w:t xml:space="preserve"> 部门整体支出</w:t>
      </w:r>
      <w:r>
        <w:rPr>
          <w:rFonts w:hint="default" w:ascii="Times New Roman" w:hAnsi="Times New Roman" w:eastAsia="仿宋_GB2312" w:cs="Times New Roman"/>
          <w:b/>
          <w:bCs/>
          <w:color w:val="000000"/>
          <w:kern w:val="0"/>
          <w:lang w:val="en-US" w:eastAsia="zh-CN" w:bidi="ar"/>
        </w:rPr>
        <w:t>自评</w:t>
      </w:r>
      <w:r>
        <w:rPr>
          <w:rFonts w:hint="eastAsia" w:eastAsia="仿宋_GB2312" w:cs="Times New Roman"/>
          <w:b/>
          <w:bCs/>
          <w:color w:val="000000"/>
          <w:kern w:val="0"/>
          <w:lang w:val="en-US" w:eastAsia="zh-CN" w:bidi="ar"/>
        </w:rPr>
        <w:t>质量</w:t>
      </w:r>
      <w:r>
        <w:rPr>
          <w:rFonts w:hint="default" w:ascii="Times New Roman" w:hAnsi="Times New Roman" w:eastAsia="仿宋_GB2312" w:cs="Times New Roman"/>
          <w:b/>
          <w:bCs/>
          <w:color w:val="000000"/>
          <w:kern w:val="0"/>
          <w:lang w:bidi="ar"/>
        </w:rPr>
        <w:t>情况得分表</w:t>
      </w:r>
    </w:p>
    <w:p>
      <w:pPr>
        <w:pStyle w:val="12"/>
        <w:rPr>
          <w:rFonts w:hint="default"/>
        </w:rPr>
      </w:pPr>
    </w:p>
    <w:tbl>
      <w:tblPr>
        <w:tblStyle w:val="41"/>
        <w:tblW w:w="9167" w:type="dxa"/>
        <w:jc w:val="cente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fixed"/>
        <w:tblCellMar>
          <w:top w:w="0" w:type="dxa"/>
          <w:left w:w="108" w:type="dxa"/>
          <w:bottom w:w="0" w:type="dxa"/>
          <w:right w:w="108" w:type="dxa"/>
        </w:tblCellMar>
      </w:tblPr>
      <w:tblGrid>
        <w:gridCol w:w="2059"/>
        <w:gridCol w:w="1655"/>
        <w:gridCol w:w="1744"/>
        <w:gridCol w:w="962"/>
        <w:gridCol w:w="866"/>
        <w:gridCol w:w="705"/>
        <w:gridCol w:w="1176"/>
      </w:tblGrid>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blHeader/>
          <w:jc w:val="center"/>
        </w:trPr>
        <w:tc>
          <w:tcPr>
            <w:tcW w:w="2059"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一级指标</w:t>
            </w:r>
          </w:p>
        </w:tc>
        <w:tc>
          <w:tcPr>
            <w:tcW w:w="165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二级指标</w:t>
            </w:r>
          </w:p>
        </w:tc>
        <w:tc>
          <w:tcPr>
            <w:tcW w:w="1744"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三级指标</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权重</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评价权重</w:t>
            </w:r>
          </w:p>
        </w:tc>
        <w:tc>
          <w:tcPr>
            <w:tcW w:w="70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val="en-US" w:eastAsia="zh-CN" w:bidi="ar"/>
              </w:rPr>
              <w:t>评价</w:t>
            </w:r>
            <w:r>
              <w:rPr>
                <w:rFonts w:hint="default" w:ascii="Times New Roman" w:hAnsi="Times New Roman" w:eastAsia="仿宋_GB2312" w:cs="Times New Roman"/>
                <w:b/>
                <w:bCs/>
                <w:color w:val="000000"/>
                <w:kern w:val="0"/>
                <w:lang w:bidi="ar"/>
              </w:rPr>
              <w:t>得分</w:t>
            </w:r>
          </w:p>
        </w:tc>
        <w:tc>
          <w:tcPr>
            <w:tcW w:w="117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得分率</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2059"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自评质量（10分）</w:t>
            </w:r>
          </w:p>
        </w:tc>
        <w:tc>
          <w:tcPr>
            <w:tcW w:w="1655"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自评质量</w:t>
            </w:r>
          </w:p>
        </w:tc>
        <w:tc>
          <w:tcPr>
            <w:tcW w:w="1744"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自评</w:t>
            </w:r>
            <w:r>
              <w:rPr>
                <w:rFonts w:hint="eastAsia" w:eastAsia="仿宋_GB2312" w:cs="Times New Roman"/>
                <w:color w:val="000000"/>
                <w:kern w:val="0"/>
                <w:lang w:val="en-US" w:eastAsia="zh-CN" w:bidi="ar"/>
              </w:rPr>
              <w:t>准确</w:t>
            </w:r>
          </w:p>
        </w:tc>
        <w:tc>
          <w:tcPr>
            <w:tcW w:w="962"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10</w:t>
            </w:r>
          </w:p>
        </w:tc>
        <w:tc>
          <w:tcPr>
            <w:tcW w:w="866"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ascii="Times New Roman" w:hAnsi="Times New Roman" w:eastAsia="仿宋_GB2312" w:cs="Times New Roman"/>
                <w:color w:val="000000"/>
                <w:kern w:val="0"/>
                <w:lang w:val="en-US" w:eastAsia="zh-CN" w:bidi="ar"/>
              </w:rPr>
              <w:t>10</w:t>
            </w:r>
          </w:p>
        </w:tc>
        <w:tc>
          <w:tcPr>
            <w:tcW w:w="705"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eastAsia="仿宋_GB2312" w:cs="Times New Roman"/>
                <w:color w:val="000000"/>
                <w:kern w:val="0"/>
                <w:lang w:val="en-US" w:eastAsia="zh-CN" w:bidi="ar"/>
              </w:rPr>
              <w:t>0</w:t>
            </w:r>
          </w:p>
        </w:tc>
        <w:tc>
          <w:tcPr>
            <w:tcW w:w="1176" w:type="dxa"/>
            <w:vAlign w:val="center"/>
          </w:tcPr>
          <w:p>
            <w:pPr>
              <w:widowControl/>
              <w:spacing w:line="240" w:lineRule="auto"/>
              <w:ind w:firstLine="0" w:firstLineChars="0"/>
              <w:jc w:val="center"/>
              <w:rPr>
                <w:rFonts w:hint="default" w:ascii="Times New Roman" w:hAnsi="Times New Roman" w:eastAsia="仿宋_GB2312" w:cs="Times New Roman"/>
                <w:color w:val="000000"/>
                <w:kern w:val="0"/>
                <w:lang w:val="en-US" w:eastAsia="zh-CN" w:bidi="ar"/>
              </w:rPr>
            </w:pPr>
            <w:r>
              <w:rPr>
                <w:rFonts w:hint="eastAsia" w:eastAsia="仿宋_GB2312" w:cs="Times New Roman"/>
                <w:color w:val="000000"/>
                <w:kern w:val="0"/>
                <w:lang w:val="en-US" w:eastAsia="zh-CN" w:bidi="ar"/>
              </w:rPr>
              <w:t>0.00%</w:t>
            </w:r>
          </w:p>
        </w:tc>
      </w:tr>
      <w:tr>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jc w:val="center"/>
        </w:trPr>
        <w:tc>
          <w:tcPr>
            <w:tcW w:w="5458" w:type="dxa"/>
            <w:gridSpan w:val="3"/>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bidi="ar"/>
              </w:rPr>
            </w:pPr>
            <w:r>
              <w:rPr>
                <w:rFonts w:hint="default" w:ascii="Times New Roman" w:hAnsi="Times New Roman" w:eastAsia="仿宋_GB2312" w:cs="Times New Roman"/>
                <w:b/>
                <w:bCs/>
                <w:color w:val="000000"/>
                <w:kern w:val="0"/>
                <w:lang w:bidi="ar"/>
              </w:rPr>
              <w:t>得分合计</w:t>
            </w:r>
          </w:p>
        </w:tc>
        <w:tc>
          <w:tcPr>
            <w:tcW w:w="962"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10</w:t>
            </w:r>
          </w:p>
        </w:tc>
        <w:tc>
          <w:tcPr>
            <w:tcW w:w="86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default" w:ascii="Times New Roman" w:hAnsi="Times New Roman" w:eastAsia="仿宋_GB2312" w:cs="Times New Roman"/>
                <w:b/>
                <w:bCs/>
                <w:color w:val="000000"/>
                <w:kern w:val="0"/>
                <w:lang w:val="en-US" w:eastAsia="zh-CN" w:bidi="ar"/>
              </w:rPr>
              <w:t>10</w:t>
            </w:r>
          </w:p>
        </w:tc>
        <w:tc>
          <w:tcPr>
            <w:tcW w:w="705"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0</w:t>
            </w:r>
          </w:p>
        </w:tc>
        <w:tc>
          <w:tcPr>
            <w:tcW w:w="1176" w:type="dxa"/>
            <w:shd w:val="clear" w:color="auto" w:fill="BEBEBE"/>
            <w:vAlign w:val="center"/>
          </w:tcPr>
          <w:p>
            <w:pPr>
              <w:widowControl/>
              <w:spacing w:line="240" w:lineRule="auto"/>
              <w:ind w:firstLine="0" w:firstLineChars="0"/>
              <w:jc w:val="center"/>
              <w:rPr>
                <w:rFonts w:hint="default" w:ascii="Times New Roman" w:hAnsi="Times New Roman" w:eastAsia="仿宋_GB2312" w:cs="Times New Roman"/>
                <w:b/>
                <w:bCs/>
                <w:color w:val="000000"/>
                <w:kern w:val="0"/>
                <w:lang w:val="en-US" w:eastAsia="zh-CN" w:bidi="ar"/>
              </w:rPr>
            </w:pPr>
            <w:r>
              <w:rPr>
                <w:rFonts w:hint="eastAsia" w:eastAsia="仿宋_GB2312" w:cs="Times New Roman"/>
                <w:b/>
                <w:bCs/>
                <w:color w:val="000000"/>
                <w:kern w:val="0"/>
                <w:lang w:val="en-US" w:eastAsia="zh-CN" w:bidi="ar"/>
              </w:rPr>
              <w:t>0.00%</w:t>
            </w:r>
          </w:p>
        </w:tc>
      </w:tr>
    </w:tbl>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ascii="Times New Roman" w:hAnsi="Times New Roman" w:eastAsia="仿宋_GB2312" w:cs="Times New Roman"/>
          <w:b/>
          <w:bCs/>
          <w:kern w:val="0"/>
          <w:sz w:val="32"/>
          <w:szCs w:val="32"/>
          <w:highlight w:val="none"/>
          <w:shd w:val="clear" w:color="auto" w:fill="FFFFFF"/>
          <w:lang w:val="en-US" w:eastAsia="zh-CN"/>
        </w:rPr>
      </w:pPr>
      <w:r>
        <w:rPr>
          <w:rFonts w:hint="default" w:ascii="Times New Roman" w:hAnsi="Times New Roman" w:eastAsia="仿宋_GB2312" w:cs="Times New Roman"/>
          <w:b/>
          <w:bCs/>
          <w:kern w:val="0"/>
          <w:sz w:val="32"/>
          <w:szCs w:val="32"/>
          <w:highlight w:val="none"/>
          <w:shd w:val="clear" w:color="auto" w:fill="FFFFFF"/>
          <w:lang w:val="en-US" w:eastAsia="zh-CN"/>
        </w:rPr>
        <w:t>——自评</w:t>
      </w:r>
      <w:r>
        <w:rPr>
          <w:rFonts w:hint="eastAsia" w:eastAsia="仿宋_GB2312" w:cs="Times New Roman"/>
          <w:b/>
          <w:bCs/>
          <w:kern w:val="0"/>
          <w:sz w:val="32"/>
          <w:szCs w:val="32"/>
          <w:highlight w:val="none"/>
          <w:shd w:val="clear" w:color="auto" w:fill="FFFFFF"/>
          <w:lang w:val="en-US" w:eastAsia="zh-CN"/>
        </w:rPr>
        <w:t>准确</w:t>
      </w:r>
      <w:r>
        <w:rPr>
          <w:rFonts w:hint="default" w:ascii="Times New Roman" w:hAnsi="Times New Roman" w:eastAsia="仿宋_GB2312" w:cs="Times New Roman"/>
          <w:b/>
          <w:bCs/>
          <w:kern w:val="0"/>
          <w:sz w:val="32"/>
          <w:szCs w:val="32"/>
          <w:highlight w:val="none"/>
          <w:shd w:val="clear" w:color="auto" w:fill="FFFFFF"/>
          <w:lang w:val="en-US" w:eastAsia="zh-CN"/>
        </w:rPr>
        <w:t>指标分析（权重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w:t>
      </w:r>
      <w:r>
        <w:rPr>
          <w:rFonts w:hint="eastAsia" w:eastAsia="仿宋_GB2312" w:cs="Times New Roman"/>
          <w:b/>
          <w:bCs/>
          <w:kern w:val="0"/>
          <w:sz w:val="32"/>
          <w:szCs w:val="32"/>
          <w:highlight w:val="none"/>
          <w:shd w:val="clear" w:color="auto" w:fill="FFFFFF"/>
          <w:lang w:val="en-US" w:eastAsia="zh-CN"/>
        </w:rPr>
        <w:t>10</w:t>
      </w:r>
      <w:r>
        <w:rPr>
          <w:rFonts w:hint="default" w:ascii="Times New Roman" w:hAnsi="Times New Roman" w:eastAsia="仿宋_GB2312" w:cs="Times New Roman"/>
          <w:b/>
          <w:bCs/>
          <w:kern w:val="0"/>
          <w:sz w:val="32"/>
          <w:szCs w:val="32"/>
          <w:highlight w:val="none"/>
          <w:shd w:val="clear" w:color="auto" w:fill="FFFFFF"/>
          <w:lang w:val="en-US" w:eastAsia="zh-CN"/>
        </w:rPr>
        <w:t>分，评价权重得分</w:t>
      </w:r>
      <w:r>
        <w:rPr>
          <w:rFonts w:hint="eastAsia" w:eastAsia="仿宋_GB2312" w:cs="Times New Roman"/>
          <w:b/>
          <w:bCs/>
          <w:kern w:val="0"/>
          <w:sz w:val="32"/>
          <w:szCs w:val="32"/>
          <w:highlight w:val="none"/>
          <w:shd w:val="clear" w:color="auto" w:fill="FFFFFF"/>
          <w:lang w:val="en-US" w:eastAsia="zh-CN"/>
        </w:rPr>
        <w:t>0</w:t>
      </w:r>
      <w:r>
        <w:rPr>
          <w:rFonts w:hint="default" w:ascii="Times New Roman" w:hAnsi="Times New Roman" w:eastAsia="仿宋_GB2312" w:cs="Times New Roman"/>
          <w:b/>
          <w:bCs/>
          <w:kern w:val="0"/>
          <w:sz w:val="32"/>
          <w:szCs w:val="32"/>
          <w:highlight w:val="none"/>
          <w:shd w:val="clear" w:color="auto" w:fill="FFFFFF"/>
          <w:lang w:val="en-US" w:eastAsia="zh-CN"/>
        </w:rPr>
        <w:t>分）</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eastAsia" w:eastAsia="仿宋_GB2312" w:cs="Times New Roman"/>
          <w:color w:val="000000"/>
          <w:kern w:val="0"/>
          <w:sz w:val="32"/>
          <w:szCs w:val="32"/>
          <w:highlight w:val="none"/>
          <w:lang w:val="en-US" w:eastAsia="zh-CN" w:bidi="ar"/>
        </w:rPr>
      </w:pPr>
      <w:bookmarkStart w:id="139" w:name="_Toc24346"/>
      <w:r>
        <w:rPr>
          <w:rFonts w:hint="default" w:eastAsia="仿宋_GB2312" w:cs="Times New Roman"/>
          <w:color w:val="000000"/>
          <w:kern w:val="0"/>
          <w:sz w:val="32"/>
          <w:szCs w:val="32"/>
          <w:highlight w:val="none"/>
          <w:lang w:val="en-US" w:eastAsia="zh-CN" w:bidi="ar"/>
        </w:rPr>
        <w:t>根据指标适用情况与被评价单位自评表对比，指标体系表除编制准确、动态调整、结果整改、应用反馈、自评准确等指标外，</w:t>
      </w:r>
      <w:r>
        <w:rPr>
          <w:rFonts w:hint="eastAsia" w:eastAsia="仿宋_GB2312" w:cs="Times New Roman"/>
          <w:color w:val="000000"/>
          <w:kern w:val="0"/>
          <w:sz w:val="32"/>
          <w:szCs w:val="32"/>
          <w:highlight w:val="none"/>
          <w:lang w:val="en-US" w:eastAsia="zh-CN" w:bidi="ar"/>
        </w:rPr>
        <w:t>评价组评价得分49.94分，被评价单位自评得分62分，差异率=（自评评分-评价组评分）/评价组评分=（62-49.94）/49.94×100%=24.15%，部门整体支出自评得分与评价组抽查得分差异在20%以上的，扣10分。</w:t>
      </w:r>
    </w:p>
    <w:bookmarkEnd w:id="139"/>
    <w:p>
      <w:pPr>
        <w:pStyle w:val="2"/>
        <w:keepNext w:val="0"/>
        <w:keepLines w:val="0"/>
        <w:pageBreakBefore w:val="0"/>
        <w:widowControl w:val="0"/>
        <w:kinsoku/>
        <w:wordWrap/>
        <w:overflowPunct/>
        <w:topLinePunct w:val="0"/>
        <w:autoSpaceDE/>
        <w:autoSpaceDN/>
        <w:bidi w:val="0"/>
        <w:adjustRightInd/>
        <w:spacing w:before="156" w:after="156" w:line="600" w:lineRule="exact"/>
        <w:ind w:firstLine="602"/>
        <w:textAlignment w:val="auto"/>
        <w:rPr>
          <w:rFonts w:hint="default" w:ascii="Times New Roman" w:hAnsi="Times New Roman" w:cs="Times New Roman"/>
          <w:sz w:val="30"/>
          <w:szCs w:val="30"/>
        </w:rPr>
      </w:pPr>
      <w:bookmarkStart w:id="140" w:name="_Toc8296"/>
      <w:bookmarkStart w:id="141" w:name="_Toc8892"/>
      <w:bookmarkStart w:id="142" w:name="_Toc13474"/>
      <w:bookmarkStart w:id="143" w:name="_Toc29046"/>
      <w:bookmarkStart w:id="144" w:name="_Toc26293"/>
      <w:r>
        <w:rPr>
          <w:rFonts w:hint="eastAsia" w:ascii="Times New Roman" w:hAnsi="Times New Roman" w:cs="Times New Roman"/>
          <w:sz w:val="30"/>
          <w:szCs w:val="30"/>
          <w:lang w:val="en-US" w:eastAsia="zh-CN"/>
        </w:rPr>
        <w:t>四</w:t>
      </w:r>
      <w:r>
        <w:rPr>
          <w:rFonts w:hint="default" w:ascii="Times New Roman" w:hAnsi="Times New Roman" w:cs="Times New Roman"/>
          <w:sz w:val="30"/>
          <w:szCs w:val="30"/>
        </w:rPr>
        <w:t>、评价发现的主要问题</w:t>
      </w:r>
      <w:bookmarkEnd w:id="140"/>
      <w:bookmarkEnd w:id="141"/>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lang w:val="en-US" w:eastAsia="zh-CN"/>
        </w:rPr>
      </w:pPr>
      <w:bookmarkStart w:id="145" w:name="_Toc15057"/>
      <w:bookmarkStart w:id="146" w:name="_Toc1801"/>
      <w:bookmarkStart w:id="147" w:name="_Toc6710"/>
      <w:r>
        <w:rPr>
          <w:rFonts w:hint="eastAsia" w:ascii="Times New Roman" w:hAnsi="Times New Roman" w:eastAsia="仿宋_GB2312" w:cs="Times New Roman"/>
          <w:lang w:val="en-US" w:eastAsia="zh-CN"/>
        </w:rPr>
        <w:t>1、发票开具方与实际支出内容不符</w:t>
      </w:r>
      <w:r>
        <w:rPr>
          <w:rFonts w:hint="eastAsia" w:eastAsia="仿宋_GB2312" w:cs="Times New Roman"/>
          <w:lang w:val="en-US" w:eastAsia="zh-CN"/>
        </w:rPr>
        <w:t>、无发票</w:t>
      </w:r>
      <w:bookmarkEnd w:id="145"/>
      <w:bookmarkEnd w:id="146"/>
      <w:bookmarkEnd w:id="147"/>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3"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b w:val="0"/>
          <w:bCs w:val="0"/>
          <w:color w:val="000000"/>
          <w:kern w:val="0"/>
          <w:sz w:val="32"/>
          <w:szCs w:val="32"/>
          <w:highlight w:val="none"/>
          <w:lang w:val="en-US" w:eastAsia="zh-CN" w:bidi="ar"/>
        </w:rPr>
        <w:t>2022年12月17号凭证支付“民主法制建设杂志社”杂志费96.00元，附件中所附发票由中国邮政集团有限公司阿坝藏族羌族自治州分公司开具（发票号码为93576130）金额为96.00元。</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2022年12月18号凭证支付“人民权力报社”报刊费90.00元，附件中所附发票由中国邮政集团有限公司阿坝藏族羌族自治州分公司开具（发票号码为93576129）金额为90.00元。</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2022年3月26号凭证支付</w:t>
      </w:r>
      <w:r>
        <w:rPr>
          <w:rFonts w:hint="eastAsia" w:eastAsia="仿宋_GB2312" w:cs="Times New Roman"/>
          <w:b w:val="0"/>
          <w:bCs w:val="0"/>
          <w:color w:val="000000"/>
          <w:kern w:val="0"/>
          <w:sz w:val="32"/>
          <w:szCs w:val="32"/>
          <w:highlight w:val="none"/>
          <w:lang w:val="en-US" w:eastAsia="zh-CN" w:bidi="ar"/>
        </w:rPr>
        <w:t>工作人员</w:t>
      </w:r>
      <w:r>
        <w:rPr>
          <w:rFonts w:hint="eastAsia" w:ascii="Times New Roman" w:hAnsi="Times New Roman" w:eastAsia="仿宋_GB2312" w:cs="Times New Roman"/>
          <w:b w:val="0"/>
          <w:bCs w:val="0"/>
          <w:color w:val="000000"/>
          <w:kern w:val="0"/>
          <w:sz w:val="32"/>
          <w:szCs w:val="32"/>
          <w:highlight w:val="none"/>
          <w:lang w:val="en-US" w:eastAsia="zh-CN" w:bidi="ar"/>
        </w:rPr>
        <w:t>差旅费2,975.00元（其中代毛卫东报销1130.00元），其中代报销交通费-停车费140.00元，后附发票为由“阿坝县上门洗车店”“阿坝县泽穷洗车店”开具定额发票，涉及用洗车费发票报销停车费140.00元。</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2022年12月19号凭证支付“晚霞杂志社”杂志征订费288.00元，费用于2022年12月16日支付给“晚霞杂志社”杂志征订费288.00元，附件资料中无杂志征订费发票。</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3" w:firstLineChars="200"/>
        <w:jc w:val="both"/>
        <w:textAlignment w:val="auto"/>
        <w:rPr>
          <w:rFonts w:hint="default"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ascii="Times New Roman" w:hAnsi="Times New Roman" w:eastAsia="仿宋_GB2312" w:cs="Times New Roman"/>
          <w:b w:val="0"/>
          <w:bCs w:val="0"/>
          <w:color w:val="000000"/>
          <w:kern w:val="0"/>
          <w:sz w:val="32"/>
          <w:szCs w:val="32"/>
          <w:highlight w:val="none"/>
          <w:lang w:val="en-US" w:eastAsia="zh-CN" w:bidi="ar"/>
        </w:rPr>
        <w:t>以上行为违反了《中华人民共和国会计法》第二章第十七条“会计机构、会计人员必须按照国家统一的会计制度的规定对原始凭证进行审核，对不真实、不合法的原始凭证有权不予接受，并向单位负责人报告；对记载不准确、不完整的原始凭证予以退回，并要求按照国家统一的会计制度的规定更正、补充</w:t>
      </w:r>
      <w:r>
        <w:rPr>
          <w:rFonts w:hint="eastAsia" w:eastAsia="仿宋_GB2312" w:cs="Times New Roman"/>
          <w:b w:val="0"/>
          <w:bCs w:val="0"/>
          <w:color w:val="000000"/>
          <w:kern w:val="0"/>
          <w:sz w:val="32"/>
          <w:szCs w:val="32"/>
          <w:highlight w:val="none"/>
          <w:lang w:val="en-US" w:eastAsia="zh-CN" w:bidi="ar"/>
        </w:rPr>
        <w:t>。</w:t>
      </w:r>
      <w:r>
        <w:rPr>
          <w:rFonts w:hint="eastAsia" w:ascii="Times New Roman" w:hAnsi="Times New Roman" w:eastAsia="仿宋_GB2312" w:cs="Times New Roman"/>
          <w:b w:val="0"/>
          <w:bCs w:val="0"/>
          <w:color w:val="000000"/>
          <w:kern w:val="0"/>
          <w:sz w:val="32"/>
          <w:szCs w:val="32"/>
          <w:highlight w:val="none"/>
          <w:lang w:val="en-US" w:eastAsia="zh-CN" w:bidi="ar"/>
        </w:rPr>
        <w:t>”</w:t>
      </w:r>
      <w:r>
        <w:rPr>
          <w:rFonts w:hint="eastAsia" w:eastAsia="仿宋_GB2312" w:cs="Times New Roman"/>
          <w:b w:val="0"/>
          <w:bCs w:val="0"/>
          <w:color w:val="000000"/>
          <w:kern w:val="0"/>
          <w:sz w:val="32"/>
          <w:szCs w:val="32"/>
          <w:highlight w:val="none"/>
          <w:lang w:val="en-US" w:eastAsia="zh-CN" w:bidi="ar"/>
        </w:rPr>
        <w:t>之</w:t>
      </w:r>
      <w:r>
        <w:rPr>
          <w:rFonts w:hint="eastAsia" w:ascii="Times New Roman" w:hAnsi="Times New Roman" w:eastAsia="仿宋_GB2312" w:cs="Times New Roman"/>
          <w:b w:val="0"/>
          <w:bCs w:val="0"/>
          <w:color w:val="000000"/>
          <w:kern w:val="0"/>
          <w:sz w:val="32"/>
          <w:szCs w:val="32"/>
          <w:highlight w:val="none"/>
          <w:lang w:val="en-US" w:eastAsia="zh-CN" w:bidi="ar"/>
        </w:rPr>
        <w:t>规定。</w:t>
      </w:r>
    </w:p>
    <w:p>
      <w:pPr>
        <w:widowControl w:val="0"/>
        <w:spacing w:line="360" w:lineRule="auto"/>
        <w:ind w:left="0" w:leftChars="0" w:firstLine="643" w:firstLineChars="200"/>
        <w:jc w:val="both"/>
        <w:rPr>
          <w:rFonts w:hint="eastAsia" w:ascii="Times New Roman" w:hAnsi="Times New Roman" w:eastAsia="仿宋_GB2312" w:cs="Times New Roman"/>
          <w:b w:val="0"/>
          <w:bCs w:val="0"/>
          <w:color w:val="000000"/>
          <w:kern w:val="0"/>
          <w:sz w:val="32"/>
          <w:szCs w:val="32"/>
          <w:highlight w:val="none"/>
          <w:lang w:val="en-US" w:eastAsia="zh-CN" w:bidi="ar"/>
        </w:rPr>
      </w:pPr>
      <w:r>
        <w:rPr>
          <w:rFonts w:hint="default" w:ascii="Times New Roman" w:hAnsi="Times New Roman" w:eastAsia="仿宋_GB2312" w:cs="Times New Roman"/>
          <w:b/>
          <w:bCs/>
          <w:color w:val="auto"/>
          <w:kern w:val="0"/>
          <w:sz w:val="32"/>
          <w:szCs w:val="32"/>
          <w:highlight w:val="none"/>
          <w:shd w:val="clear" w:color="auto" w:fill="FFFFFF"/>
          <w:lang w:val="en-US" w:eastAsia="zh-CN" w:bidi="ar-SA"/>
        </w:rPr>
        <w:t>我们的意见或建议：</w:t>
      </w:r>
      <w:r>
        <w:rPr>
          <w:rFonts w:hint="eastAsia" w:ascii="Times New Roman" w:hAnsi="Times New Roman" w:eastAsia="仿宋_GB2312" w:cs="Times New Roman"/>
          <w:b w:val="0"/>
          <w:bCs w:val="0"/>
          <w:color w:val="000000"/>
          <w:kern w:val="0"/>
          <w:sz w:val="32"/>
          <w:szCs w:val="32"/>
          <w:highlight w:val="none"/>
          <w:lang w:val="en-US" w:eastAsia="zh-CN" w:bidi="ar"/>
        </w:rPr>
        <w:t>建议被评价单位加强对原始凭证（包括自制原始凭证）的审核，对于不完整的原始凭证要求相关人员按照规定补充完整；对于不真实的原始凭证不报销，并向单位负责人报告，追究相关人员责任。</w:t>
      </w:r>
    </w:p>
    <w:p>
      <w:pPr>
        <w:pStyle w:val="4"/>
        <w:pageBreakBefore w:val="0"/>
        <w:widowControl w:val="0"/>
        <w:numPr>
          <w:ilvl w:val="0"/>
          <w:numId w:val="0"/>
        </w:numPr>
        <w:kinsoku/>
        <w:wordWrap/>
        <w:overflowPunct/>
        <w:topLinePunct w:val="0"/>
        <w:autoSpaceDE/>
        <w:autoSpaceDN/>
        <w:bidi w:val="0"/>
        <w:adjustRightInd/>
        <w:spacing w:line="600" w:lineRule="exact"/>
        <w:ind w:firstLine="643" w:firstLineChars="200"/>
        <w:textAlignment w:val="auto"/>
        <w:rPr>
          <w:rFonts w:hint="default" w:ascii="Times New Roman" w:hAnsi="Times New Roman" w:eastAsia="仿宋_GB2312" w:cs="Times New Roman"/>
          <w:lang w:val="en-US" w:eastAsia="zh-CN"/>
        </w:rPr>
      </w:pPr>
      <w:bookmarkStart w:id="148" w:name="_Toc14568"/>
      <w:bookmarkStart w:id="149" w:name="_Toc30951"/>
      <w:bookmarkStart w:id="150" w:name="_Toc19025"/>
      <w:r>
        <w:rPr>
          <w:rFonts w:hint="eastAsia" w:ascii="Times New Roman" w:hAnsi="Times New Roman" w:eastAsia="仿宋_GB2312" w:cs="Times New Roman"/>
          <w:lang w:val="en-US" w:eastAsia="zh-CN"/>
        </w:rPr>
        <w:t>2、合同签订不规范</w:t>
      </w:r>
      <w:bookmarkEnd w:id="148"/>
      <w:bookmarkEnd w:id="149"/>
      <w:bookmarkEnd w:id="150"/>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3"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b w:val="0"/>
          <w:bCs w:val="0"/>
          <w:color w:val="000000"/>
          <w:kern w:val="0"/>
          <w:sz w:val="32"/>
          <w:szCs w:val="32"/>
          <w:highlight w:val="none"/>
          <w:lang w:val="en-US" w:eastAsia="zh-CN" w:bidi="ar"/>
        </w:rPr>
        <w:t>2022年11月22号凭证支付调查员手册费用1,049.80元，附件资料中阿坝县统计局与成都荣盛工艺品有限公司签订的《制作合同》合同金额1,049.80元，无合同签订日期。</w:t>
      </w:r>
    </w:p>
    <w:p>
      <w:pPr>
        <w:pStyle w:val="24"/>
        <w:keepNext w:val="0"/>
        <w:keepLines w:val="0"/>
        <w:pageBreakBefore w:val="0"/>
        <w:widowControl w:val="0"/>
        <w:kinsoku/>
        <w:wordWrap/>
        <w:overflowPunct/>
        <w:topLinePunct w:val="0"/>
        <w:autoSpaceDE/>
        <w:autoSpaceDN/>
        <w:bidi w:val="0"/>
        <w:adjustRightInd/>
        <w:snapToGrid w:val="0"/>
        <w:spacing w:line="600" w:lineRule="exact"/>
        <w:ind w:firstLine="643" w:firstLineChars="200"/>
        <w:jc w:val="both"/>
        <w:textAlignment w:val="auto"/>
        <w:rPr>
          <w:rFonts w:hint="default" w:ascii="Times New Roman" w:hAnsi="Times New Roman" w:eastAsia="仿宋_GB2312" w:cs="Times New Roman"/>
          <w:b w:val="0"/>
          <w:bCs w:val="0"/>
          <w:kern w:val="0"/>
          <w:sz w:val="32"/>
          <w:szCs w:val="32"/>
          <w:highlight w:val="none"/>
          <w:shd w:val="clear" w:color="auto" w:fill="FFFFFF"/>
          <w:lang w:val="en-US" w:eastAsia="zh-CN" w:bidi="ar-SA"/>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ascii="Times New Roman" w:hAnsi="Times New Roman" w:eastAsia="仿宋_GB2312" w:cs="Times New Roman"/>
          <w:kern w:val="0"/>
          <w:sz w:val="32"/>
          <w:szCs w:val="32"/>
          <w:highlight w:val="none"/>
          <w:shd w:val="clear" w:color="auto" w:fill="FFFFFF"/>
        </w:rPr>
        <w:t>《中华人民共和国民法典》</w:t>
      </w:r>
      <w:r>
        <w:rPr>
          <w:rFonts w:hint="eastAsia" w:eastAsia="仿宋_GB2312" w:cs="Times New Roman"/>
          <w:kern w:val="0"/>
          <w:sz w:val="32"/>
          <w:szCs w:val="32"/>
          <w:highlight w:val="none"/>
          <w:shd w:val="clear" w:color="auto" w:fill="FFFFFF"/>
          <w:lang w:val="en-US" w:eastAsia="zh-CN"/>
        </w:rPr>
        <w:t>第三编</w:t>
      </w:r>
      <w:r>
        <w:rPr>
          <w:rFonts w:hint="eastAsia" w:ascii="Times New Roman" w:hAnsi="Times New Roman" w:eastAsia="仿宋_GB2312" w:cs="Times New Roman"/>
          <w:kern w:val="0"/>
          <w:sz w:val="32"/>
          <w:szCs w:val="32"/>
          <w:highlight w:val="none"/>
          <w:shd w:val="clear" w:color="auto" w:fill="FFFFFF"/>
        </w:rPr>
        <w:t>第二章第</w:t>
      </w:r>
      <w:r>
        <w:rPr>
          <w:rFonts w:hint="eastAsia" w:eastAsia="仿宋_GB2312" w:cs="Times New Roman"/>
          <w:kern w:val="0"/>
          <w:sz w:val="32"/>
          <w:szCs w:val="32"/>
          <w:highlight w:val="none"/>
          <w:shd w:val="clear" w:color="auto" w:fill="FFFFFF"/>
          <w:lang w:val="en-US" w:eastAsia="zh-CN"/>
        </w:rPr>
        <w:t>四百七十</w:t>
      </w:r>
      <w:r>
        <w:rPr>
          <w:rFonts w:hint="eastAsia" w:ascii="Times New Roman" w:hAnsi="Times New Roman" w:eastAsia="仿宋_GB2312" w:cs="Times New Roman"/>
          <w:kern w:val="0"/>
          <w:sz w:val="32"/>
          <w:szCs w:val="32"/>
          <w:highlight w:val="none"/>
          <w:shd w:val="clear" w:color="auto" w:fill="FFFFFF"/>
        </w:rPr>
        <w:t>条“合同的内容由当事人约定，一般包括以下条款：（一）当事人的名称或者姓名和住所；（二）标的；（三）数量；（四）质量；（五）价款或者报酬；（六）履行期限、地点和方式；（七）违约责任；（八）解决争议的方法。当事人可以参照各类合同的示范文本订立合同”。</w:t>
      </w:r>
    </w:p>
    <w:p>
      <w:pPr>
        <w:pStyle w:val="13"/>
        <w:rPr>
          <w:rFonts w:hint="eastAsia" w:ascii="Times New Roman" w:hAnsi="Times New Roman" w:eastAsia="仿宋_GB2312" w:cs="Times New Roman"/>
          <w:b w:val="0"/>
          <w:bCs w:val="0"/>
          <w:kern w:val="0"/>
          <w:sz w:val="32"/>
          <w:szCs w:val="32"/>
          <w:highlight w:val="none"/>
          <w:shd w:val="clear" w:color="auto" w:fill="FFFFFF"/>
          <w:lang w:val="en-US" w:eastAsia="zh-CN" w:bidi="ar-SA"/>
        </w:rPr>
      </w:pPr>
      <w:r>
        <w:rPr>
          <w:rFonts w:hint="default" w:ascii="Times New Roman" w:hAnsi="Times New Roman" w:eastAsia="仿宋_GB2312" w:cs="Times New Roman"/>
          <w:b/>
          <w:bCs/>
          <w:color w:val="auto"/>
          <w:kern w:val="0"/>
          <w:sz w:val="32"/>
          <w:szCs w:val="32"/>
          <w:highlight w:val="none"/>
          <w:shd w:val="clear" w:color="auto" w:fill="FFFFFF"/>
          <w:lang w:val="en-US" w:eastAsia="zh-CN"/>
        </w:rPr>
        <w:t>我们的意见或建议：</w:t>
      </w:r>
      <w:r>
        <w:rPr>
          <w:rFonts w:hint="default" w:ascii="Times New Roman" w:hAnsi="Times New Roman" w:eastAsia="仿宋_GB2312" w:cs="Times New Roman"/>
          <w:b w:val="0"/>
          <w:bCs w:val="0"/>
          <w:kern w:val="0"/>
          <w:sz w:val="32"/>
          <w:szCs w:val="32"/>
          <w:highlight w:val="none"/>
          <w:shd w:val="clear" w:color="auto" w:fill="FFFFFF"/>
          <w:lang w:val="en-US" w:eastAsia="zh-CN" w:bidi="ar-SA"/>
        </w:rPr>
        <w:t>合同的</w:t>
      </w:r>
      <w:r>
        <w:rPr>
          <w:rFonts w:hint="eastAsia" w:eastAsia="仿宋_GB2312" w:cs="Times New Roman"/>
          <w:b w:val="0"/>
          <w:bCs w:val="0"/>
          <w:kern w:val="0"/>
          <w:sz w:val="32"/>
          <w:szCs w:val="32"/>
          <w:highlight w:val="none"/>
          <w:shd w:val="clear" w:color="auto" w:fill="FFFFFF"/>
          <w:lang w:val="en-US" w:eastAsia="zh-CN" w:bidi="ar-SA"/>
        </w:rPr>
        <w:t>签订日期</w:t>
      </w:r>
      <w:r>
        <w:rPr>
          <w:rFonts w:hint="default" w:ascii="Times New Roman" w:hAnsi="Times New Roman" w:eastAsia="仿宋_GB2312" w:cs="Times New Roman"/>
          <w:b w:val="0"/>
          <w:bCs w:val="0"/>
          <w:kern w:val="0"/>
          <w:sz w:val="32"/>
          <w:szCs w:val="32"/>
          <w:highlight w:val="none"/>
          <w:shd w:val="clear" w:color="auto" w:fill="FFFFFF"/>
          <w:lang w:val="en-US" w:eastAsia="zh-CN" w:bidi="ar-SA"/>
        </w:rPr>
        <w:t>是合同生效的重要</w:t>
      </w:r>
      <w:r>
        <w:rPr>
          <w:rFonts w:hint="eastAsia" w:eastAsia="仿宋_GB2312" w:cs="Times New Roman"/>
          <w:b w:val="0"/>
          <w:bCs w:val="0"/>
          <w:kern w:val="0"/>
          <w:sz w:val="32"/>
          <w:szCs w:val="32"/>
          <w:highlight w:val="none"/>
          <w:shd w:val="clear" w:color="auto" w:fill="FFFFFF"/>
          <w:lang w:val="en-US" w:eastAsia="zh-CN" w:bidi="ar-SA"/>
        </w:rPr>
        <w:t>要素</w:t>
      </w:r>
      <w:r>
        <w:rPr>
          <w:rFonts w:hint="default" w:ascii="Times New Roman" w:hAnsi="Times New Roman" w:eastAsia="仿宋_GB2312" w:cs="Times New Roman"/>
          <w:b w:val="0"/>
          <w:bCs w:val="0"/>
          <w:kern w:val="0"/>
          <w:sz w:val="32"/>
          <w:szCs w:val="32"/>
          <w:highlight w:val="none"/>
          <w:shd w:val="clear" w:color="auto" w:fill="FFFFFF"/>
          <w:lang w:val="en-US" w:eastAsia="zh-CN" w:bidi="ar-SA"/>
        </w:rPr>
        <w:t>，合同签订日期是部分合同条款判定相应责任的法律依据，建议被评价单位在签订时予以完善。杜绝因</w:t>
      </w:r>
      <w:r>
        <w:rPr>
          <w:rFonts w:hint="eastAsia" w:eastAsia="仿宋_GB2312" w:cs="Times New Roman"/>
          <w:b w:val="0"/>
          <w:bCs w:val="0"/>
          <w:kern w:val="0"/>
          <w:sz w:val="32"/>
          <w:szCs w:val="32"/>
          <w:highlight w:val="none"/>
          <w:shd w:val="clear" w:color="auto" w:fill="FFFFFF"/>
          <w:lang w:val="en-US" w:eastAsia="zh-CN" w:bidi="ar-SA"/>
        </w:rPr>
        <w:t>违反合同</w:t>
      </w:r>
      <w:r>
        <w:rPr>
          <w:rFonts w:hint="default" w:ascii="Times New Roman" w:hAnsi="Times New Roman" w:eastAsia="仿宋_GB2312" w:cs="Times New Roman"/>
          <w:b w:val="0"/>
          <w:bCs w:val="0"/>
          <w:kern w:val="0"/>
          <w:sz w:val="32"/>
          <w:szCs w:val="32"/>
          <w:highlight w:val="none"/>
          <w:shd w:val="clear" w:color="auto" w:fill="FFFFFF"/>
          <w:lang w:val="en-US" w:eastAsia="zh-CN" w:bidi="ar-SA"/>
        </w:rPr>
        <w:t>规定造成的法律风险和经济纠纷。</w:t>
      </w:r>
    </w:p>
    <w:p>
      <w:pPr>
        <w:pStyle w:val="4"/>
        <w:pageBreakBefore w:val="0"/>
        <w:widowControl w:val="0"/>
        <w:numPr>
          <w:ilvl w:val="0"/>
          <w:numId w:val="0"/>
        </w:numPr>
        <w:kinsoku/>
        <w:wordWrap/>
        <w:overflowPunct/>
        <w:topLinePunct w:val="0"/>
        <w:autoSpaceDE/>
        <w:autoSpaceDN/>
        <w:bidi w:val="0"/>
        <w:adjustRightInd/>
        <w:spacing w:line="600" w:lineRule="exact"/>
        <w:ind w:firstLine="321" w:firstLineChars="100"/>
        <w:textAlignment w:val="auto"/>
        <w:rPr>
          <w:rFonts w:hint="default" w:ascii="Times New Roman" w:hAnsi="Times New Roman" w:eastAsia="仿宋_GB2312" w:cs="Times New Roman"/>
          <w:lang w:val="en-US" w:eastAsia="zh-CN"/>
        </w:rPr>
      </w:pPr>
      <w:bookmarkStart w:id="151" w:name="_Toc8894"/>
      <w:bookmarkStart w:id="152" w:name="_Toc15974"/>
      <w:bookmarkStart w:id="153" w:name="_Toc18209"/>
      <w:r>
        <w:rPr>
          <w:rFonts w:hint="eastAsia" w:ascii="Times New Roman" w:hAnsi="Times New Roman" w:eastAsia="仿宋_GB2312" w:cs="Times New Roman"/>
          <w:lang w:val="en-US" w:eastAsia="zh-CN"/>
        </w:rPr>
        <w:t>3、审批不规范</w:t>
      </w:r>
      <w:bookmarkEnd w:id="151"/>
      <w:bookmarkEnd w:id="152"/>
      <w:bookmarkEnd w:id="153"/>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3"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default" w:ascii="Times New Roman" w:hAnsi="Times New Roman" w:eastAsia="仿宋_GB2312" w:cs="Times New Roman"/>
          <w:b/>
          <w:bCs/>
          <w:color w:val="000000"/>
          <w:kern w:val="0"/>
          <w:sz w:val="32"/>
          <w:szCs w:val="32"/>
          <w:highlight w:val="none"/>
          <w:lang w:val="en-US" w:eastAsia="zh-CN" w:bidi="ar"/>
        </w:rPr>
        <w:t>情况描述：</w:t>
      </w:r>
      <w:r>
        <w:rPr>
          <w:rFonts w:hint="eastAsia" w:ascii="Times New Roman" w:hAnsi="Times New Roman" w:eastAsia="仿宋_GB2312" w:cs="Times New Roman"/>
          <w:b w:val="0"/>
          <w:bCs w:val="0"/>
          <w:color w:val="000000"/>
          <w:kern w:val="0"/>
          <w:sz w:val="32"/>
          <w:szCs w:val="32"/>
          <w:highlight w:val="none"/>
          <w:lang w:val="en-US" w:eastAsia="zh-CN" w:bidi="ar"/>
        </w:rPr>
        <w:t>2022年12月17号凭证支付“民主法制建设杂志社”杂志费96.00元，2022年12月18号凭证支付“人民权力报社”报刊费90.00元，附件中所附阿坝县统计局经费报销单报销费用共计186.00元，会计审核处未签署意见。</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2022年12月19号凭证支付“晚霞杂志社”杂志征订费288.00元，附件中所附阿坝县统计局经费报销单报销费用金额为288.00元，会计审核处未签署意见。</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2022年3月第23号凭证、2022年3月28号凭证支付工作人员2022年2月23日至2月27日赴若尔盖、红原、汶川学习考察等差旅费共计1,845.00元，后附资料无出差审批单。</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2022年3月第23号凭证、2022年3月28号凭证支付工作人员2022年2月23日至2月27日赴若尔盖、红原、汶川学习考察等差旅费共计1,845.00元，其中145.00元差旅费报销单未填写报销时间。</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2022年3月25号凭证支付工作人员2022年2月23日至2月26日赴若尔盖、红原、汶川学习考察等差旅费共计1,425.00元，后附资料无出差审批单。</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2022年3月24号凭证支付工作人员2022年2月21日至2月25日参加全省农业农村调查工作等差旅费共计1,795.00元，后附资料无出差审批单。</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2022年3月26号凭证支付工作人员差旅费2,975.00元（其中代毛卫东报销1130.00元），其中2022年2月23日至2月27日赴若尔盖、红原、汶川学习考察等差旅费共计1,845.00元，后附资料无出差审批单。</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2022年5月23号、24号、25号、27号、29号、30号、32号、33号、34号、35号凭证支付2021年12月13日至12月15日工作人员等8人参加2021年度全州统计工作年报会差旅费共计3,150.00元，后附资料无出差审批单。</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2022年5月23号凭证，后附的国库集中支付凭证金额为315.00元，支付对象为工作人员，与附件资料中阿坝县统计局经费支付明细单（统计局）中报销人为毛卫东，不一致</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2022年7月2号、3号、4号、5号、6号凭证支付差旅费共计4,029.00元，附件中阿坝县统计局经费支付明细表（住户调查）无经办人签字。</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2022年12月36号凭证支付车辆维修费18,100.00元，附件资料经费请拨单中无</w:t>
      </w:r>
      <w:r>
        <w:rPr>
          <w:rFonts w:hint="eastAsia" w:eastAsia="仿宋_GB2312" w:cs="Times New Roman"/>
          <w:b w:val="0"/>
          <w:bCs w:val="0"/>
          <w:color w:val="000000"/>
          <w:kern w:val="0"/>
          <w:sz w:val="32"/>
          <w:szCs w:val="32"/>
          <w:highlight w:val="none"/>
          <w:lang w:val="en-US" w:eastAsia="zh-CN" w:bidi="ar"/>
        </w:rPr>
        <w:t>相关</w:t>
      </w:r>
      <w:r>
        <w:rPr>
          <w:rFonts w:hint="eastAsia" w:ascii="Times New Roman" w:hAnsi="Times New Roman" w:eastAsia="仿宋_GB2312" w:cs="Times New Roman"/>
          <w:b w:val="0"/>
          <w:bCs w:val="0"/>
          <w:color w:val="000000"/>
          <w:kern w:val="0"/>
          <w:sz w:val="32"/>
          <w:szCs w:val="32"/>
          <w:highlight w:val="none"/>
          <w:lang w:val="en-US" w:eastAsia="zh-CN" w:bidi="ar"/>
        </w:rPr>
        <w:t>经办人签字。</w:t>
      </w:r>
    </w:p>
    <w:p>
      <w:pPr>
        <w:keepNext w:val="0"/>
        <w:keepLines w:val="0"/>
        <w:pageBreakBefore w:val="0"/>
        <w:widowControl w:val="0"/>
        <w:tabs>
          <w:tab w:val="center" w:pos="4153"/>
          <w:tab w:val="right" w:pos="8306"/>
        </w:tabs>
        <w:kinsoku/>
        <w:wordWrap/>
        <w:overflowPunct/>
        <w:topLinePunct w:val="0"/>
        <w:autoSpaceDE/>
        <w:autoSpaceDN/>
        <w:bidi w:val="0"/>
        <w:adjustRightInd/>
        <w:snapToGrid w:val="0"/>
        <w:spacing w:line="600" w:lineRule="exact"/>
        <w:ind w:firstLine="640" w:firstLineChars="200"/>
        <w:jc w:val="both"/>
        <w:textAlignment w:val="auto"/>
        <w:rPr>
          <w:rFonts w:hint="eastAsia" w:ascii="Times New Roman" w:hAnsi="Times New Roman" w:eastAsia="仿宋_GB2312" w:cs="Times New Roman"/>
          <w:b w:val="0"/>
          <w:bCs w:val="0"/>
          <w:color w:val="000000"/>
          <w:kern w:val="0"/>
          <w:sz w:val="32"/>
          <w:szCs w:val="32"/>
          <w:highlight w:val="none"/>
          <w:lang w:val="en-US" w:eastAsia="zh-CN" w:bidi="ar"/>
        </w:rPr>
      </w:pPr>
      <w:r>
        <w:rPr>
          <w:rFonts w:hint="eastAsia" w:ascii="Times New Roman" w:hAnsi="Times New Roman" w:eastAsia="仿宋_GB2312" w:cs="Times New Roman"/>
          <w:b w:val="0"/>
          <w:bCs w:val="0"/>
          <w:color w:val="000000"/>
          <w:kern w:val="0"/>
          <w:sz w:val="32"/>
          <w:szCs w:val="32"/>
          <w:highlight w:val="none"/>
          <w:lang w:val="en-US" w:eastAsia="zh-CN" w:bidi="ar"/>
        </w:rPr>
        <w:t>2022年12月42号凭证支付差旅费420元，后附阿坝县统计局车辆经费报销单，金额420.00（油费400.00元、过路费20.00元）元，出差事由为到马尔康参加全州劳动力调查业务培训会，无相应车辆派车单。</w:t>
      </w:r>
    </w:p>
    <w:p>
      <w:pPr>
        <w:pStyle w:val="24"/>
        <w:keepNext w:val="0"/>
        <w:keepLines w:val="0"/>
        <w:pageBreakBefore w:val="0"/>
        <w:widowControl w:val="0"/>
        <w:kinsoku/>
        <w:wordWrap/>
        <w:overflowPunct/>
        <w:topLinePunct w:val="0"/>
        <w:autoSpaceDE/>
        <w:autoSpaceDN/>
        <w:bidi w:val="0"/>
        <w:adjustRightInd/>
        <w:snapToGrid w:val="0"/>
        <w:spacing w:line="600" w:lineRule="exact"/>
        <w:ind w:firstLine="643" w:firstLineChars="200"/>
        <w:jc w:val="both"/>
        <w:textAlignment w:val="auto"/>
        <w:rPr>
          <w:rFonts w:hint="default" w:eastAsia="仿宋_GB2312" w:cs="Times New Roman"/>
          <w:b w:val="0"/>
          <w:bCs w:val="0"/>
          <w:color w:val="000000"/>
          <w:kern w:val="0"/>
          <w:sz w:val="32"/>
          <w:szCs w:val="32"/>
          <w:highlight w:val="yellow"/>
          <w:lang w:val="en-US" w:eastAsia="zh-CN" w:bidi="ar"/>
        </w:rPr>
      </w:pPr>
      <w:r>
        <w:rPr>
          <w:rFonts w:hint="eastAsia" w:ascii="Times New Roman" w:hAnsi="Times New Roman" w:eastAsia="仿宋_GB2312" w:cs="Times New Roman"/>
          <w:b/>
          <w:bCs/>
          <w:color w:val="000000"/>
          <w:kern w:val="0"/>
          <w:sz w:val="32"/>
          <w:szCs w:val="32"/>
          <w:highlight w:val="none"/>
          <w:lang w:val="en-US" w:eastAsia="zh-CN" w:bidi="ar"/>
        </w:rPr>
        <w:t>违反的相关条例：</w:t>
      </w:r>
      <w:r>
        <w:rPr>
          <w:rFonts w:hint="eastAsia" w:eastAsia="仿宋_GB2312" w:cs="Times New Roman"/>
          <w:b w:val="0"/>
          <w:bCs w:val="0"/>
          <w:color w:val="000000"/>
          <w:kern w:val="0"/>
          <w:sz w:val="32"/>
          <w:szCs w:val="32"/>
          <w:highlight w:val="none"/>
          <w:lang w:val="en-US" w:eastAsia="zh-CN" w:bidi="ar"/>
        </w:rPr>
        <w:t>违反了</w:t>
      </w:r>
      <w:r>
        <w:rPr>
          <w:rFonts w:hint="eastAsia" w:ascii="Times New Roman" w:hAnsi="Times New Roman" w:eastAsia="仿宋_GB2312" w:cs="Times New Roman"/>
          <w:b w:val="0"/>
          <w:bCs w:val="0"/>
          <w:color w:val="000000"/>
          <w:kern w:val="0"/>
          <w:sz w:val="32"/>
          <w:szCs w:val="32"/>
          <w:highlight w:val="none"/>
          <w:lang w:val="en-US" w:eastAsia="zh-CN" w:bidi="ar"/>
        </w:rPr>
        <w:t>《阿坝县统计局收支管理制度》</w:t>
      </w:r>
      <w:r>
        <w:rPr>
          <w:rFonts w:hint="eastAsia" w:eastAsia="仿宋_GB2312" w:cs="Times New Roman"/>
          <w:b w:val="0"/>
          <w:bCs w:val="0"/>
          <w:color w:val="000000"/>
          <w:kern w:val="0"/>
          <w:sz w:val="32"/>
          <w:szCs w:val="32"/>
          <w:highlight w:val="none"/>
          <w:lang w:val="en-US" w:eastAsia="zh-CN" w:bidi="ar"/>
        </w:rPr>
        <w:t>第四条“</w:t>
      </w:r>
      <w:r>
        <w:rPr>
          <w:rFonts w:ascii="仿宋" w:hAnsi="仿宋" w:eastAsia="仿宋"/>
          <w:sz w:val="32"/>
          <w:szCs w:val="32"/>
          <w:highlight w:val="none"/>
        </w:rPr>
        <w:t>差旅费支出要严格执行</w:t>
      </w:r>
      <w:r>
        <w:rPr>
          <w:rFonts w:hint="eastAsia" w:ascii="仿宋" w:hAnsi="仿宋" w:eastAsia="仿宋"/>
          <w:sz w:val="32"/>
          <w:szCs w:val="32"/>
          <w:highlight w:val="none"/>
        </w:rPr>
        <w:t>县上</w:t>
      </w:r>
      <w:r>
        <w:rPr>
          <w:rFonts w:ascii="仿宋" w:hAnsi="仿宋" w:eastAsia="仿宋"/>
          <w:sz w:val="32"/>
          <w:szCs w:val="32"/>
          <w:highlight w:val="none"/>
        </w:rPr>
        <w:t>规定的开支范围和开支标准。出差人员首先填写工作人员出差审批单，报分管领导审批</w:t>
      </w:r>
      <w:r>
        <w:rPr>
          <w:rFonts w:hint="eastAsia" w:eastAsia="仿宋_GB2312" w:cs="Times New Roman"/>
          <w:b w:val="0"/>
          <w:bCs w:val="0"/>
          <w:color w:val="000000"/>
          <w:kern w:val="0"/>
          <w:sz w:val="32"/>
          <w:szCs w:val="32"/>
          <w:highlight w:val="none"/>
          <w:lang w:val="en-US" w:eastAsia="zh-CN" w:bidi="ar"/>
        </w:rPr>
        <w:t>”之规定。</w:t>
      </w:r>
    </w:p>
    <w:p>
      <w:pPr>
        <w:pStyle w:val="24"/>
        <w:keepNext w:val="0"/>
        <w:keepLines w:val="0"/>
        <w:pageBreakBefore w:val="0"/>
        <w:widowControl w:val="0"/>
        <w:kinsoku/>
        <w:wordWrap/>
        <w:overflowPunct/>
        <w:topLinePunct w:val="0"/>
        <w:autoSpaceDE/>
        <w:autoSpaceDN/>
        <w:bidi w:val="0"/>
        <w:adjustRightInd/>
        <w:snapToGrid w:val="0"/>
        <w:spacing w:line="600" w:lineRule="exact"/>
        <w:ind w:firstLine="643" w:firstLineChars="200"/>
        <w:jc w:val="both"/>
        <w:textAlignment w:val="auto"/>
        <w:rPr>
          <w:rFonts w:hint="eastAsia" w:eastAsia="仿宋_GB2312" w:cs="Times New Roman"/>
          <w:b w:val="0"/>
          <w:bCs w:val="0"/>
          <w:color w:val="auto"/>
          <w:kern w:val="0"/>
          <w:sz w:val="32"/>
          <w:szCs w:val="32"/>
          <w:highlight w:val="none"/>
          <w:shd w:val="clear" w:color="auto" w:fill="FFFFFF"/>
          <w:lang w:val="en-US" w:eastAsia="zh-CN"/>
        </w:rPr>
      </w:pPr>
      <w:r>
        <w:rPr>
          <w:rFonts w:hint="default" w:ascii="Times New Roman" w:hAnsi="Times New Roman" w:eastAsia="仿宋_GB2312" w:cs="Times New Roman"/>
          <w:b/>
          <w:bCs/>
          <w:color w:val="auto"/>
          <w:kern w:val="0"/>
          <w:sz w:val="32"/>
          <w:szCs w:val="32"/>
          <w:highlight w:val="none"/>
          <w:shd w:val="clear" w:color="auto" w:fill="FFFFFF"/>
          <w:lang w:val="en-US" w:eastAsia="zh-CN"/>
        </w:rPr>
        <w:t>我们的意见或建议：</w:t>
      </w:r>
      <w:r>
        <w:rPr>
          <w:rFonts w:hint="eastAsia" w:eastAsia="仿宋_GB2312" w:cs="Times New Roman"/>
          <w:b w:val="0"/>
          <w:bCs w:val="0"/>
          <w:color w:val="auto"/>
          <w:kern w:val="0"/>
          <w:sz w:val="32"/>
          <w:szCs w:val="32"/>
          <w:highlight w:val="none"/>
          <w:shd w:val="clear" w:color="auto" w:fill="FFFFFF"/>
          <w:lang w:val="en-US" w:eastAsia="zh-CN"/>
        </w:rPr>
        <w:t>建议阿坝县统计局严格遵循财务报销制度，出差要填写先出差审批单，从严审核报账资料，财务收支原则实行“一支笔”审批制度。</w:t>
      </w:r>
    </w:p>
    <w:bookmarkEnd w:id="142"/>
    <w:bookmarkEnd w:id="143"/>
    <w:bookmarkEnd w:id="144"/>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bookmarkStart w:id="154" w:name="_GoBack"/>
      <w:bookmarkEnd w:id="154"/>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r>
        <w:rPr>
          <w:rFonts w:hint="default" w:eastAsia="仿宋_GB2312" w:cs="Times New Roman"/>
          <w:color w:val="000000"/>
          <w:kern w:val="0"/>
          <w:sz w:val="32"/>
          <w:szCs w:val="32"/>
          <w:highlight w:val="none"/>
          <w:lang w:val="en-US" w:eastAsia="zh-CN" w:bidi="ar"/>
        </w:rPr>
        <w:t>附件1：</w:t>
      </w:r>
      <w:r>
        <w:rPr>
          <w:rFonts w:hint="eastAsia" w:eastAsia="仿宋_GB2312" w:cs="Times New Roman"/>
          <w:color w:val="000000"/>
          <w:kern w:val="0"/>
          <w:sz w:val="32"/>
          <w:szCs w:val="32"/>
          <w:highlight w:val="none"/>
          <w:lang w:val="en-US" w:eastAsia="zh-CN" w:bidi="ar"/>
        </w:rPr>
        <w:t>阿坝县统计局2022年</w:t>
      </w:r>
      <w:r>
        <w:rPr>
          <w:rFonts w:hint="default" w:eastAsia="仿宋_GB2312" w:cs="Times New Roman"/>
          <w:color w:val="000000"/>
          <w:kern w:val="0"/>
          <w:sz w:val="32"/>
          <w:szCs w:val="32"/>
          <w:highlight w:val="none"/>
          <w:lang w:val="en-US" w:eastAsia="zh-CN" w:bidi="ar"/>
        </w:rPr>
        <w:t>部门整体支出绩效评价指标体系</w:t>
      </w: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p>
    <w:p>
      <w:pPr>
        <w:pStyle w:val="24"/>
        <w:keepNext w:val="0"/>
        <w:keepLines w:val="0"/>
        <w:pageBreakBefore w:val="0"/>
        <w:widowControl w:val="0"/>
        <w:kinsoku/>
        <w:wordWrap/>
        <w:overflowPunct/>
        <w:topLinePunct w:val="0"/>
        <w:autoSpaceDE/>
        <w:autoSpaceDN/>
        <w:bidi w:val="0"/>
        <w:adjustRightInd/>
        <w:snapToGrid w:val="0"/>
        <w:spacing w:line="600" w:lineRule="exact"/>
        <w:jc w:val="both"/>
        <w:textAlignment w:val="auto"/>
        <w:rPr>
          <w:rFonts w:hint="default" w:eastAsia="仿宋_GB2312" w:cs="Times New Roman"/>
          <w:color w:val="000000"/>
          <w:kern w:val="0"/>
          <w:sz w:val="32"/>
          <w:szCs w:val="32"/>
          <w:highlight w:val="none"/>
          <w:lang w:val="en-US" w:eastAsia="zh-CN" w:bidi="ar"/>
        </w:rPr>
      </w:pPr>
    </w:p>
    <w:p>
      <w:pPr>
        <w:ind w:firstLine="0" w:firstLineChars="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lang w:eastAsia="zh-CN"/>
        </w:rPr>
        <w:t>四川融策会计师事务所有限公司</w:t>
      </w:r>
      <w:r>
        <w:rPr>
          <w:rFonts w:hint="default" w:ascii="Times New Roman" w:hAnsi="Times New Roman" w:eastAsia="仿宋_GB2312" w:cs="Times New Roman"/>
          <w:b/>
          <w:sz w:val="32"/>
          <w:szCs w:val="32"/>
          <w:highlight w:val="none"/>
        </w:rPr>
        <w:t xml:space="preserve">    中国注册会计师：</w:t>
      </w:r>
    </w:p>
    <w:p>
      <w:pPr>
        <w:ind w:firstLine="640"/>
        <w:jc w:val="center"/>
        <w:rPr>
          <w:rFonts w:hint="default" w:ascii="Times New Roman" w:hAnsi="Times New Roman" w:eastAsia="仿宋_GB2312" w:cs="Times New Roman"/>
          <w:b/>
          <w:sz w:val="32"/>
          <w:szCs w:val="32"/>
          <w:highlight w:val="none"/>
        </w:rPr>
      </w:pPr>
    </w:p>
    <w:p>
      <w:pPr>
        <w:ind w:firstLine="1285" w:firstLineChars="400"/>
        <w:rPr>
          <w:rFonts w:hint="default" w:ascii="Times New Roman" w:hAnsi="Times New Roman" w:eastAsia="仿宋_GB2312" w:cs="Times New Roman"/>
          <w:b/>
          <w:sz w:val="32"/>
          <w:szCs w:val="32"/>
          <w:highlight w:val="none"/>
        </w:rPr>
      </w:pPr>
      <w:r>
        <w:rPr>
          <w:rFonts w:hint="default" w:ascii="Times New Roman" w:hAnsi="Times New Roman" w:eastAsia="仿宋_GB2312" w:cs="Times New Roman"/>
          <w:b/>
          <w:sz w:val="32"/>
          <w:szCs w:val="32"/>
          <w:highlight w:val="none"/>
        </w:rPr>
        <w:t xml:space="preserve">中国·成都             </w:t>
      </w:r>
      <w:r>
        <w:rPr>
          <w:rFonts w:hint="eastAsia" w:eastAsia="仿宋_GB2312" w:cs="Times New Roman"/>
          <w:b/>
          <w:sz w:val="32"/>
          <w:szCs w:val="32"/>
          <w:highlight w:val="none"/>
          <w:lang w:val="en-US" w:eastAsia="zh-CN"/>
        </w:rPr>
        <w:t xml:space="preserve">  </w:t>
      </w:r>
      <w:r>
        <w:rPr>
          <w:rFonts w:hint="default" w:ascii="Times New Roman" w:hAnsi="Times New Roman" w:eastAsia="仿宋_GB2312" w:cs="Times New Roman"/>
          <w:b/>
          <w:sz w:val="32"/>
          <w:szCs w:val="32"/>
          <w:highlight w:val="none"/>
        </w:rPr>
        <w:t xml:space="preserve"> 中国注册会计师：</w:t>
      </w:r>
    </w:p>
    <w:p>
      <w:pPr>
        <w:ind w:firstLine="640"/>
        <w:rPr>
          <w:rFonts w:hint="default" w:ascii="Times New Roman" w:hAnsi="Times New Roman" w:eastAsia="仿宋_GB2312" w:cs="Times New Roman"/>
          <w:b/>
          <w:sz w:val="32"/>
          <w:szCs w:val="32"/>
          <w:highlight w:val="none"/>
        </w:rPr>
      </w:pPr>
    </w:p>
    <w:p>
      <w:pPr>
        <w:pStyle w:val="24"/>
        <w:ind w:left="0" w:leftChars="0" w:firstLine="0" w:firstLineChars="0"/>
        <w:rPr>
          <w:rFonts w:hint="default"/>
          <w:lang w:eastAsia="zh-CN"/>
        </w:rPr>
      </w:pPr>
      <w:r>
        <w:rPr>
          <w:rFonts w:hint="default" w:ascii="Times New Roman" w:hAnsi="Times New Roman" w:eastAsia="仿宋_GB2312" w:cs="Times New Roman"/>
          <w:b/>
          <w:sz w:val="32"/>
          <w:szCs w:val="32"/>
          <w:highlight w:val="none"/>
        </w:rPr>
        <w:t xml:space="preserve">                      </w:t>
      </w:r>
      <w:r>
        <w:rPr>
          <w:rFonts w:hint="eastAsia" w:eastAsia="仿宋_GB2312" w:cs="Times New Roman"/>
          <w:b/>
          <w:sz w:val="32"/>
          <w:szCs w:val="32"/>
          <w:highlight w:val="none"/>
          <w:lang w:eastAsia="zh-CN"/>
        </w:rPr>
        <w:t>二〇二三年</w:t>
      </w:r>
      <w:r>
        <w:rPr>
          <w:rFonts w:hint="eastAsia" w:eastAsia="仿宋_GB2312" w:cs="Times New Roman"/>
          <w:b/>
          <w:sz w:val="32"/>
          <w:szCs w:val="32"/>
          <w:highlight w:val="none"/>
          <w:lang w:val="en-US" w:eastAsia="zh-CN"/>
        </w:rPr>
        <w:t>十二</w:t>
      </w:r>
      <w:r>
        <w:rPr>
          <w:rFonts w:hint="default" w:ascii="Times New Roman" w:hAnsi="Times New Roman" w:eastAsia="仿宋_GB2312" w:cs="Times New Roman"/>
          <w:b/>
          <w:sz w:val="32"/>
          <w:szCs w:val="32"/>
          <w:highlight w:val="none"/>
        </w:rPr>
        <w:t>月</w:t>
      </w:r>
      <w:r>
        <w:rPr>
          <w:rFonts w:hint="eastAsia" w:eastAsia="仿宋_GB2312" w:cs="Times New Roman"/>
          <w:b/>
          <w:sz w:val="32"/>
          <w:szCs w:val="32"/>
          <w:highlight w:val="none"/>
          <w:lang w:val="en-US" w:eastAsia="zh-CN"/>
        </w:rPr>
        <w:t>三十</w:t>
      </w:r>
      <w:r>
        <w:rPr>
          <w:rFonts w:hint="default" w:ascii="Times New Roman" w:hAnsi="Times New Roman" w:eastAsia="仿宋_GB2312" w:cs="Times New Roman"/>
          <w:b/>
          <w:sz w:val="32"/>
          <w:szCs w:val="32"/>
          <w:highlight w:val="none"/>
        </w:rPr>
        <w:t>日</w:t>
      </w:r>
    </w:p>
    <w:sectPr>
      <w:footerReference r:id="rId11" w:type="default"/>
      <w:footnotePr>
        <w:numFmt w:val="decimalEnclosedCircleChinese"/>
      </w:footnotePr>
      <w:pgSz w:w="11906" w:h="16838"/>
      <w:pgMar w:top="1304" w:right="1418" w:bottom="1276" w:left="1418" w:header="851" w:footer="992" w:gutter="284"/>
      <w:pgBorders>
        <w:top w:val="none" w:sz="0" w:space="0"/>
        <w:left w:val="none" w:sz="0" w:space="0"/>
        <w:bottom w:val="none" w:sz="0" w:space="0"/>
        <w:right w:val="none" w:sz="0" w:space="0"/>
      </w:pgBorders>
      <w:pgNumType w:fmt="decimal" w:start="1"/>
      <w:cols w:space="720" w:num="1"/>
      <w:docGrid w:type="lines" w:linePitch="312"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7A"/>
    <w:family w:val="auto"/>
    <w:pitch w:val="default"/>
    <w:sig w:usb0="E0002EFF" w:usb1="C000785B" w:usb2="00000009" w:usb3="00000000" w:csb0="400001FF" w:csb1="FFFF0000"/>
  </w:font>
  <w:font w:name="宋体">
    <w:panose1 w:val="02010600030101010101"/>
    <w:charset w:val="7A"/>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embedRegular r:id="rId1" w:fontKey="{0FBF60E5-301E-4BDA-AD67-AC58BC6BBB6F}"/>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embedRegular r:id="rId2" w:fontKey="{14410F6E-AF68-408B-A4B6-FE6C2D4B3A28}"/>
  </w:font>
  <w:font w:name="等线 Light">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embedRegular r:id="rId3" w:fontKey="{263E45CE-B048-407A-BD06-ED8E509DD5BC}"/>
  </w:font>
  <w:font w:name="等线">
    <w:panose1 w:val="02010600030101010101"/>
    <w:charset w:val="86"/>
    <w:family w:val="auto"/>
    <w:pitch w:val="default"/>
    <w:sig w:usb0="A00002BF" w:usb1="38CF7CFA" w:usb2="00000016" w:usb3="00000000" w:csb0="0004000F" w:csb1="00000000"/>
  </w:font>
  <w:font w:name="楷体_GB2312">
    <w:panose1 w:val="02010609030101010101"/>
    <w:charset w:val="86"/>
    <w:family w:val="auto"/>
    <w:pitch w:val="default"/>
    <w:sig w:usb0="00000001" w:usb1="080E0000" w:usb2="00000000" w:usb3="00000000" w:csb0="00040000" w:csb1="00000000"/>
    <w:embedRegular r:id="rId4" w:fontKey="{2BA094C3-E138-4994-8631-9D4AF3BE60B4}"/>
  </w:font>
  <w:font w:name="Wingdings 2">
    <w:panose1 w:val="05020102010507070707"/>
    <w:charset w:val="02"/>
    <w:family w:val="roman"/>
    <w:pitch w:val="default"/>
    <w:sig w:usb0="00000000" w:usb1="00000000" w:usb2="00000000" w:usb3="00000000" w:csb0="80000000" w:csb1="00000000"/>
  </w:font>
  <w:font w:name="Verdana">
    <w:panose1 w:val="020B0604030504040204"/>
    <w:charset w:val="00"/>
    <w:family w:val="swiss"/>
    <w:pitch w:val="default"/>
    <w:sig w:usb0="A00006FF" w:usb1="4000205B" w:usb2="00000010" w:usb3="00000000" w:csb0="2000019F" w:csb1="00000000"/>
  </w:font>
  <w:font w:name="楷体">
    <w:panose1 w:val="02010609060101010101"/>
    <w:charset w:val="86"/>
    <w:family w:val="auto"/>
    <w:pitch w:val="default"/>
    <w:sig w:usb0="800002BF" w:usb1="38CF7CFA" w:usb2="00000016" w:usb3="00000000" w:csb0="00040001" w:csb1="00000000"/>
    <w:embedRegular r:id="rId5" w:fontKey="{213AF45A-8C83-4EE0-AE1D-8494740F9515}"/>
  </w:font>
  <w:font w:name="仿宋_GB2312">
    <w:panose1 w:val="02010609030101010101"/>
    <w:charset w:val="86"/>
    <w:family w:val="modern"/>
    <w:pitch w:val="default"/>
    <w:sig w:usb0="00000001" w:usb1="080E0000" w:usb2="00000000" w:usb3="00000000" w:csb0="00040000" w:csb1="00000000"/>
    <w:embedRegular r:id="rId6" w:fontKey="{A09D5698-702C-4AF9-9500-D7AFFC21D828}"/>
  </w:font>
  <w:font w:name="??">
    <w:altName w:val="Times New Roman"/>
    <w:panose1 w:val="00000000000000000000"/>
    <w:charset w:val="00"/>
    <w:family w:val="roman"/>
    <w:pitch w:val="default"/>
    <w:sig w:usb0="00000000" w:usb1="00000000" w:usb2="00000000" w:usb3="00000000" w:csb0="00040001" w:csb1="00000000"/>
  </w:font>
  <w:font w:name="华康行楷体 W5">
    <w:altName w:val="宋体"/>
    <w:panose1 w:val="03000509000000000000"/>
    <w:charset w:val="86"/>
    <w:family w:val="roman"/>
    <w:pitch w:val="default"/>
    <w:sig w:usb0="00000000" w:usb1="00000000" w:usb2="00000012" w:usb3="00000000" w:csb0="00040001" w:csb1="00000000"/>
    <w:embedRegular r:id="rId7" w:fontKey="{CDEC8E52-343A-484D-93C1-03C54AE432A5}"/>
  </w:font>
  <w:font w:name="方正小标宋简体">
    <w:panose1 w:val="02010601030101010101"/>
    <w:charset w:val="86"/>
    <w:family w:val="auto"/>
    <w:pitch w:val="default"/>
    <w:sig w:usb0="00000001" w:usb1="080E0000" w:usb2="00000000" w:usb3="00000000" w:csb0="00040000" w:csb1="00000000"/>
  </w:font>
  <w:font w:name="仿宋">
    <w:panose1 w:val="02010609060101010101"/>
    <w:charset w:val="86"/>
    <w:family w:val="auto"/>
    <w:pitch w:val="default"/>
    <w:sig w:usb0="800002BF" w:usb1="38CF7CFA" w:usb2="00000016" w:usb3="00000000" w:csb0="00040001" w:csb1="00000000"/>
    <w:embedRegular r:id="rId8" w:fontKey="{E223FB4C-EFD4-4F7E-BE53-44F973CE613F}"/>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jc w:val="center"/>
      <w:rPr>
        <w:rFonts w:hint="eastAsia"/>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framePr w:wrap="around" w:vAnchor="text" w:hAnchor="margin" w:xAlign="center" w:y="1"/>
      <w:rPr>
        <w:rStyle w:val="43"/>
      </w:rPr>
    </w:pPr>
    <w:r>
      <w:fldChar w:fldCharType="begin"/>
    </w:r>
    <w:r>
      <w:rPr>
        <w:rStyle w:val="43"/>
      </w:rPr>
      <w:instrText xml:space="preserve">PAGE  </w:instrText>
    </w:r>
    <w:r>
      <w:fldChar w:fldCharType="end"/>
    </w:r>
  </w:p>
  <w:p>
    <w:pPr>
      <w:pStyle w:val="24"/>
    </w:pPr>
  </w:p>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tabs>
        <w:tab w:val="left" w:pos="5101"/>
        <w:tab w:val="clear" w:pos="4153"/>
      </w:tabs>
      <w:ind w:right="360" w:firstLine="360"/>
      <w:rPr>
        <w:rFonts w:hint="eastAsia" w:eastAsia="宋体"/>
        <w:lang w:eastAsia="zh-CN"/>
      </w:rPr>
    </w:pPr>
    <w:r>
      <w:rPr>
        <w:rFonts w:hint="eastAsia"/>
        <w:lang w:eastAsia="zh-CN"/>
      </w:rPr>
      <w:tab/>
    </w:r>
  </w:p>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tabs>
        <w:tab w:val="left" w:pos="5101"/>
        <w:tab w:val="clear" w:pos="4153"/>
      </w:tabs>
      <w:ind w:right="360" w:firstLine="360"/>
      <w:rPr>
        <w:rFonts w:hint="eastAsia" w:eastAsia="宋体"/>
        <w:lang w:eastAsia="zh-CN"/>
      </w:rPr>
    </w:pPr>
    <w:r>
      <w:rPr>
        <w:rFonts w:hint="eastAsia"/>
        <w:lang w:eastAsia="zh-CN"/>
      </w:rPr>
      <w:tab/>
    </w:r>
  </w:p>
</w:ftr>
</file>

<file path=word/footer5.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4"/>
      <w:tabs>
        <w:tab w:val="left" w:pos="5101"/>
        <w:tab w:val="clear" w:pos="4153"/>
      </w:tabs>
      <w:ind w:right="360" w:firstLine="360"/>
      <w:rPr>
        <w:rFonts w:hint="eastAsia" w:eastAsia="宋体"/>
        <w:lang w:eastAsia="zh-CN"/>
      </w:rP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2" name="文本框 2"/>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4"/>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24</w:t>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">
              <v:fill on="f" focussize="0,0"/>
              <v:stroke on="f" weight="0.5pt"/>
              <v:imagedata o:title=""/>
              <o:lock v:ext="edit" aspectratio="f"/>
              <v:textbox inset="0mm,0mm,0mm,0mm" style="mso-fit-shape-to-text:t;">
                <w:txbxContent>
                  <w:p>
                    <w:pPr>
                      <w:pStyle w:val="24"/>
                    </w:pPr>
                    <w:r>
                      <w:t xml:space="preserve">第 </w:t>
                    </w:r>
                    <w:r>
                      <w:fldChar w:fldCharType="begin"/>
                    </w:r>
                    <w:r>
                      <w:instrText xml:space="preserve"> PAGE  \* MERGEFORMAT </w:instrText>
                    </w:r>
                    <w:r>
                      <w:fldChar w:fldCharType="separate"/>
                    </w:r>
                    <w:r>
                      <w:t>1</w:t>
                    </w:r>
                    <w:r>
                      <w:fldChar w:fldCharType="end"/>
                    </w:r>
                    <w:r>
                      <w:t xml:space="preserve"> 页 共 </w:t>
                    </w:r>
                    <w:r>
                      <w:rPr>
                        <w:rFonts w:hint="eastAsia"/>
                        <w:lang w:val="en-US" w:eastAsia="zh-CN"/>
                      </w:rPr>
                      <w:t>24</w:t>
                    </w:r>
                    <w:r>
                      <w:t xml:space="preserve"> 页</w:t>
                    </w:r>
                  </w:p>
                </w:txbxContent>
              </v:textbox>
            </v:shape>
          </w:pict>
        </mc:Fallback>
      </mc:AlternateContent>
    </w:r>
    <w:r>
      <w:rPr>
        <w:rFonts w:hint="eastAsia"/>
        <w:lang w:eastAsia="zh-CN"/>
      </w:rPr>
      <w:tab/>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pPr>
  </w:p>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5"/>
      <w:pBdr>
        <w:bottom w:val="none" w:color="auto" w:sz="0" w:space="0"/>
      </w:pBdr>
      <w:ind w:firstLine="36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DFDFA69E"/>
    <w:multiLevelType w:val="singleLevel"/>
    <w:tmpl w:val="DFDFA69E"/>
    <w:lvl w:ilvl="0" w:tentative="0">
      <w:start w:val="1"/>
      <w:numFmt w:val="chineseCounting"/>
      <w:suff w:val="nothing"/>
      <w:lvlText w:val="%1、"/>
      <w:lvlJc w:val="left"/>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80"/>
  <w:embedTrueTypeFonts/>
  <w:saveSubsetFonts/>
  <w:bordersDoNotSurroundHeader w:val="0"/>
  <w:bordersDoNotSurroundFooter w:val="0"/>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cumentProtection w:enforcement="0"/>
  <w:defaultTabStop w:val="420"/>
  <w:drawingGridVerticalSpacing w:val="156"/>
  <w:displayHorizontalDrawingGridEvery w:val="1"/>
  <w:displayVerticalDrawingGridEvery w:val="1"/>
  <w:noPunctuationKerning w:val="1"/>
  <w:characterSpacingControl w:val="compressPunctuation"/>
  <w:doNotValidateAgainstSchema/>
  <w:doNotDemarcateInvalidXml/>
  <w:footnotePr>
    <w:footnote w:id="0"/>
    <w:footnote w:id="1"/>
  </w:footnotePr>
  <w:endnotePr>
    <w:endnote w:id="0"/>
    <w:endnote w:id="1"/>
  </w:endnotePr>
  <w:compat>
    <w:spaceForUL/>
    <w:balanceSingleByteDoubleByteWidth/>
    <w:doNotLeaveBackslashAlone/>
    <w:doNotExpandShiftReturn/>
    <w:adjustLineHeightInTable/>
    <w:doNotWrapTextWithPunct/>
    <w:doNotUseEastAsianBreakRules/>
    <w:useFELayout/>
    <w:doNotUseIndentAsNumberingTabStop/>
    <w:useAltKinsokuLineBreakRules/>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docVars>
    <w:docVar w:name="commondata" w:val="eyJoZGlkIjoiMzEwNTM5NzYwMDRjMzkwZTVkZjY2ODkwMGIxNGU0OTUifQ=="/>
  </w:docVars>
  <w:rsids>
    <w:rsidRoot w:val="00172A27"/>
    <w:rsid w:val="00000D14"/>
    <w:rsid w:val="00002597"/>
    <w:rsid w:val="000027B8"/>
    <w:rsid w:val="000076D1"/>
    <w:rsid w:val="00013E9B"/>
    <w:rsid w:val="000140E7"/>
    <w:rsid w:val="00016328"/>
    <w:rsid w:val="00021DA0"/>
    <w:rsid w:val="000222AD"/>
    <w:rsid w:val="00023E28"/>
    <w:rsid w:val="000247C9"/>
    <w:rsid w:val="00025140"/>
    <w:rsid w:val="000251C6"/>
    <w:rsid w:val="000265EB"/>
    <w:rsid w:val="000309FD"/>
    <w:rsid w:val="00032C1B"/>
    <w:rsid w:val="00035DAF"/>
    <w:rsid w:val="00036A28"/>
    <w:rsid w:val="00040C8C"/>
    <w:rsid w:val="00040D45"/>
    <w:rsid w:val="00043287"/>
    <w:rsid w:val="00044763"/>
    <w:rsid w:val="00044C67"/>
    <w:rsid w:val="00047042"/>
    <w:rsid w:val="000472FB"/>
    <w:rsid w:val="00051391"/>
    <w:rsid w:val="0006183A"/>
    <w:rsid w:val="000623B7"/>
    <w:rsid w:val="0006316C"/>
    <w:rsid w:val="000660A2"/>
    <w:rsid w:val="00066E99"/>
    <w:rsid w:val="000730EA"/>
    <w:rsid w:val="000733D1"/>
    <w:rsid w:val="0007668C"/>
    <w:rsid w:val="000771B3"/>
    <w:rsid w:val="00077A67"/>
    <w:rsid w:val="00080247"/>
    <w:rsid w:val="00081AE3"/>
    <w:rsid w:val="000851BF"/>
    <w:rsid w:val="0008540B"/>
    <w:rsid w:val="0009147C"/>
    <w:rsid w:val="0009227C"/>
    <w:rsid w:val="00094076"/>
    <w:rsid w:val="0009489D"/>
    <w:rsid w:val="00095E1E"/>
    <w:rsid w:val="00096C6C"/>
    <w:rsid w:val="000A007E"/>
    <w:rsid w:val="000A35B4"/>
    <w:rsid w:val="000A5EAC"/>
    <w:rsid w:val="000B1734"/>
    <w:rsid w:val="000B528C"/>
    <w:rsid w:val="000B7964"/>
    <w:rsid w:val="000C229E"/>
    <w:rsid w:val="000C5D00"/>
    <w:rsid w:val="000C7E31"/>
    <w:rsid w:val="000D0109"/>
    <w:rsid w:val="000D0715"/>
    <w:rsid w:val="000D251E"/>
    <w:rsid w:val="000D34E2"/>
    <w:rsid w:val="000D40FD"/>
    <w:rsid w:val="000D426C"/>
    <w:rsid w:val="000D53BC"/>
    <w:rsid w:val="000E037C"/>
    <w:rsid w:val="000E043A"/>
    <w:rsid w:val="000E1AF1"/>
    <w:rsid w:val="000E6A55"/>
    <w:rsid w:val="000E6EB5"/>
    <w:rsid w:val="000F0B82"/>
    <w:rsid w:val="000F3591"/>
    <w:rsid w:val="000F4642"/>
    <w:rsid w:val="000F56AC"/>
    <w:rsid w:val="00100AA8"/>
    <w:rsid w:val="0010179E"/>
    <w:rsid w:val="00101849"/>
    <w:rsid w:val="00102A05"/>
    <w:rsid w:val="001045EA"/>
    <w:rsid w:val="00104852"/>
    <w:rsid w:val="0010705E"/>
    <w:rsid w:val="00111B54"/>
    <w:rsid w:val="0011378A"/>
    <w:rsid w:val="00115363"/>
    <w:rsid w:val="00116BF2"/>
    <w:rsid w:val="00117E30"/>
    <w:rsid w:val="0012712B"/>
    <w:rsid w:val="00130379"/>
    <w:rsid w:val="00131845"/>
    <w:rsid w:val="0013485F"/>
    <w:rsid w:val="00140585"/>
    <w:rsid w:val="001429EE"/>
    <w:rsid w:val="001438C4"/>
    <w:rsid w:val="001458A9"/>
    <w:rsid w:val="00153A79"/>
    <w:rsid w:val="00155757"/>
    <w:rsid w:val="00162A47"/>
    <w:rsid w:val="00163BAB"/>
    <w:rsid w:val="001660F3"/>
    <w:rsid w:val="00170062"/>
    <w:rsid w:val="00171037"/>
    <w:rsid w:val="00171252"/>
    <w:rsid w:val="00172A27"/>
    <w:rsid w:val="00173C65"/>
    <w:rsid w:val="00180485"/>
    <w:rsid w:val="001837CF"/>
    <w:rsid w:val="00183EC7"/>
    <w:rsid w:val="00190E42"/>
    <w:rsid w:val="00193188"/>
    <w:rsid w:val="001931C6"/>
    <w:rsid w:val="00194088"/>
    <w:rsid w:val="00195978"/>
    <w:rsid w:val="00195BC3"/>
    <w:rsid w:val="001A7094"/>
    <w:rsid w:val="001A7F57"/>
    <w:rsid w:val="001B384A"/>
    <w:rsid w:val="001B47DF"/>
    <w:rsid w:val="001B73F6"/>
    <w:rsid w:val="001C3151"/>
    <w:rsid w:val="001C365E"/>
    <w:rsid w:val="001C5002"/>
    <w:rsid w:val="001C5E99"/>
    <w:rsid w:val="001C6484"/>
    <w:rsid w:val="001C708C"/>
    <w:rsid w:val="001D1346"/>
    <w:rsid w:val="001D1CC2"/>
    <w:rsid w:val="001D5C27"/>
    <w:rsid w:val="001D63AC"/>
    <w:rsid w:val="001E0517"/>
    <w:rsid w:val="001E062D"/>
    <w:rsid w:val="001E226B"/>
    <w:rsid w:val="001E70D1"/>
    <w:rsid w:val="001F0BEE"/>
    <w:rsid w:val="001F1B02"/>
    <w:rsid w:val="001F7AAF"/>
    <w:rsid w:val="0020034B"/>
    <w:rsid w:val="0020614C"/>
    <w:rsid w:val="00206A84"/>
    <w:rsid w:val="002110E3"/>
    <w:rsid w:val="002125EF"/>
    <w:rsid w:val="00212CBF"/>
    <w:rsid w:val="00223358"/>
    <w:rsid w:val="002236CF"/>
    <w:rsid w:val="002250A0"/>
    <w:rsid w:val="00230767"/>
    <w:rsid w:val="002317C0"/>
    <w:rsid w:val="00234DD3"/>
    <w:rsid w:val="0023505E"/>
    <w:rsid w:val="00235969"/>
    <w:rsid w:val="00243DB2"/>
    <w:rsid w:val="002440A3"/>
    <w:rsid w:val="00244927"/>
    <w:rsid w:val="002478CD"/>
    <w:rsid w:val="00247B7F"/>
    <w:rsid w:val="002520DD"/>
    <w:rsid w:val="00254F82"/>
    <w:rsid w:val="00254F98"/>
    <w:rsid w:val="002564E1"/>
    <w:rsid w:val="00263792"/>
    <w:rsid w:val="002641EF"/>
    <w:rsid w:val="00264580"/>
    <w:rsid w:val="00266A8B"/>
    <w:rsid w:val="00266DF6"/>
    <w:rsid w:val="00266FBF"/>
    <w:rsid w:val="002729A8"/>
    <w:rsid w:val="00275128"/>
    <w:rsid w:val="002751CA"/>
    <w:rsid w:val="002756A5"/>
    <w:rsid w:val="00280D2A"/>
    <w:rsid w:val="00281BBA"/>
    <w:rsid w:val="002852B8"/>
    <w:rsid w:val="00285E14"/>
    <w:rsid w:val="00290D0D"/>
    <w:rsid w:val="00293439"/>
    <w:rsid w:val="00296711"/>
    <w:rsid w:val="00297BD6"/>
    <w:rsid w:val="002A13D8"/>
    <w:rsid w:val="002A1EAB"/>
    <w:rsid w:val="002A2F64"/>
    <w:rsid w:val="002A48A1"/>
    <w:rsid w:val="002A4D2D"/>
    <w:rsid w:val="002A6AFB"/>
    <w:rsid w:val="002B029E"/>
    <w:rsid w:val="002B3048"/>
    <w:rsid w:val="002B31F2"/>
    <w:rsid w:val="002B4395"/>
    <w:rsid w:val="002B5B38"/>
    <w:rsid w:val="002D0DF6"/>
    <w:rsid w:val="002D153B"/>
    <w:rsid w:val="002D1B77"/>
    <w:rsid w:val="002D2729"/>
    <w:rsid w:val="002D5D1A"/>
    <w:rsid w:val="002E22D1"/>
    <w:rsid w:val="002F1188"/>
    <w:rsid w:val="002F1F29"/>
    <w:rsid w:val="002F2369"/>
    <w:rsid w:val="002F699E"/>
    <w:rsid w:val="002F7280"/>
    <w:rsid w:val="0030039B"/>
    <w:rsid w:val="00301634"/>
    <w:rsid w:val="00301A65"/>
    <w:rsid w:val="00303518"/>
    <w:rsid w:val="0030479A"/>
    <w:rsid w:val="0030758B"/>
    <w:rsid w:val="00307A41"/>
    <w:rsid w:val="003118DE"/>
    <w:rsid w:val="00313841"/>
    <w:rsid w:val="003147A4"/>
    <w:rsid w:val="0031765C"/>
    <w:rsid w:val="0031780C"/>
    <w:rsid w:val="00317D38"/>
    <w:rsid w:val="0032051F"/>
    <w:rsid w:val="00323E8F"/>
    <w:rsid w:val="00323ED7"/>
    <w:rsid w:val="00325138"/>
    <w:rsid w:val="003256B6"/>
    <w:rsid w:val="00325ED0"/>
    <w:rsid w:val="00326E1F"/>
    <w:rsid w:val="00330396"/>
    <w:rsid w:val="00331031"/>
    <w:rsid w:val="003344EB"/>
    <w:rsid w:val="00335B43"/>
    <w:rsid w:val="00341FF1"/>
    <w:rsid w:val="0034474A"/>
    <w:rsid w:val="003451C7"/>
    <w:rsid w:val="0034546D"/>
    <w:rsid w:val="00353D42"/>
    <w:rsid w:val="00354B11"/>
    <w:rsid w:val="0035506B"/>
    <w:rsid w:val="003575AB"/>
    <w:rsid w:val="0036031B"/>
    <w:rsid w:val="003612F7"/>
    <w:rsid w:val="003627E5"/>
    <w:rsid w:val="00362BA8"/>
    <w:rsid w:val="00363C1F"/>
    <w:rsid w:val="003667B3"/>
    <w:rsid w:val="00374AC2"/>
    <w:rsid w:val="00374C7F"/>
    <w:rsid w:val="00375C80"/>
    <w:rsid w:val="003760CA"/>
    <w:rsid w:val="0038047B"/>
    <w:rsid w:val="0038077A"/>
    <w:rsid w:val="00381208"/>
    <w:rsid w:val="00382B07"/>
    <w:rsid w:val="00384D38"/>
    <w:rsid w:val="00385F7A"/>
    <w:rsid w:val="00390D0C"/>
    <w:rsid w:val="00390E70"/>
    <w:rsid w:val="003A17A0"/>
    <w:rsid w:val="003A1D88"/>
    <w:rsid w:val="003A428C"/>
    <w:rsid w:val="003A4F54"/>
    <w:rsid w:val="003B0611"/>
    <w:rsid w:val="003B1D1B"/>
    <w:rsid w:val="003B50C0"/>
    <w:rsid w:val="003C1EC3"/>
    <w:rsid w:val="003C239C"/>
    <w:rsid w:val="003C612F"/>
    <w:rsid w:val="003C6185"/>
    <w:rsid w:val="003C71CB"/>
    <w:rsid w:val="003D321E"/>
    <w:rsid w:val="003D3782"/>
    <w:rsid w:val="003D7FE6"/>
    <w:rsid w:val="003E21D8"/>
    <w:rsid w:val="003E60AD"/>
    <w:rsid w:val="003F37C9"/>
    <w:rsid w:val="003F4A9F"/>
    <w:rsid w:val="003F5165"/>
    <w:rsid w:val="00400D86"/>
    <w:rsid w:val="0040122A"/>
    <w:rsid w:val="004023AB"/>
    <w:rsid w:val="00410A59"/>
    <w:rsid w:val="00411B07"/>
    <w:rsid w:val="00422267"/>
    <w:rsid w:val="004226B3"/>
    <w:rsid w:val="004256AE"/>
    <w:rsid w:val="00431CAA"/>
    <w:rsid w:val="0043253F"/>
    <w:rsid w:val="00452F54"/>
    <w:rsid w:val="004553DC"/>
    <w:rsid w:val="00456435"/>
    <w:rsid w:val="0046017C"/>
    <w:rsid w:val="00461C22"/>
    <w:rsid w:val="004632EE"/>
    <w:rsid w:val="00463892"/>
    <w:rsid w:val="00466473"/>
    <w:rsid w:val="0046708F"/>
    <w:rsid w:val="0046755F"/>
    <w:rsid w:val="00472B76"/>
    <w:rsid w:val="0047761A"/>
    <w:rsid w:val="00481E6C"/>
    <w:rsid w:val="004845EE"/>
    <w:rsid w:val="00484CA1"/>
    <w:rsid w:val="0048615F"/>
    <w:rsid w:val="00487D3B"/>
    <w:rsid w:val="00492964"/>
    <w:rsid w:val="0049298A"/>
    <w:rsid w:val="0049333A"/>
    <w:rsid w:val="00496A2F"/>
    <w:rsid w:val="004A1955"/>
    <w:rsid w:val="004A3650"/>
    <w:rsid w:val="004A461B"/>
    <w:rsid w:val="004A64C4"/>
    <w:rsid w:val="004C4E4D"/>
    <w:rsid w:val="004C5702"/>
    <w:rsid w:val="004C5DAB"/>
    <w:rsid w:val="004C7034"/>
    <w:rsid w:val="004C7933"/>
    <w:rsid w:val="004D3F88"/>
    <w:rsid w:val="004E2556"/>
    <w:rsid w:val="004E30F3"/>
    <w:rsid w:val="004F2B26"/>
    <w:rsid w:val="004F2CD0"/>
    <w:rsid w:val="004F3EEB"/>
    <w:rsid w:val="004F7940"/>
    <w:rsid w:val="00500527"/>
    <w:rsid w:val="00501C60"/>
    <w:rsid w:val="00510908"/>
    <w:rsid w:val="00512112"/>
    <w:rsid w:val="00517926"/>
    <w:rsid w:val="00522470"/>
    <w:rsid w:val="00522741"/>
    <w:rsid w:val="00523295"/>
    <w:rsid w:val="00545208"/>
    <w:rsid w:val="00546AF9"/>
    <w:rsid w:val="00550A63"/>
    <w:rsid w:val="005515AA"/>
    <w:rsid w:val="0055239D"/>
    <w:rsid w:val="005547F5"/>
    <w:rsid w:val="005554CE"/>
    <w:rsid w:val="0055580C"/>
    <w:rsid w:val="00556EE1"/>
    <w:rsid w:val="00561300"/>
    <w:rsid w:val="0056668D"/>
    <w:rsid w:val="00572AF7"/>
    <w:rsid w:val="00581B92"/>
    <w:rsid w:val="0058490A"/>
    <w:rsid w:val="00585AC8"/>
    <w:rsid w:val="00587C1E"/>
    <w:rsid w:val="00592738"/>
    <w:rsid w:val="00595DE5"/>
    <w:rsid w:val="005970BC"/>
    <w:rsid w:val="005B097B"/>
    <w:rsid w:val="005B105F"/>
    <w:rsid w:val="005B2299"/>
    <w:rsid w:val="005B3B11"/>
    <w:rsid w:val="005C26F9"/>
    <w:rsid w:val="005C354F"/>
    <w:rsid w:val="005C4A43"/>
    <w:rsid w:val="005C7505"/>
    <w:rsid w:val="005D13BB"/>
    <w:rsid w:val="005D3407"/>
    <w:rsid w:val="005D4D1D"/>
    <w:rsid w:val="005D5211"/>
    <w:rsid w:val="005D60E6"/>
    <w:rsid w:val="005D7CA5"/>
    <w:rsid w:val="005E26C7"/>
    <w:rsid w:val="005E2855"/>
    <w:rsid w:val="005E6A8D"/>
    <w:rsid w:val="005F013D"/>
    <w:rsid w:val="005F10E2"/>
    <w:rsid w:val="005F1B10"/>
    <w:rsid w:val="005F33E9"/>
    <w:rsid w:val="005F341F"/>
    <w:rsid w:val="005F52D3"/>
    <w:rsid w:val="00600A12"/>
    <w:rsid w:val="006014C0"/>
    <w:rsid w:val="00601680"/>
    <w:rsid w:val="00601812"/>
    <w:rsid w:val="0062674C"/>
    <w:rsid w:val="00626C1D"/>
    <w:rsid w:val="00630025"/>
    <w:rsid w:val="00630542"/>
    <w:rsid w:val="0063510B"/>
    <w:rsid w:val="00635769"/>
    <w:rsid w:val="006370A5"/>
    <w:rsid w:val="00651948"/>
    <w:rsid w:val="00653328"/>
    <w:rsid w:val="00655EA3"/>
    <w:rsid w:val="0065698F"/>
    <w:rsid w:val="006573C7"/>
    <w:rsid w:val="00661568"/>
    <w:rsid w:val="006637E9"/>
    <w:rsid w:val="00667DB0"/>
    <w:rsid w:val="006702EE"/>
    <w:rsid w:val="006764C3"/>
    <w:rsid w:val="006767F3"/>
    <w:rsid w:val="00680916"/>
    <w:rsid w:val="00680E47"/>
    <w:rsid w:val="006813D0"/>
    <w:rsid w:val="0068242D"/>
    <w:rsid w:val="00683DE8"/>
    <w:rsid w:val="00684467"/>
    <w:rsid w:val="006844E4"/>
    <w:rsid w:val="006906BD"/>
    <w:rsid w:val="00694102"/>
    <w:rsid w:val="006A392A"/>
    <w:rsid w:val="006A614D"/>
    <w:rsid w:val="006B0C09"/>
    <w:rsid w:val="006D0847"/>
    <w:rsid w:val="006D2A8A"/>
    <w:rsid w:val="006D2AD8"/>
    <w:rsid w:val="006D3EEE"/>
    <w:rsid w:val="006D5663"/>
    <w:rsid w:val="006D6D08"/>
    <w:rsid w:val="006D72ED"/>
    <w:rsid w:val="006D7826"/>
    <w:rsid w:val="006E29FE"/>
    <w:rsid w:val="006F3677"/>
    <w:rsid w:val="006F4041"/>
    <w:rsid w:val="006F75E8"/>
    <w:rsid w:val="00701A00"/>
    <w:rsid w:val="0070701D"/>
    <w:rsid w:val="00712802"/>
    <w:rsid w:val="00712E1C"/>
    <w:rsid w:val="007157B6"/>
    <w:rsid w:val="00721EDD"/>
    <w:rsid w:val="007229E2"/>
    <w:rsid w:val="00727046"/>
    <w:rsid w:val="00732A11"/>
    <w:rsid w:val="007339DE"/>
    <w:rsid w:val="00736D3B"/>
    <w:rsid w:val="00741BB3"/>
    <w:rsid w:val="007421FF"/>
    <w:rsid w:val="0074227E"/>
    <w:rsid w:val="00742A22"/>
    <w:rsid w:val="00744CF8"/>
    <w:rsid w:val="0074544A"/>
    <w:rsid w:val="00750257"/>
    <w:rsid w:val="00756B35"/>
    <w:rsid w:val="00763490"/>
    <w:rsid w:val="0076739F"/>
    <w:rsid w:val="00767E0E"/>
    <w:rsid w:val="007706CB"/>
    <w:rsid w:val="007742C9"/>
    <w:rsid w:val="00775DC0"/>
    <w:rsid w:val="00777912"/>
    <w:rsid w:val="00784E32"/>
    <w:rsid w:val="007910EE"/>
    <w:rsid w:val="00797A74"/>
    <w:rsid w:val="007A30E5"/>
    <w:rsid w:val="007A3DBB"/>
    <w:rsid w:val="007A5AC9"/>
    <w:rsid w:val="007A6122"/>
    <w:rsid w:val="007C2223"/>
    <w:rsid w:val="007C76FF"/>
    <w:rsid w:val="007C7F0E"/>
    <w:rsid w:val="007D05B6"/>
    <w:rsid w:val="007D119F"/>
    <w:rsid w:val="007D1856"/>
    <w:rsid w:val="007D4515"/>
    <w:rsid w:val="007D48F7"/>
    <w:rsid w:val="007D4D61"/>
    <w:rsid w:val="007D6140"/>
    <w:rsid w:val="007D69DC"/>
    <w:rsid w:val="007D70A1"/>
    <w:rsid w:val="007D7BED"/>
    <w:rsid w:val="007E495C"/>
    <w:rsid w:val="007E5FBA"/>
    <w:rsid w:val="007E653F"/>
    <w:rsid w:val="007F016C"/>
    <w:rsid w:val="007F304B"/>
    <w:rsid w:val="007F4FFC"/>
    <w:rsid w:val="007F7417"/>
    <w:rsid w:val="007F79A8"/>
    <w:rsid w:val="0080254D"/>
    <w:rsid w:val="00802AFB"/>
    <w:rsid w:val="00804EF9"/>
    <w:rsid w:val="00811553"/>
    <w:rsid w:val="008146D0"/>
    <w:rsid w:val="008221AC"/>
    <w:rsid w:val="008236C3"/>
    <w:rsid w:val="00830833"/>
    <w:rsid w:val="00834BDC"/>
    <w:rsid w:val="00836205"/>
    <w:rsid w:val="008418A9"/>
    <w:rsid w:val="008443AF"/>
    <w:rsid w:val="0085098F"/>
    <w:rsid w:val="00856383"/>
    <w:rsid w:val="0085764A"/>
    <w:rsid w:val="00864D09"/>
    <w:rsid w:val="00866C00"/>
    <w:rsid w:val="008717D9"/>
    <w:rsid w:val="00872A21"/>
    <w:rsid w:val="00872A39"/>
    <w:rsid w:val="00884DC1"/>
    <w:rsid w:val="00890F6E"/>
    <w:rsid w:val="0089244A"/>
    <w:rsid w:val="00893861"/>
    <w:rsid w:val="00893A6B"/>
    <w:rsid w:val="00895E0E"/>
    <w:rsid w:val="0089732C"/>
    <w:rsid w:val="008A0160"/>
    <w:rsid w:val="008A02E5"/>
    <w:rsid w:val="008A131F"/>
    <w:rsid w:val="008A1AE8"/>
    <w:rsid w:val="008A55FD"/>
    <w:rsid w:val="008A6E28"/>
    <w:rsid w:val="008A7C4F"/>
    <w:rsid w:val="008B5A66"/>
    <w:rsid w:val="008B6642"/>
    <w:rsid w:val="008B73FC"/>
    <w:rsid w:val="008B7E59"/>
    <w:rsid w:val="008C0B19"/>
    <w:rsid w:val="008C1D38"/>
    <w:rsid w:val="008C4B29"/>
    <w:rsid w:val="008C5FC0"/>
    <w:rsid w:val="008C6C27"/>
    <w:rsid w:val="008D63E7"/>
    <w:rsid w:val="008D6C0A"/>
    <w:rsid w:val="008D720A"/>
    <w:rsid w:val="008D7BA4"/>
    <w:rsid w:val="008E4EB0"/>
    <w:rsid w:val="008E6E29"/>
    <w:rsid w:val="008F0503"/>
    <w:rsid w:val="008F4581"/>
    <w:rsid w:val="008F74C5"/>
    <w:rsid w:val="008F7502"/>
    <w:rsid w:val="009020EB"/>
    <w:rsid w:val="00903061"/>
    <w:rsid w:val="00906F99"/>
    <w:rsid w:val="00907E75"/>
    <w:rsid w:val="00912F18"/>
    <w:rsid w:val="00914283"/>
    <w:rsid w:val="00914760"/>
    <w:rsid w:val="0092273D"/>
    <w:rsid w:val="0093223C"/>
    <w:rsid w:val="00934E82"/>
    <w:rsid w:val="00936AE8"/>
    <w:rsid w:val="00941105"/>
    <w:rsid w:val="009443AC"/>
    <w:rsid w:val="0094528C"/>
    <w:rsid w:val="00950EBD"/>
    <w:rsid w:val="00951327"/>
    <w:rsid w:val="00951B86"/>
    <w:rsid w:val="009524F4"/>
    <w:rsid w:val="00955D23"/>
    <w:rsid w:val="0096238D"/>
    <w:rsid w:val="0096484B"/>
    <w:rsid w:val="00966E4D"/>
    <w:rsid w:val="00975D4F"/>
    <w:rsid w:val="009779E4"/>
    <w:rsid w:val="009801E5"/>
    <w:rsid w:val="00984D8E"/>
    <w:rsid w:val="00987DB5"/>
    <w:rsid w:val="00990151"/>
    <w:rsid w:val="00994191"/>
    <w:rsid w:val="0099592D"/>
    <w:rsid w:val="009A044F"/>
    <w:rsid w:val="009A7C96"/>
    <w:rsid w:val="009A7CA7"/>
    <w:rsid w:val="009B632E"/>
    <w:rsid w:val="009B70C8"/>
    <w:rsid w:val="009C0EDD"/>
    <w:rsid w:val="009C5B79"/>
    <w:rsid w:val="009C61F6"/>
    <w:rsid w:val="009D30D3"/>
    <w:rsid w:val="009D3A24"/>
    <w:rsid w:val="009D3C05"/>
    <w:rsid w:val="009D48A1"/>
    <w:rsid w:val="009D7D58"/>
    <w:rsid w:val="009D7D8C"/>
    <w:rsid w:val="009E08A7"/>
    <w:rsid w:val="009E1EE4"/>
    <w:rsid w:val="009E2DCB"/>
    <w:rsid w:val="009E343B"/>
    <w:rsid w:val="009E4187"/>
    <w:rsid w:val="009E577A"/>
    <w:rsid w:val="009F6035"/>
    <w:rsid w:val="009F7C0F"/>
    <w:rsid w:val="00A024E9"/>
    <w:rsid w:val="00A07382"/>
    <w:rsid w:val="00A07BE7"/>
    <w:rsid w:val="00A10161"/>
    <w:rsid w:val="00A106DD"/>
    <w:rsid w:val="00A11FAE"/>
    <w:rsid w:val="00A1395D"/>
    <w:rsid w:val="00A178B7"/>
    <w:rsid w:val="00A2719B"/>
    <w:rsid w:val="00A27484"/>
    <w:rsid w:val="00A30C2A"/>
    <w:rsid w:val="00A327D3"/>
    <w:rsid w:val="00A32859"/>
    <w:rsid w:val="00A328E4"/>
    <w:rsid w:val="00A33C90"/>
    <w:rsid w:val="00A344EE"/>
    <w:rsid w:val="00A357CC"/>
    <w:rsid w:val="00A36A04"/>
    <w:rsid w:val="00A42D77"/>
    <w:rsid w:val="00A446E9"/>
    <w:rsid w:val="00A462E6"/>
    <w:rsid w:val="00A47B4A"/>
    <w:rsid w:val="00A519AA"/>
    <w:rsid w:val="00A53EE9"/>
    <w:rsid w:val="00A5705D"/>
    <w:rsid w:val="00A602A6"/>
    <w:rsid w:val="00A6132D"/>
    <w:rsid w:val="00A72600"/>
    <w:rsid w:val="00A727D5"/>
    <w:rsid w:val="00A74DDB"/>
    <w:rsid w:val="00A80FBA"/>
    <w:rsid w:val="00A8314B"/>
    <w:rsid w:val="00A85B35"/>
    <w:rsid w:val="00A86916"/>
    <w:rsid w:val="00A90110"/>
    <w:rsid w:val="00A95F48"/>
    <w:rsid w:val="00A96BEA"/>
    <w:rsid w:val="00AA227D"/>
    <w:rsid w:val="00AA48FA"/>
    <w:rsid w:val="00AA5196"/>
    <w:rsid w:val="00AA54D1"/>
    <w:rsid w:val="00AB1F97"/>
    <w:rsid w:val="00AB351A"/>
    <w:rsid w:val="00AB4F03"/>
    <w:rsid w:val="00AB7548"/>
    <w:rsid w:val="00AC2F3E"/>
    <w:rsid w:val="00AC7840"/>
    <w:rsid w:val="00AC7FB9"/>
    <w:rsid w:val="00AD0858"/>
    <w:rsid w:val="00AD1D0E"/>
    <w:rsid w:val="00AD1ED1"/>
    <w:rsid w:val="00AD21D6"/>
    <w:rsid w:val="00AD280B"/>
    <w:rsid w:val="00AD4693"/>
    <w:rsid w:val="00AD529E"/>
    <w:rsid w:val="00AE3638"/>
    <w:rsid w:val="00AE476A"/>
    <w:rsid w:val="00AE6A2D"/>
    <w:rsid w:val="00AE75F5"/>
    <w:rsid w:val="00AF00D2"/>
    <w:rsid w:val="00AF0755"/>
    <w:rsid w:val="00AF0CD9"/>
    <w:rsid w:val="00AF224F"/>
    <w:rsid w:val="00B05693"/>
    <w:rsid w:val="00B105CD"/>
    <w:rsid w:val="00B130D5"/>
    <w:rsid w:val="00B1345C"/>
    <w:rsid w:val="00B16F1A"/>
    <w:rsid w:val="00B177EA"/>
    <w:rsid w:val="00B2292B"/>
    <w:rsid w:val="00B243C5"/>
    <w:rsid w:val="00B25790"/>
    <w:rsid w:val="00B26233"/>
    <w:rsid w:val="00B302FB"/>
    <w:rsid w:val="00B30E6B"/>
    <w:rsid w:val="00B31E0D"/>
    <w:rsid w:val="00B332A7"/>
    <w:rsid w:val="00B34369"/>
    <w:rsid w:val="00B344E9"/>
    <w:rsid w:val="00B37CAE"/>
    <w:rsid w:val="00B41DD8"/>
    <w:rsid w:val="00B41F49"/>
    <w:rsid w:val="00B43912"/>
    <w:rsid w:val="00B51490"/>
    <w:rsid w:val="00B54808"/>
    <w:rsid w:val="00B563DE"/>
    <w:rsid w:val="00B57AC5"/>
    <w:rsid w:val="00B60CEF"/>
    <w:rsid w:val="00B61984"/>
    <w:rsid w:val="00B61CD3"/>
    <w:rsid w:val="00B722A0"/>
    <w:rsid w:val="00B73AD6"/>
    <w:rsid w:val="00B8044D"/>
    <w:rsid w:val="00B8386F"/>
    <w:rsid w:val="00B84730"/>
    <w:rsid w:val="00B86557"/>
    <w:rsid w:val="00B90AEE"/>
    <w:rsid w:val="00B90C86"/>
    <w:rsid w:val="00B9375B"/>
    <w:rsid w:val="00B9661D"/>
    <w:rsid w:val="00B97D85"/>
    <w:rsid w:val="00BA1708"/>
    <w:rsid w:val="00BA1C03"/>
    <w:rsid w:val="00BA29F9"/>
    <w:rsid w:val="00BA4141"/>
    <w:rsid w:val="00BB48FD"/>
    <w:rsid w:val="00BE0115"/>
    <w:rsid w:val="00BE3AC7"/>
    <w:rsid w:val="00BE468A"/>
    <w:rsid w:val="00BE579E"/>
    <w:rsid w:val="00BE71B5"/>
    <w:rsid w:val="00BF065C"/>
    <w:rsid w:val="00BF074D"/>
    <w:rsid w:val="00BF2D1C"/>
    <w:rsid w:val="00BF494E"/>
    <w:rsid w:val="00C03BF1"/>
    <w:rsid w:val="00C046AF"/>
    <w:rsid w:val="00C062FC"/>
    <w:rsid w:val="00C07B7D"/>
    <w:rsid w:val="00C07E09"/>
    <w:rsid w:val="00C126B0"/>
    <w:rsid w:val="00C14D90"/>
    <w:rsid w:val="00C14FB2"/>
    <w:rsid w:val="00C20880"/>
    <w:rsid w:val="00C210A1"/>
    <w:rsid w:val="00C217A3"/>
    <w:rsid w:val="00C2453E"/>
    <w:rsid w:val="00C3085C"/>
    <w:rsid w:val="00C3133C"/>
    <w:rsid w:val="00C31BCD"/>
    <w:rsid w:val="00C346C0"/>
    <w:rsid w:val="00C4179B"/>
    <w:rsid w:val="00C41BC3"/>
    <w:rsid w:val="00C44283"/>
    <w:rsid w:val="00C52692"/>
    <w:rsid w:val="00C5325A"/>
    <w:rsid w:val="00C53A95"/>
    <w:rsid w:val="00C55857"/>
    <w:rsid w:val="00C60AF7"/>
    <w:rsid w:val="00C60DFA"/>
    <w:rsid w:val="00C61F23"/>
    <w:rsid w:val="00C623DB"/>
    <w:rsid w:val="00C6251F"/>
    <w:rsid w:val="00C643F9"/>
    <w:rsid w:val="00C64FE1"/>
    <w:rsid w:val="00C700CB"/>
    <w:rsid w:val="00C81D12"/>
    <w:rsid w:val="00C8697B"/>
    <w:rsid w:val="00C86AEE"/>
    <w:rsid w:val="00C90890"/>
    <w:rsid w:val="00C9268A"/>
    <w:rsid w:val="00C94BCF"/>
    <w:rsid w:val="00C95319"/>
    <w:rsid w:val="00C95551"/>
    <w:rsid w:val="00C95A72"/>
    <w:rsid w:val="00CA2CC1"/>
    <w:rsid w:val="00CA4485"/>
    <w:rsid w:val="00CA5BB2"/>
    <w:rsid w:val="00CB4815"/>
    <w:rsid w:val="00CB56AC"/>
    <w:rsid w:val="00CC22F3"/>
    <w:rsid w:val="00CC4920"/>
    <w:rsid w:val="00CC4BF3"/>
    <w:rsid w:val="00CC7401"/>
    <w:rsid w:val="00CD0AB7"/>
    <w:rsid w:val="00CD125C"/>
    <w:rsid w:val="00CD30CE"/>
    <w:rsid w:val="00CD4ABB"/>
    <w:rsid w:val="00CD5685"/>
    <w:rsid w:val="00CD56AE"/>
    <w:rsid w:val="00CE1660"/>
    <w:rsid w:val="00CE239C"/>
    <w:rsid w:val="00CE46B0"/>
    <w:rsid w:val="00CE4EC9"/>
    <w:rsid w:val="00CF25DB"/>
    <w:rsid w:val="00CF3468"/>
    <w:rsid w:val="00CF55BB"/>
    <w:rsid w:val="00D024A1"/>
    <w:rsid w:val="00D02957"/>
    <w:rsid w:val="00D04144"/>
    <w:rsid w:val="00D105C1"/>
    <w:rsid w:val="00D23853"/>
    <w:rsid w:val="00D324E3"/>
    <w:rsid w:val="00D325F6"/>
    <w:rsid w:val="00D35D2C"/>
    <w:rsid w:val="00D411E0"/>
    <w:rsid w:val="00D45E18"/>
    <w:rsid w:val="00D52ADA"/>
    <w:rsid w:val="00D55D1A"/>
    <w:rsid w:val="00D60A97"/>
    <w:rsid w:val="00D62D2B"/>
    <w:rsid w:val="00D679A1"/>
    <w:rsid w:val="00D70698"/>
    <w:rsid w:val="00D70D54"/>
    <w:rsid w:val="00D74064"/>
    <w:rsid w:val="00D76DFB"/>
    <w:rsid w:val="00D77AD7"/>
    <w:rsid w:val="00D82C3A"/>
    <w:rsid w:val="00D835DD"/>
    <w:rsid w:val="00D8382B"/>
    <w:rsid w:val="00D85128"/>
    <w:rsid w:val="00D878D3"/>
    <w:rsid w:val="00D9023B"/>
    <w:rsid w:val="00D90303"/>
    <w:rsid w:val="00D90740"/>
    <w:rsid w:val="00D90894"/>
    <w:rsid w:val="00D95EA3"/>
    <w:rsid w:val="00D97050"/>
    <w:rsid w:val="00DA41AC"/>
    <w:rsid w:val="00DB2E27"/>
    <w:rsid w:val="00DB45B2"/>
    <w:rsid w:val="00DB6064"/>
    <w:rsid w:val="00DC67C0"/>
    <w:rsid w:val="00DC765F"/>
    <w:rsid w:val="00DD167E"/>
    <w:rsid w:val="00DE1A11"/>
    <w:rsid w:val="00DE2AE0"/>
    <w:rsid w:val="00DF34A3"/>
    <w:rsid w:val="00E03E16"/>
    <w:rsid w:val="00E17405"/>
    <w:rsid w:val="00E20CCA"/>
    <w:rsid w:val="00E23558"/>
    <w:rsid w:val="00E251CA"/>
    <w:rsid w:val="00E34F6C"/>
    <w:rsid w:val="00E37F51"/>
    <w:rsid w:val="00E42474"/>
    <w:rsid w:val="00E42D2D"/>
    <w:rsid w:val="00E43F55"/>
    <w:rsid w:val="00E53548"/>
    <w:rsid w:val="00E54E89"/>
    <w:rsid w:val="00E56106"/>
    <w:rsid w:val="00E6168F"/>
    <w:rsid w:val="00E62262"/>
    <w:rsid w:val="00E62468"/>
    <w:rsid w:val="00E6266F"/>
    <w:rsid w:val="00E668FC"/>
    <w:rsid w:val="00E66ADB"/>
    <w:rsid w:val="00E723A5"/>
    <w:rsid w:val="00E7250B"/>
    <w:rsid w:val="00E72CC8"/>
    <w:rsid w:val="00E75FC9"/>
    <w:rsid w:val="00E77536"/>
    <w:rsid w:val="00E80A9C"/>
    <w:rsid w:val="00E84F15"/>
    <w:rsid w:val="00E857AE"/>
    <w:rsid w:val="00E92A32"/>
    <w:rsid w:val="00E92E0B"/>
    <w:rsid w:val="00EA2AEF"/>
    <w:rsid w:val="00EA4355"/>
    <w:rsid w:val="00EA491E"/>
    <w:rsid w:val="00EB042C"/>
    <w:rsid w:val="00EB4DAA"/>
    <w:rsid w:val="00EB5529"/>
    <w:rsid w:val="00EB5CFB"/>
    <w:rsid w:val="00EC2306"/>
    <w:rsid w:val="00EC43B2"/>
    <w:rsid w:val="00ED0674"/>
    <w:rsid w:val="00ED1912"/>
    <w:rsid w:val="00ED1C5F"/>
    <w:rsid w:val="00ED3D1F"/>
    <w:rsid w:val="00ED3E2B"/>
    <w:rsid w:val="00ED45E8"/>
    <w:rsid w:val="00ED5265"/>
    <w:rsid w:val="00ED6EF9"/>
    <w:rsid w:val="00EE0016"/>
    <w:rsid w:val="00EE208C"/>
    <w:rsid w:val="00EE2AAE"/>
    <w:rsid w:val="00EE3CD3"/>
    <w:rsid w:val="00EE45AD"/>
    <w:rsid w:val="00EE48AF"/>
    <w:rsid w:val="00EE4A65"/>
    <w:rsid w:val="00EF41F7"/>
    <w:rsid w:val="00F0716A"/>
    <w:rsid w:val="00F071BE"/>
    <w:rsid w:val="00F07B82"/>
    <w:rsid w:val="00F20D99"/>
    <w:rsid w:val="00F215FA"/>
    <w:rsid w:val="00F23CF8"/>
    <w:rsid w:val="00F24157"/>
    <w:rsid w:val="00F2554D"/>
    <w:rsid w:val="00F31466"/>
    <w:rsid w:val="00F32A16"/>
    <w:rsid w:val="00F33F6F"/>
    <w:rsid w:val="00F40065"/>
    <w:rsid w:val="00F50376"/>
    <w:rsid w:val="00F50DFE"/>
    <w:rsid w:val="00F554C8"/>
    <w:rsid w:val="00F60507"/>
    <w:rsid w:val="00F63BAC"/>
    <w:rsid w:val="00F65153"/>
    <w:rsid w:val="00F674B2"/>
    <w:rsid w:val="00F75AED"/>
    <w:rsid w:val="00F806E3"/>
    <w:rsid w:val="00F8218E"/>
    <w:rsid w:val="00F829E5"/>
    <w:rsid w:val="00F905EA"/>
    <w:rsid w:val="00F90CDE"/>
    <w:rsid w:val="00F93951"/>
    <w:rsid w:val="00F962E7"/>
    <w:rsid w:val="00F96D07"/>
    <w:rsid w:val="00FA05EE"/>
    <w:rsid w:val="00FA57CE"/>
    <w:rsid w:val="00FA5FC4"/>
    <w:rsid w:val="00FB07AE"/>
    <w:rsid w:val="00FB3CD4"/>
    <w:rsid w:val="00FB6C92"/>
    <w:rsid w:val="00FB7971"/>
    <w:rsid w:val="00FC0961"/>
    <w:rsid w:val="00FC385B"/>
    <w:rsid w:val="00FC40DC"/>
    <w:rsid w:val="00FC79D2"/>
    <w:rsid w:val="00FD2097"/>
    <w:rsid w:val="00FD5218"/>
    <w:rsid w:val="00FE0088"/>
    <w:rsid w:val="00FE145A"/>
    <w:rsid w:val="00FE2FEC"/>
    <w:rsid w:val="00FF00A7"/>
    <w:rsid w:val="00FF5BF3"/>
    <w:rsid w:val="00FF5C7F"/>
    <w:rsid w:val="00FF766C"/>
    <w:rsid w:val="013759AE"/>
    <w:rsid w:val="01944054"/>
    <w:rsid w:val="01AC2A27"/>
    <w:rsid w:val="02005B8D"/>
    <w:rsid w:val="021C72CE"/>
    <w:rsid w:val="025A2046"/>
    <w:rsid w:val="02721781"/>
    <w:rsid w:val="027348B5"/>
    <w:rsid w:val="0273635F"/>
    <w:rsid w:val="028D00AA"/>
    <w:rsid w:val="02B45F74"/>
    <w:rsid w:val="02BE65AC"/>
    <w:rsid w:val="02C637E1"/>
    <w:rsid w:val="02DE7965"/>
    <w:rsid w:val="02FC539B"/>
    <w:rsid w:val="03084C36"/>
    <w:rsid w:val="031E2775"/>
    <w:rsid w:val="03343D40"/>
    <w:rsid w:val="0341385C"/>
    <w:rsid w:val="034A0A30"/>
    <w:rsid w:val="03523C42"/>
    <w:rsid w:val="0356004D"/>
    <w:rsid w:val="03656F0C"/>
    <w:rsid w:val="037879DA"/>
    <w:rsid w:val="03B2024F"/>
    <w:rsid w:val="03B3702A"/>
    <w:rsid w:val="03FD2FB8"/>
    <w:rsid w:val="040916E0"/>
    <w:rsid w:val="040A6C75"/>
    <w:rsid w:val="041F2C36"/>
    <w:rsid w:val="043B2EAD"/>
    <w:rsid w:val="04505222"/>
    <w:rsid w:val="046F4344"/>
    <w:rsid w:val="047E1A78"/>
    <w:rsid w:val="04956A61"/>
    <w:rsid w:val="04C815CB"/>
    <w:rsid w:val="04C85BF5"/>
    <w:rsid w:val="051931EE"/>
    <w:rsid w:val="0520214C"/>
    <w:rsid w:val="05285162"/>
    <w:rsid w:val="054B5EC6"/>
    <w:rsid w:val="055B0860"/>
    <w:rsid w:val="055C2603"/>
    <w:rsid w:val="05887ED4"/>
    <w:rsid w:val="05CD222A"/>
    <w:rsid w:val="05D13F09"/>
    <w:rsid w:val="05EA490E"/>
    <w:rsid w:val="06000F4D"/>
    <w:rsid w:val="062F78B9"/>
    <w:rsid w:val="0639691E"/>
    <w:rsid w:val="067D6210"/>
    <w:rsid w:val="068A7F9C"/>
    <w:rsid w:val="06922FFA"/>
    <w:rsid w:val="07012B3E"/>
    <w:rsid w:val="072365A6"/>
    <w:rsid w:val="078E7641"/>
    <w:rsid w:val="07C53BD8"/>
    <w:rsid w:val="07F718A5"/>
    <w:rsid w:val="082C7314"/>
    <w:rsid w:val="082F1661"/>
    <w:rsid w:val="08500461"/>
    <w:rsid w:val="085A307C"/>
    <w:rsid w:val="088237AA"/>
    <w:rsid w:val="08900E24"/>
    <w:rsid w:val="08A63100"/>
    <w:rsid w:val="08A90824"/>
    <w:rsid w:val="08C51F88"/>
    <w:rsid w:val="08C64E40"/>
    <w:rsid w:val="08F35AAD"/>
    <w:rsid w:val="090904DE"/>
    <w:rsid w:val="09245453"/>
    <w:rsid w:val="092E4D8E"/>
    <w:rsid w:val="09657CB8"/>
    <w:rsid w:val="09746C3E"/>
    <w:rsid w:val="099F2993"/>
    <w:rsid w:val="09C44AB1"/>
    <w:rsid w:val="09CB45B8"/>
    <w:rsid w:val="09CF4D4B"/>
    <w:rsid w:val="09DB702E"/>
    <w:rsid w:val="09F314C1"/>
    <w:rsid w:val="09FC3642"/>
    <w:rsid w:val="0A0475D0"/>
    <w:rsid w:val="0A115F02"/>
    <w:rsid w:val="0A151942"/>
    <w:rsid w:val="0A2E3FC5"/>
    <w:rsid w:val="0A3D2864"/>
    <w:rsid w:val="0A531227"/>
    <w:rsid w:val="0A6D128C"/>
    <w:rsid w:val="0A870BFA"/>
    <w:rsid w:val="0A961435"/>
    <w:rsid w:val="0AC23D37"/>
    <w:rsid w:val="0B085DF4"/>
    <w:rsid w:val="0B260313"/>
    <w:rsid w:val="0B34384A"/>
    <w:rsid w:val="0B350617"/>
    <w:rsid w:val="0B3D3CC8"/>
    <w:rsid w:val="0B472834"/>
    <w:rsid w:val="0B75026C"/>
    <w:rsid w:val="0B840330"/>
    <w:rsid w:val="0B87083F"/>
    <w:rsid w:val="0BCD6FB0"/>
    <w:rsid w:val="0BD55EB7"/>
    <w:rsid w:val="0BEC2882"/>
    <w:rsid w:val="0BFD487B"/>
    <w:rsid w:val="0C2E279F"/>
    <w:rsid w:val="0C2E4A21"/>
    <w:rsid w:val="0C310D8F"/>
    <w:rsid w:val="0C44536A"/>
    <w:rsid w:val="0C81648E"/>
    <w:rsid w:val="0C94360C"/>
    <w:rsid w:val="0CC07C94"/>
    <w:rsid w:val="0CDF3155"/>
    <w:rsid w:val="0CEB684C"/>
    <w:rsid w:val="0CF04FE7"/>
    <w:rsid w:val="0CF4418A"/>
    <w:rsid w:val="0D144B62"/>
    <w:rsid w:val="0D1C154D"/>
    <w:rsid w:val="0D5D3392"/>
    <w:rsid w:val="0D6012AA"/>
    <w:rsid w:val="0D697C23"/>
    <w:rsid w:val="0D832544"/>
    <w:rsid w:val="0D892EDB"/>
    <w:rsid w:val="0DB8444D"/>
    <w:rsid w:val="0DCB52A1"/>
    <w:rsid w:val="0DD5780D"/>
    <w:rsid w:val="0E664FCA"/>
    <w:rsid w:val="0E927B6D"/>
    <w:rsid w:val="0E975183"/>
    <w:rsid w:val="0E980FA6"/>
    <w:rsid w:val="0EC046DA"/>
    <w:rsid w:val="0EE87164"/>
    <w:rsid w:val="0F215CB0"/>
    <w:rsid w:val="0F6F1338"/>
    <w:rsid w:val="0F7A347F"/>
    <w:rsid w:val="0F7E14DB"/>
    <w:rsid w:val="0F7E5664"/>
    <w:rsid w:val="0F9A3CAA"/>
    <w:rsid w:val="0FB271C9"/>
    <w:rsid w:val="0FCE6DFD"/>
    <w:rsid w:val="1010343F"/>
    <w:rsid w:val="10300DA1"/>
    <w:rsid w:val="10521664"/>
    <w:rsid w:val="10596B94"/>
    <w:rsid w:val="105B405A"/>
    <w:rsid w:val="10662B2B"/>
    <w:rsid w:val="10790FE5"/>
    <w:rsid w:val="107C1B07"/>
    <w:rsid w:val="10975377"/>
    <w:rsid w:val="10A62F44"/>
    <w:rsid w:val="10B53B51"/>
    <w:rsid w:val="10E0325E"/>
    <w:rsid w:val="112000BF"/>
    <w:rsid w:val="114853EC"/>
    <w:rsid w:val="114A5E54"/>
    <w:rsid w:val="119500A0"/>
    <w:rsid w:val="119B31DD"/>
    <w:rsid w:val="11F7415A"/>
    <w:rsid w:val="123571D6"/>
    <w:rsid w:val="124504B7"/>
    <w:rsid w:val="124B7735"/>
    <w:rsid w:val="125245B8"/>
    <w:rsid w:val="12540265"/>
    <w:rsid w:val="125B325B"/>
    <w:rsid w:val="12624DFB"/>
    <w:rsid w:val="1271355F"/>
    <w:rsid w:val="128D6607"/>
    <w:rsid w:val="12AA3A8C"/>
    <w:rsid w:val="12BD4314"/>
    <w:rsid w:val="12EC1F42"/>
    <w:rsid w:val="12EE149E"/>
    <w:rsid w:val="13361F99"/>
    <w:rsid w:val="135463C6"/>
    <w:rsid w:val="13634763"/>
    <w:rsid w:val="13655850"/>
    <w:rsid w:val="137A28C2"/>
    <w:rsid w:val="13802684"/>
    <w:rsid w:val="139F711B"/>
    <w:rsid w:val="13C756F5"/>
    <w:rsid w:val="13D85498"/>
    <w:rsid w:val="13F07810"/>
    <w:rsid w:val="13F945CA"/>
    <w:rsid w:val="141E365C"/>
    <w:rsid w:val="14246148"/>
    <w:rsid w:val="14310FC1"/>
    <w:rsid w:val="1442379D"/>
    <w:rsid w:val="148D45DC"/>
    <w:rsid w:val="14975E17"/>
    <w:rsid w:val="14A00775"/>
    <w:rsid w:val="14AD1B9F"/>
    <w:rsid w:val="14F60FB2"/>
    <w:rsid w:val="14F72EB4"/>
    <w:rsid w:val="15303C50"/>
    <w:rsid w:val="15574AC0"/>
    <w:rsid w:val="155C1C50"/>
    <w:rsid w:val="155D33EE"/>
    <w:rsid w:val="15747FCD"/>
    <w:rsid w:val="15893431"/>
    <w:rsid w:val="15B07DB1"/>
    <w:rsid w:val="15B26787"/>
    <w:rsid w:val="15C154CF"/>
    <w:rsid w:val="15F75B75"/>
    <w:rsid w:val="160116A0"/>
    <w:rsid w:val="160D26F5"/>
    <w:rsid w:val="16893F4C"/>
    <w:rsid w:val="16CE0E1C"/>
    <w:rsid w:val="16D43419"/>
    <w:rsid w:val="16FE2244"/>
    <w:rsid w:val="172D5A53"/>
    <w:rsid w:val="173558CE"/>
    <w:rsid w:val="173D69EE"/>
    <w:rsid w:val="17460160"/>
    <w:rsid w:val="174B7723"/>
    <w:rsid w:val="17594E38"/>
    <w:rsid w:val="175C5F2D"/>
    <w:rsid w:val="17604CAC"/>
    <w:rsid w:val="178E217A"/>
    <w:rsid w:val="17A776A1"/>
    <w:rsid w:val="17C40F61"/>
    <w:rsid w:val="17C57A86"/>
    <w:rsid w:val="180E4708"/>
    <w:rsid w:val="18285BB1"/>
    <w:rsid w:val="182C52BE"/>
    <w:rsid w:val="182D2923"/>
    <w:rsid w:val="1833766A"/>
    <w:rsid w:val="18381785"/>
    <w:rsid w:val="1859647D"/>
    <w:rsid w:val="185E1ECD"/>
    <w:rsid w:val="18744F23"/>
    <w:rsid w:val="18772045"/>
    <w:rsid w:val="187E095C"/>
    <w:rsid w:val="189C3682"/>
    <w:rsid w:val="18B20FCE"/>
    <w:rsid w:val="18C8788D"/>
    <w:rsid w:val="190A0907"/>
    <w:rsid w:val="19153875"/>
    <w:rsid w:val="191C3075"/>
    <w:rsid w:val="196172BC"/>
    <w:rsid w:val="19766863"/>
    <w:rsid w:val="19785F62"/>
    <w:rsid w:val="19801C10"/>
    <w:rsid w:val="19831DC7"/>
    <w:rsid w:val="199148E8"/>
    <w:rsid w:val="19957A1F"/>
    <w:rsid w:val="199826A2"/>
    <w:rsid w:val="19DA18DC"/>
    <w:rsid w:val="19DC10B7"/>
    <w:rsid w:val="1A0B5171"/>
    <w:rsid w:val="1A0D6DB6"/>
    <w:rsid w:val="1A1C3E5D"/>
    <w:rsid w:val="1A27385F"/>
    <w:rsid w:val="1A375AAD"/>
    <w:rsid w:val="1A680241"/>
    <w:rsid w:val="1A797E25"/>
    <w:rsid w:val="1A86178D"/>
    <w:rsid w:val="1A952EBF"/>
    <w:rsid w:val="1A9C00AB"/>
    <w:rsid w:val="1AAF4DA4"/>
    <w:rsid w:val="1AE32516"/>
    <w:rsid w:val="1AFD32CD"/>
    <w:rsid w:val="1B045C3F"/>
    <w:rsid w:val="1B0512A5"/>
    <w:rsid w:val="1B36527E"/>
    <w:rsid w:val="1B3A5427"/>
    <w:rsid w:val="1B4A4017"/>
    <w:rsid w:val="1B956AB3"/>
    <w:rsid w:val="1B9B2757"/>
    <w:rsid w:val="1BAF4FD7"/>
    <w:rsid w:val="1BCE1A9A"/>
    <w:rsid w:val="1BD07A41"/>
    <w:rsid w:val="1BE02EEA"/>
    <w:rsid w:val="1C0539A1"/>
    <w:rsid w:val="1C13053F"/>
    <w:rsid w:val="1C360A22"/>
    <w:rsid w:val="1C4736FE"/>
    <w:rsid w:val="1C5E7E41"/>
    <w:rsid w:val="1C611D5B"/>
    <w:rsid w:val="1C710218"/>
    <w:rsid w:val="1C8256C5"/>
    <w:rsid w:val="1C931452"/>
    <w:rsid w:val="1CAC64A5"/>
    <w:rsid w:val="1CC65C36"/>
    <w:rsid w:val="1CC759D5"/>
    <w:rsid w:val="1CCE7A3C"/>
    <w:rsid w:val="1D19735C"/>
    <w:rsid w:val="1D545F62"/>
    <w:rsid w:val="1D550812"/>
    <w:rsid w:val="1D670DAF"/>
    <w:rsid w:val="1D961AAB"/>
    <w:rsid w:val="1DC840FC"/>
    <w:rsid w:val="1DCD471E"/>
    <w:rsid w:val="1DED3012"/>
    <w:rsid w:val="1E136F19"/>
    <w:rsid w:val="1E4B3A17"/>
    <w:rsid w:val="1EA01E32"/>
    <w:rsid w:val="1EBB4EBE"/>
    <w:rsid w:val="1EDF6241"/>
    <w:rsid w:val="1EF50E2C"/>
    <w:rsid w:val="1EFA136F"/>
    <w:rsid w:val="1F1A4831"/>
    <w:rsid w:val="1F3674A4"/>
    <w:rsid w:val="1F3A78BB"/>
    <w:rsid w:val="1F5654A6"/>
    <w:rsid w:val="1F6A2B6C"/>
    <w:rsid w:val="1F75023B"/>
    <w:rsid w:val="1F7A031D"/>
    <w:rsid w:val="1F7A75C4"/>
    <w:rsid w:val="1FA36E16"/>
    <w:rsid w:val="1FB35D44"/>
    <w:rsid w:val="20036B1D"/>
    <w:rsid w:val="201A3449"/>
    <w:rsid w:val="20670714"/>
    <w:rsid w:val="20696AB7"/>
    <w:rsid w:val="20866C6D"/>
    <w:rsid w:val="208A0BA0"/>
    <w:rsid w:val="20906196"/>
    <w:rsid w:val="20A00A01"/>
    <w:rsid w:val="20AE2D02"/>
    <w:rsid w:val="20BC5B59"/>
    <w:rsid w:val="20DD736E"/>
    <w:rsid w:val="20E902CB"/>
    <w:rsid w:val="210E17D3"/>
    <w:rsid w:val="213F50B4"/>
    <w:rsid w:val="215B571C"/>
    <w:rsid w:val="215F7C07"/>
    <w:rsid w:val="21713662"/>
    <w:rsid w:val="219519E3"/>
    <w:rsid w:val="219519F6"/>
    <w:rsid w:val="21C522EA"/>
    <w:rsid w:val="21F66836"/>
    <w:rsid w:val="22110519"/>
    <w:rsid w:val="22160D89"/>
    <w:rsid w:val="223718C4"/>
    <w:rsid w:val="224551CB"/>
    <w:rsid w:val="224D2C19"/>
    <w:rsid w:val="227106AC"/>
    <w:rsid w:val="227321C4"/>
    <w:rsid w:val="228B7208"/>
    <w:rsid w:val="228C1F46"/>
    <w:rsid w:val="229A54F9"/>
    <w:rsid w:val="229E2B2D"/>
    <w:rsid w:val="22A068A5"/>
    <w:rsid w:val="22B42350"/>
    <w:rsid w:val="22C52943"/>
    <w:rsid w:val="22D27325"/>
    <w:rsid w:val="22E82F02"/>
    <w:rsid w:val="22E83DA8"/>
    <w:rsid w:val="22EF3388"/>
    <w:rsid w:val="23681EC9"/>
    <w:rsid w:val="2390627A"/>
    <w:rsid w:val="23B95B4B"/>
    <w:rsid w:val="23EC251C"/>
    <w:rsid w:val="24244F5F"/>
    <w:rsid w:val="243376EE"/>
    <w:rsid w:val="24474BEB"/>
    <w:rsid w:val="2462195D"/>
    <w:rsid w:val="247374C9"/>
    <w:rsid w:val="249D5922"/>
    <w:rsid w:val="24A02B38"/>
    <w:rsid w:val="24BF7666"/>
    <w:rsid w:val="24C86E4A"/>
    <w:rsid w:val="24CA19B7"/>
    <w:rsid w:val="24CA251F"/>
    <w:rsid w:val="24CC710A"/>
    <w:rsid w:val="25001D8E"/>
    <w:rsid w:val="25015C8D"/>
    <w:rsid w:val="250354B1"/>
    <w:rsid w:val="25316DBC"/>
    <w:rsid w:val="25374B08"/>
    <w:rsid w:val="25755DC7"/>
    <w:rsid w:val="258C049F"/>
    <w:rsid w:val="259D179A"/>
    <w:rsid w:val="259F2E44"/>
    <w:rsid w:val="25C4208D"/>
    <w:rsid w:val="25E16874"/>
    <w:rsid w:val="25EF3BEC"/>
    <w:rsid w:val="25F41E72"/>
    <w:rsid w:val="260F56BD"/>
    <w:rsid w:val="26684698"/>
    <w:rsid w:val="267616F4"/>
    <w:rsid w:val="2677349D"/>
    <w:rsid w:val="267E7EE2"/>
    <w:rsid w:val="269E3515"/>
    <w:rsid w:val="26C8412D"/>
    <w:rsid w:val="26D35A29"/>
    <w:rsid w:val="27022491"/>
    <w:rsid w:val="27221C47"/>
    <w:rsid w:val="277D67DE"/>
    <w:rsid w:val="279D3E9C"/>
    <w:rsid w:val="27AC4934"/>
    <w:rsid w:val="27AF2DBA"/>
    <w:rsid w:val="27C05DEB"/>
    <w:rsid w:val="27D368EF"/>
    <w:rsid w:val="27D50D9F"/>
    <w:rsid w:val="27D73FF6"/>
    <w:rsid w:val="27E11438"/>
    <w:rsid w:val="27EF7BD3"/>
    <w:rsid w:val="2819068F"/>
    <w:rsid w:val="285E45DB"/>
    <w:rsid w:val="288B5901"/>
    <w:rsid w:val="288D3427"/>
    <w:rsid w:val="28956780"/>
    <w:rsid w:val="28A32C4B"/>
    <w:rsid w:val="28AC7BC6"/>
    <w:rsid w:val="28C01A4F"/>
    <w:rsid w:val="28C22248"/>
    <w:rsid w:val="28E53263"/>
    <w:rsid w:val="28E73839"/>
    <w:rsid w:val="28FC0E5D"/>
    <w:rsid w:val="28FE2577"/>
    <w:rsid w:val="29197407"/>
    <w:rsid w:val="291E0523"/>
    <w:rsid w:val="29203ADB"/>
    <w:rsid w:val="293F3248"/>
    <w:rsid w:val="29497B7B"/>
    <w:rsid w:val="295019C0"/>
    <w:rsid w:val="295167E0"/>
    <w:rsid w:val="2964577C"/>
    <w:rsid w:val="2999706E"/>
    <w:rsid w:val="29BD1AEA"/>
    <w:rsid w:val="29DE4856"/>
    <w:rsid w:val="29E25CCA"/>
    <w:rsid w:val="29EB6945"/>
    <w:rsid w:val="29ED386E"/>
    <w:rsid w:val="29F01B4E"/>
    <w:rsid w:val="29F179E6"/>
    <w:rsid w:val="2A2B2EF8"/>
    <w:rsid w:val="2A6E4820"/>
    <w:rsid w:val="2A793801"/>
    <w:rsid w:val="2A7E248F"/>
    <w:rsid w:val="2AAE58D7"/>
    <w:rsid w:val="2AD25A69"/>
    <w:rsid w:val="2AE52D81"/>
    <w:rsid w:val="2B547A60"/>
    <w:rsid w:val="2B734B48"/>
    <w:rsid w:val="2BA45AD6"/>
    <w:rsid w:val="2BD0363D"/>
    <w:rsid w:val="2BF07EFC"/>
    <w:rsid w:val="2C136A03"/>
    <w:rsid w:val="2C2A155C"/>
    <w:rsid w:val="2C561EEC"/>
    <w:rsid w:val="2C6E13AE"/>
    <w:rsid w:val="2CE104C0"/>
    <w:rsid w:val="2CE767D6"/>
    <w:rsid w:val="2D074563"/>
    <w:rsid w:val="2D460F4F"/>
    <w:rsid w:val="2D67208B"/>
    <w:rsid w:val="2D7900E3"/>
    <w:rsid w:val="2D7A6E9A"/>
    <w:rsid w:val="2DC62459"/>
    <w:rsid w:val="2DDD629F"/>
    <w:rsid w:val="2E09613E"/>
    <w:rsid w:val="2E1746FA"/>
    <w:rsid w:val="2E222864"/>
    <w:rsid w:val="2E2E1209"/>
    <w:rsid w:val="2E347FE6"/>
    <w:rsid w:val="2E437485"/>
    <w:rsid w:val="2E471B58"/>
    <w:rsid w:val="2E4E5407"/>
    <w:rsid w:val="2E5F3401"/>
    <w:rsid w:val="2E8044A4"/>
    <w:rsid w:val="2E8A1F76"/>
    <w:rsid w:val="2EAA79F7"/>
    <w:rsid w:val="2EC60BB1"/>
    <w:rsid w:val="2EFE0BDB"/>
    <w:rsid w:val="2F071DB4"/>
    <w:rsid w:val="2F105615"/>
    <w:rsid w:val="2F244019"/>
    <w:rsid w:val="2F44456A"/>
    <w:rsid w:val="2FBE5224"/>
    <w:rsid w:val="2FC963EA"/>
    <w:rsid w:val="30010852"/>
    <w:rsid w:val="301C5A0E"/>
    <w:rsid w:val="301D6B03"/>
    <w:rsid w:val="30596B25"/>
    <w:rsid w:val="30DC344D"/>
    <w:rsid w:val="30E23CB1"/>
    <w:rsid w:val="30E24DDB"/>
    <w:rsid w:val="30E618EA"/>
    <w:rsid w:val="30E6596A"/>
    <w:rsid w:val="30ED6EBE"/>
    <w:rsid w:val="31266E06"/>
    <w:rsid w:val="31303ABD"/>
    <w:rsid w:val="31360422"/>
    <w:rsid w:val="31381C0C"/>
    <w:rsid w:val="313F38FB"/>
    <w:rsid w:val="314A1CA8"/>
    <w:rsid w:val="315D46CB"/>
    <w:rsid w:val="319C46DB"/>
    <w:rsid w:val="31AF2BF4"/>
    <w:rsid w:val="31B42F86"/>
    <w:rsid w:val="31B720F2"/>
    <w:rsid w:val="31BF6929"/>
    <w:rsid w:val="31CB077D"/>
    <w:rsid w:val="31EC5663"/>
    <w:rsid w:val="31FB60B6"/>
    <w:rsid w:val="31FE5B4B"/>
    <w:rsid w:val="32022351"/>
    <w:rsid w:val="320902DE"/>
    <w:rsid w:val="3248259E"/>
    <w:rsid w:val="3264344B"/>
    <w:rsid w:val="328A6E09"/>
    <w:rsid w:val="32CE765F"/>
    <w:rsid w:val="32E763D3"/>
    <w:rsid w:val="32EB46F7"/>
    <w:rsid w:val="3320497C"/>
    <w:rsid w:val="332570A8"/>
    <w:rsid w:val="3352162D"/>
    <w:rsid w:val="336A0B90"/>
    <w:rsid w:val="33B51A84"/>
    <w:rsid w:val="33C51C50"/>
    <w:rsid w:val="33E96246"/>
    <w:rsid w:val="34077D73"/>
    <w:rsid w:val="340B7DE9"/>
    <w:rsid w:val="341615CD"/>
    <w:rsid w:val="34291EBA"/>
    <w:rsid w:val="342B71FC"/>
    <w:rsid w:val="34366616"/>
    <w:rsid w:val="34437189"/>
    <w:rsid w:val="34437DE0"/>
    <w:rsid w:val="34A72A94"/>
    <w:rsid w:val="34F32864"/>
    <w:rsid w:val="35091707"/>
    <w:rsid w:val="35160AA0"/>
    <w:rsid w:val="35211D0E"/>
    <w:rsid w:val="35260E8C"/>
    <w:rsid w:val="354F336C"/>
    <w:rsid w:val="355210D0"/>
    <w:rsid w:val="361651B5"/>
    <w:rsid w:val="362F1FC2"/>
    <w:rsid w:val="36452593"/>
    <w:rsid w:val="36494616"/>
    <w:rsid w:val="365E6403"/>
    <w:rsid w:val="365E73B1"/>
    <w:rsid w:val="366B0FB7"/>
    <w:rsid w:val="36750F60"/>
    <w:rsid w:val="367C56C9"/>
    <w:rsid w:val="36B34424"/>
    <w:rsid w:val="36D466C5"/>
    <w:rsid w:val="36DB2AF7"/>
    <w:rsid w:val="36EA5A89"/>
    <w:rsid w:val="36F32FEF"/>
    <w:rsid w:val="36F819A4"/>
    <w:rsid w:val="37046FAB"/>
    <w:rsid w:val="371C2878"/>
    <w:rsid w:val="3720430A"/>
    <w:rsid w:val="374A385F"/>
    <w:rsid w:val="37511C4C"/>
    <w:rsid w:val="37682A67"/>
    <w:rsid w:val="37702A00"/>
    <w:rsid w:val="37936580"/>
    <w:rsid w:val="37A023EF"/>
    <w:rsid w:val="37AF33BA"/>
    <w:rsid w:val="37AF6CD2"/>
    <w:rsid w:val="37C26B65"/>
    <w:rsid w:val="380908CD"/>
    <w:rsid w:val="380F0952"/>
    <w:rsid w:val="38211866"/>
    <w:rsid w:val="38356656"/>
    <w:rsid w:val="384761DC"/>
    <w:rsid w:val="384956BC"/>
    <w:rsid w:val="384E559F"/>
    <w:rsid w:val="38725AAB"/>
    <w:rsid w:val="389C3C67"/>
    <w:rsid w:val="38AA6B44"/>
    <w:rsid w:val="38BE13DB"/>
    <w:rsid w:val="38C74D5D"/>
    <w:rsid w:val="38CE55DC"/>
    <w:rsid w:val="393565A8"/>
    <w:rsid w:val="394D6D52"/>
    <w:rsid w:val="3962549D"/>
    <w:rsid w:val="396F7468"/>
    <w:rsid w:val="397353CB"/>
    <w:rsid w:val="39772D95"/>
    <w:rsid w:val="39A73CA5"/>
    <w:rsid w:val="39D555F0"/>
    <w:rsid w:val="39D80468"/>
    <w:rsid w:val="39E24C0B"/>
    <w:rsid w:val="39FD2B64"/>
    <w:rsid w:val="3A186C52"/>
    <w:rsid w:val="3A237EAC"/>
    <w:rsid w:val="3A2F4904"/>
    <w:rsid w:val="3A3C6A5B"/>
    <w:rsid w:val="3A591731"/>
    <w:rsid w:val="3A6022D2"/>
    <w:rsid w:val="3A610E7B"/>
    <w:rsid w:val="3A655FB2"/>
    <w:rsid w:val="3A6C5666"/>
    <w:rsid w:val="3A791A5E"/>
    <w:rsid w:val="3A8C2A28"/>
    <w:rsid w:val="3A9D3900"/>
    <w:rsid w:val="3AA04ECA"/>
    <w:rsid w:val="3AA21583"/>
    <w:rsid w:val="3AAB2255"/>
    <w:rsid w:val="3ADA0651"/>
    <w:rsid w:val="3AED33A6"/>
    <w:rsid w:val="3B141786"/>
    <w:rsid w:val="3B411D0E"/>
    <w:rsid w:val="3B46166B"/>
    <w:rsid w:val="3B4C7172"/>
    <w:rsid w:val="3B6049CB"/>
    <w:rsid w:val="3B893FFA"/>
    <w:rsid w:val="3B965493"/>
    <w:rsid w:val="3BA71DF8"/>
    <w:rsid w:val="3BB6446B"/>
    <w:rsid w:val="3BD466BC"/>
    <w:rsid w:val="3BD90D62"/>
    <w:rsid w:val="3C046F9E"/>
    <w:rsid w:val="3C345458"/>
    <w:rsid w:val="3C3A7564"/>
    <w:rsid w:val="3C447595"/>
    <w:rsid w:val="3C585DB9"/>
    <w:rsid w:val="3C590E34"/>
    <w:rsid w:val="3C735C71"/>
    <w:rsid w:val="3CB45D1C"/>
    <w:rsid w:val="3CC24379"/>
    <w:rsid w:val="3CC47274"/>
    <w:rsid w:val="3D124605"/>
    <w:rsid w:val="3D1E5F2E"/>
    <w:rsid w:val="3D51281E"/>
    <w:rsid w:val="3D55049D"/>
    <w:rsid w:val="3D66752E"/>
    <w:rsid w:val="3D7477C9"/>
    <w:rsid w:val="3D832F6C"/>
    <w:rsid w:val="3D8355D3"/>
    <w:rsid w:val="3D8D2EB0"/>
    <w:rsid w:val="3DAF2283"/>
    <w:rsid w:val="3DCE5637"/>
    <w:rsid w:val="3DEA0921"/>
    <w:rsid w:val="3DEA7988"/>
    <w:rsid w:val="3E510035"/>
    <w:rsid w:val="3E625925"/>
    <w:rsid w:val="3E6B1752"/>
    <w:rsid w:val="3E742DDB"/>
    <w:rsid w:val="3E7560B2"/>
    <w:rsid w:val="3E832B8C"/>
    <w:rsid w:val="3E8A5EF5"/>
    <w:rsid w:val="3E8D3D29"/>
    <w:rsid w:val="3E937104"/>
    <w:rsid w:val="3EA00548"/>
    <w:rsid w:val="3EA6208F"/>
    <w:rsid w:val="3EB86F6D"/>
    <w:rsid w:val="3EC2059B"/>
    <w:rsid w:val="3EC25FD7"/>
    <w:rsid w:val="3ED3317C"/>
    <w:rsid w:val="3EE020AB"/>
    <w:rsid w:val="3EF1250A"/>
    <w:rsid w:val="3F4D0892"/>
    <w:rsid w:val="3F5E56C6"/>
    <w:rsid w:val="3F7E0437"/>
    <w:rsid w:val="3F84512C"/>
    <w:rsid w:val="3F8B6965"/>
    <w:rsid w:val="3F960A1B"/>
    <w:rsid w:val="3FA30040"/>
    <w:rsid w:val="3FBB73C9"/>
    <w:rsid w:val="3FE13309"/>
    <w:rsid w:val="3FF10422"/>
    <w:rsid w:val="3FF7590D"/>
    <w:rsid w:val="40294E6F"/>
    <w:rsid w:val="40353AA7"/>
    <w:rsid w:val="406330B7"/>
    <w:rsid w:val="406659D4"/>
    <w:rsid w:val="406E0A2E"/>
    <w:rsid w:val="406F52BF"/>
    <w:rsid w:val="40B84D47"/>
    <w:rsid w:val="40C87655"/>
    <w:rsid w:val="40D140B5"/>
    <w:rsid w:val="40D53766"/>
    <w:rsid w:val="40FE0F0E"/>
    <w:rsid w:val="410822AE"/>
    <w:rsid w:val="41105E87"/>
    <w:rsid w:val="411E79D5"/>
    <w:rsid w:val="417452B0"/>
    <w:rsid w:val="41886A2A"/>
    <w:rsid w:val="418D5EB5"/>
    <w:rsid w:val="419843A7"/>
    <w:rsid w:val="41C62E3A"/>
    <w:rsid w:val="41E965F5"/>
    <w:rsid w:val="420E5CD2"/>
    <w:rsid w:val="423D7335"/>
    <w:rsid w:val="425B0CB6"/>
    <w:rsid w:val="42AB3D97"/>
    <w:rsid w:val="42AB6724"/>
    <w:rsid w:val="431C04DF"/>
    <w:rsid w:val="432033BE"/>
    <w:rsid w:val="43452BC5"/>
    <w:rsid w:val="43572C1C"/>
    <w:rsid w:val="4364272C"/>
    <w:rsid w:val="43671945"/>
    <w:rsid w:val="438254A7"/>
    <w:rsid w:val="438B3ED0"/>
    <w:rsid w:val="43AE32D9"/>
    <w:rsid w:val="43D63C39"/>
    <w:rsid w:val="43E07371"/>
    <w:rsid w:val="44006D4C"/>
    <w:rsid w:val="44AC0997"/>
    <w:rsid w:val="44B25A40"/>
    <w:rsid w:val="44B7378C"/>
    <w:rsid w:val="44CB55AC"/>
    <w:rsid w:val="450B7FC6"/>
    <w:rsid w:val="451505D5"/>
    <w:rsid w:val="4521341D"/>
    <w:rsid w:val="453C298C"/>
    <w:rsid w:val="4558167C"/>
    <w:rsid w:val="4558210B"/>
    <w:rsid w:val="45712FED"/>
    <w:rsid w:val="45DC7897"/>
    <w:rsid w:val="45EB5E6A"/>
    <w:rsid w:val="463C0071"/>
    <w:rsid w:val="466E0287"/>
    <w:rsid w:val="4674536F"/>
    <w:rsid w:val="46B0304F"/>
    <w:rsid w:val="46B42F90"/>
    <w:rsid w:val="46C4551D"/>
    <w:rsid w:val="46C67A90"/>
    <w:rsid w:val="46E56143"/>
    <w:rsid w:val="470D1DC4"/>
    <w:rsid w:val="471E51AA"/>
    <w:rsid w:val="472B6F91"/>
    <w:rsid w:val="476529CC"/>
    <w:rsid w:val="476E0C2F"/>
    <w:rsid w:val="477320E2"/>
    <w:rsid w:val="477416FE"/>
    <w:rsid w:val="4807663C"/>
    <w:rsid w:val="48124C91"/>
    <w:rsid w:val="4814271D"/>
    <w:rsid w:val="4817728E"/>
    <w:rsid w:val="481B63C6"/>
    <w:rsid w:val="48284AC3"/>
    <w:rsid w:val="483B59A8"/>
    <w:rsid w:val="484E4529"/>
    <w:rsid w:val="48883FAF"/>
    <w:rsid w:val="48A00AFD"/>
    <w:rsid w:val="48DB77BF"/>
    <w:rsid w:val="48F06888"/>
    <w:rsid w:val="48F6744F"/>
    <w:rsid w:val="49322CB9"/>
    <w:rsid w:val="493A1BE1"/>
    <w:rsid w:val="495C6F05"/>
    <w:rsid w:val="498126DD"/>
    <w:rsid w:val="49913F18"/>
    <w:rsid w:val="49916460"/>
    <w:rsid w:val="499B3E8C"/>
    <w:rsid w:val="4A0963FB"/>
    <w:rsid w:val="4A0B211B"/>
    <w:rsid w:val="4A370FED"/>
    <w:rsid w:val="4A6528E0"/>
    <w:rsid w:val="4A673417"/>
    <w:rsid w:val="4A875AD1"/>
    <w:rsid w:val="4A993A56"/>
    <w:rsid w:val="4AAA7A11"/>
    <w:rsid w:val="4AB03279"/>
    <w:rsid w:val="4ABC6B6C"/>
    <w:rsid w:val="4ABE4E5C"/>
    <w:rsid w:val="4AD93481"/>
    <w:rsid w:val="4B137364"/>
    <w:rsid w:val="4B1A4B97"/>
    <w:rsid w:val="4B306D59"/>
    <w:rsid w:val="4B525B6F"/>
    <w:rsid w:val="4B596C8E"/>
    <w:rsid w:val="4B6C61F1"/>
    <w:rsid w:val="4B9F2BDB"/>
    <w:rsid w:val="4BC0119A"/>
    <w:rsid w:val="4BC845E0"/>
    <w:rsid w:val="4BCB52A8"/>
    <w:rsid w:val="4BE34F89"/>
    <w:rsid w:val="4BEE0D35"/>
    <w:rsid w:val="4C0F7509"/>
    <w:rsid w:val="4C136147"/>
    <w:rsid w:val="4C3752D5"/>
    <w:rsid w:val="4C6C2A35"/>
    <w:rsid w:val="4CB35C07"/>
    <w:rsid w:val="4CC402ED"/>
    <w:rsid w:val="4CCD3EB0"/>
    <w:rsid w:val="4CE47182"/>
    <w:rsid w:val="4CFB24DA"/>
    <w:rsid w:val="4D1E2107"/>
    <w:rsid w:val="4D1F5A48"/>
    <w:rsid w:val="4D355CB8"/>
    <w:rsid w:val="4D407E56"/>
    <w:rsid w:val="4D616C23"/>
    <w:rsid w:val="4D6420F9"/>
    <w:rsid w:val="4D85197B"/>
    <w:rsid w:val="4D875DE8"/>
    <w:rsid w:val="4DF43316"/>
    <w:rsid w:val="4E28149C"/>
    <w:rsid w:val="4E4A12EF"/>
    <w:rsid w:val="4E524648"/>
    <w:rsid w:val="4E616913"/>
    <w:rsid w:val="4E6F51FA"/>
    <w:rsid w:val="4E727F06"/>
    <w:rsid w:val="4E7955FA"/>
    <w:rsid w:val="4E7A3D43"/>
    <w:rsid w:val="4E9911BC"/>
    <w:rsid w:val="4EA115E0"/>
    <w:rsid w:val="4EA35395"/>
    <w:rsid w:val="4EA604F0"/>
    <w:rsid w:val="4EC703E0"/>
    <w:rsid w:val="4ED4439C"/>
    <w:rsid w:val="4EEC578E"/>
    <w:rsid w:val="4F0E67C1"/>
    <w:rsid w:val="4F430EB3"/>
    <w:rsid w:val="4F827102"/>
    <w:rsid w:val="4F9E7CCA"/>
    <w:rsid w:val="4FCF7919"/>
    <w:rsid w:val="4FD4504B"/>
    <w:rsid w:val="4FF15EC7"/>
    <w:rsid w:val="500C5118"/>
    <w:rsid w:val="5019759F"/>
    <w:rsid w:val="50576452"/>
    <w:rsid w:val="50655768"/>
    <w:rsid w:val="50723D8A"/>
    <w:rsid w:val="50C35970"/>
    <w:rsid w:val="50E26FDF"/>
    <w:rsid w:val="51077C63"/>
    <w:rsid w:val="510C62EA"/>
    <w:rsid w:val="51257DF2"/>
    <w:rsid w:val="512D1D23"/>
    <w:rsid w:val="512E314A"/>
    <w:rsid w:val="51522536"/>
    <w:rsid w:val="51611ED1"/>
    <w:rsid w:val="517B64FE"/>
    <w:rsid w:val="517E02D6"/>
    <w:rsid w:val="51CB0F54"/>
    <w:rsid w:val="51CD2F0F"/>
    <w:rsid w:val="51DE6839"/>
    <w:rsid w:val="51E63245"/>
    <w:rsid w:val="51E657BD"/>
    <w:rsid w:val="51F02CB6"/>
    <w:rsid w:val="52014762"/>
    <w:rsid w:val="52220D7A"/>
    <w:rsid w:val="524021AC"/>
    <w:rsid w:val="524F093C"/>
    <w:rsid w:val="5267525C"/>
    <w:rsid w:val="5288177F"/>
    <w:rsid w:val="529800BF"/>
    <w:rsid w:val="52B665F5"/>
    <w:rsid w:val="52F96ACC"/>
    <w:rsid w:val="531133C7"/>
    <w:rsid w:val="53247CD4"/>
    <w:rsid w:val="53292681"/>
    <w:rsid w:val="533A753E"/>
    <w:rsid w:val="535B21AD"/>
    <w:rsid w:val="536223FA"/>
    <w:rsid w:val="538319C4"/>
    <w:rsid w:val="53C47D96"/>
    <w:rsid w:val="53CC510F"/>
    <w:rsid w:val="53CF02CD"/>
    <w:rsid w:val="53DC464A"/>
    <w:rsid w:val="54197AEC"/>
    <w:rsid w:val="54314647"/>
    <w:rsid w:val="544D7446"/>
    <w:rsid w:val="54C67D59"/>
    <w:rsid w:val="54CD37CC"/>
    <w:rsid w:val="54DF20E2"/>
    <w:rsid w:val="54EF0E42"/>
    <w:rsid w:val="54F416B3"/>
    <w:rsid w:val="54F93A6F"/>
    <w:rsid w:val="555E653C"/>
    <w:rsid w:val="55990BA9"/>
    <w:rsid w:val="55EC5382"/>
    <w:rsid w:val="56116B96"/>
    <w:rsid w:val="561454D8"/>
    <w:rsid w:val="563646D2"/>
    <w:rsid w:val="56385CF2"/>
    <w:rsid w:val="5644548A"/>
    <w:rsid w:val="564B683B"/>
    <w:rsid w:val="56766BEA"/>
    <w:rsid w:val="567A7AAD"/>
    <w:rsid w:val="568127DC"/>
    <w:rsid w:val="568C7B87"/>
    <w:rsid w:val="56911EA5"/>
    <w:rsid w:val="569451A6"/>
    <w:rsid w:val="56A75AEB"/>
    <w:rsid w:val="56F35DFA"/>
    <w:rsid w:val="572A4C26"/>
    <w:rsid w:val="572D35E6"/>
    <w:rsid w:val="57661158"/>
    <w:rsid w:val="57870BC6"/>
    <w:rsid w:val="579637F7"/>
    <w:rsid w:val="57CF3412"/>
    <w:rsid w:val="581B1F4E"/>
    <w:rsid w:val="583E3A5A"/>
    <w:rsid w:val="5841471C"/>
    <w:rsid w:val="58460EE3"/>
    <w:rsid w:val="584E6E60"/>
    <w:rsid w:val="585A57CC"/>
    <w:rsid w:val="58704048"/>
    <w:rsid w:val="58711B6E"/>
    <w:rsid w:val="58796074"/>
    <w:rsid w:val="58871D28"/>
    <w:rsid w:val="58A93115"/>
    <w:rsid w:val="58D2142B"/>
    <w:rsid w:val="58EE5006"/>
    <w:rsid w:val="58F76517"/>
    <w:rsid w:val="59175852"/>
    <w:rsid w:val="591B6207"/>
    <w:rsid w:val="59337CAA"/>
    <w:rsid w:val="593E407D"/>
    <w:rsid w:val="594E6328"/>
    <w:rsid w:val="595F6B5F"/>
    <w:rsid w:val="597638E0"/>
    <w:rsid w:val="59771406"/>
    <w:rsid w:val="599C00E4"/>
    <w:rsid w:val="59DB3743"/>
    <w:rsid w:val="59E3084A"/>
    <w:rsid w:val="5A184997"/>
    <w:rsid w:val="5A3F3D7F"/>
    <w:rsid w:val="5A7E1016"/>
    <w:rsid w:val="5A807374"/>
    <w:rsid w:val="5A850A59"/>
    <w:rsid w:val="5ABF282E"/>
    <w:rsid w:val="5AEE6194"/>
    <w:rsid w:val="5B0D392F"/>
    <w:rsid w:val="5B270145"/>
    <w:rsid w:val="5B381C08"/>
    <w:rsid w:val="5B466C30"/>
    <w:rsid w:val="5B6E2CDB"/>
    <w:rsid w:val="5B790776"/>
    <w:rsid w:val="5BC03170"/>
    <w:rsid w:val="5BCC5A39"/>
    <w:rsid w:val="5BCD2D42"/>
    <w:rsid w:val="5BF72AE4"/>
    <w:rsid w:val="5BFE7BBD"/>
    <w:rsid w:val="5C111FC8"/>
    <w:rsid w:val="5C1473E0"/>
    <w:rsid w:val="5C246B2C"/>
    <w:rsid w:val="5C4211A9"/>
    <w:rsid w:val="5C842ABA"/>
    <w:rsid w:val="5CBC2305"/>
    <w:rsid w:val="5CD94B1D"/>
    <w:rsid w:val="5CF66C96"/>
    <w:rsid w:val="5DA15354"/>
    <w:rsid w:val="5DA17670"/>
    <w:rsid w:val="5DC50372"/>
    <w:rsid w:val="5DC94533"/>
    <w:rsid w:val="5DD24E5D"/>
    <w:rsid w:val="5DE66B5A"/>
    <w:rsid w:val="5DF23751"/>
    <w:rsid w:val="5DFF43DE"/>
    <w:rsid w:val="5E211531"/>
    <w:rsid w:val="5E2F0501"/>
    <w:rsid w:val="5E3B75FD"/>
    <w:rsid w:val="5E4A0E97"/>
    <w:rsid w:val="5E4A1119"/>
    <w:rsid w:val="5E5946F9"/>
    <w:rsid w:val="5E957A5C"/>
    <w:rsid w:val="5EC428DB"/>
    <w:rsid w:val="5ECB34D5"/>
    <w:rsid w:val="5ED509A5"/>
    <w:rsid w:val="5EF7101F"/>
    <w:rsid w:val="5F1228CC"/>
    <w:rsid w:val="5F1A0FD8"/>
    <w:rsid w:val="5F231C25"/>
    <w:rsid w:val="5F3E58C0"/>
    <w:rsid w:val="5F7D7167"/>
    <w:rsid w:val="5FBB1644"/>
    <w:rsid w:val="5FCA6EB5"/>
    <w:rsid w:val="5FCF3D4A"/>
    <w:rsid w:val="5FD257C2"/>
    <w:rsid w:val="5FFC02EC"/>
    <w:rsid w:val="5FFE53D0"/>
    <w:rsid w:val="6023339D"/>
    <w:rsid w:val="603737DD"/>
    <w:rsid w:val="60567FC7"/>
    <w:rsid w:val="60702C40"/>
    <w:rsid w:val="60884FB9"/>
    <w:rsid w:val="609C67F0"/>
    <w:rsid w:val="60B54550"/>
    <w:rsid w:val="60E01508"/>
    <w:rsid w:val="60EF2757"/>
    <w:rsid w:val="610A7DBC"/>
    <w:rsid w:val="611D00EF"/>
    <w:rsid w:val="61432D9A"/>
    <w:rsid w:val="614E6EF1"/>
    <w:rsid w:val="61581B1D"/>
    <w:rsid w:val="6166423A"/>
    <w:rsid w:val="61793671"/>
    <w:rsid w:val="619F7A9A"/>
    <w:rsid w:val="61E04298"/>
    <w:rsid w:val="61F555BE"/>
    <w:rsid w:val="620A075F"/>
    <w:rsid w:val="622B128F"/>
    <w:rsid w:val="623115E6"/>
    <w:rsid w:val="62400005"/>
    <w:rsid w:val="624126D0"/>
    <w:rsid w:val="62845220"/>
    <w:rsid w:val="62B226C9"/>
    <w:rsid w:val="62BD4921"/>
    <w:rsid w:val="62D54756"/>
    <w:rsid w:val="62D8406E"/>
    <w:rsid w:val="631250C8"/>
    <w:rsid w:val="632E6981"/>
    <w:rsid w:val="63447021"/>
    <w:rsid w:val="634D4D93"/>
    <w:rsid w:val="6362757D"/>
    <w:rsid w:val="63733AA8"/>
    <w:rsid w:val="638B1726"/>
    <w:rsid w:val="63BA4CBB"/>
    <w:rsid w:val="63E75A88"/>
    <w:rsid w:val="6402578D"/>
    <w:rsid w:val="641F4B74"/>
    <w:rsid w:val="64252661"/>
    <w:rsid w:val="64486F95"/>
    <w:rsid w:val="64876519"/>
    <w:rsid w:val="64A56B97"/>
    <w:rsid w:val="64A85D79"/>
    <w:rsid w:val="64AE26C6"/>
    <w:rsid w:val="64B46E27"/>
    <w:rsid w:val="64E556A9"/>
    <w:rsid w:val="64ED07CF"/>
    <w:rsid w:val="64F87A99"/>
    <w:rsid w:val="64FA53BB"/>
    <w:rsid w:val="64FD5FA7"/>
    <w:rsid w:val="65095591"/>
    <w:rsid w:val="65144757"/>
    <w:rsid w:val="65240694"/>
    <w:rsid w:val="652D27EE"/>
    <w:rsid w:val="654404B1"/>
    <w:rsid w:val="654E0736"/>
    <w:rsid w:val="655B553D"/>
    <w:rsid w:val="657513D6"/>
    <w:rsid w:val="659E2A46"/>
    <w:rsid w:val="65AF0979"/>
    <w:rsid w:val="65B51D67"/>
    <w:rsid w:val="65C82364"/>
    <w:rsid w:val="65C936A6"/>
    <w:rsid w:val="65DB6D58"/>
    <w:rsid w:val="65E81919"/>
    <w:rsid w:val="66477914"/>
    <w:rsid w:val="669D1BD8"/>
    <w:rsid w:val="66C01E90"/>
    <w:rsid w:val="66CA0D51"/>
    <w:rsid w:val="66D02156"/>
    <w:rsid w:val="66FE3167"/>
    <w:rsid w:val="671850B3"/>
    <w:rsid w:val="673F7930"/>
    <w:rsid w:val="67417141"/>
    <w:rsid w:val="677F6056"/>
    <w:rsid w:val="67983ABC"/>
    <w:rsid w:val="67B9299C"/>
    <w:rsid w:val="67BF1B44"/>
    <w:rsid w:val="67D02A2A"/>
    <w:rsid w:val="67E82071"/>
    <w:rsid w:val="680B5B3B"/>
    <w:rsid w:val="681B74A6"/>
    <w:rsid w:val="68213B87"/>
    <w:rsid w:val="682D3D04"/>
    <w:rsid w:val="68520577"/>
    <w:rsid w:val="687C2D74"/>
    <w:rsid w:val="68811093"/>
    <w:rsid w:val="68B7181F"/>
    <w:rsid w:val="68B73708"/>
    <w:rsid w:val="68BB03CC"/>
    <w:rsid w:val="68BC1203"/>
    <w:rsid w:val="68C335B2"/>
    <w:rsid w:val="68D77A31"/>
    <w:rsid w:val="68F064E9"/>
    <w:rsid w:val="69071C8C"/>
    <w:rsid w:val="690A5D6E"/>
    <w:rsid w:val="691177C7"/>
    <w:rsid w:val="694D2A4A"/>
    <w:rsid w:val="69514BFC"/>
    <w:rsid w:val="695C2B81"/>
    <w:rsid w:val="695D3DA7"/>
    <w:rsid w:val="695D6686"/>
    <w:rsid w:val="696D441A"/>
    <w:rsid w:val="69765236"/>
    <w:rsid w:val="698024FA"/>
    <w:rsid w:val="698B192D"/>
    <w:rsid w:val="69B0517D"/>
    <w:rsid w:val="69CC46F8"/>
    <w:rsid w:val="6A2429FA"/>
    <w:rsid w:val="6A6F6AFC"/>
    <w:rsid w:val="6AAB4CB0"/>
    <w:rsid w:val="6B0967D2"/>
    <w:rsid w:val="6B171A04"/>
    <w:rsid w:val="6B561487"/>
    <w:rsid w:val="6B6364BD"/>
    <w:rsid w:val="6B6926E0"/>
    <w:rsid w:val="6B7B7159"/>
    <w:rsid w:val="6B817C03"/>
    <w:rsid w:val="6B841E8D"/>
    <w:rsid w:val="6B8F555B"/>
    <w:rsid w:val="6B916358"/>
    <w:rsid w:val="6BAC7798"/>
    <w:rsid w:val="6BB27DB4"/>
    <w:rsid w:val="6BE40822"/>
    <w:rsid w:val="6BEB14CD"/>
    <w:rsid w:val="6BF73767"/>
    <w:rsid w:val="6C6A0E2B"/>
    <w:rsid w:val="6C964109"/>
    <w:rsid w:val="6CA83FFB"/>
    <w:rsid w:val="6CA87DFD"/>
    <w:rsid w:val="6CB34B3B"/>
    <w:rsid w:val="6CC02668"/>
    <w:rsid w:val="6CE150BD"/>
    <w:rsid w:val="6CE772EA"/>
    <w:rsid w:val="6CF471E3"/>
    <w:rsid w:val="6CF5088D"/>
    <w:rsid w:val="6CF71B3F"/>
    <w:rsid w:val="6CF952B4"/>
    <w:rsid w:val="6D066806"/>
    <w:rsid w:val="6D08089B"/>
    <w:rsid w:val="6D0B1D5B"/>
    <w:rsid w:val="6D3135F4"/>
    <w:rsid w:val="6D602485"/>
    <w:rsid w:val="6D886FE8"/>
    <w:rsid w:val="6DA22F30"/>
    <w:rsid w:val="6DAF7423"/>
    <w:rsid w:val="6DB660AC"/>
    <w:rsid w:val="6DB74A19"/>
    <w:rsid w:val="6E0779DC"/>
    <w:rsid w:val="6E0A2842"/>
    <w:rsid w:val="6E3222C6"/>
    <w:rsid w:val="6E380D0C"/>
    <w:rsid w:val="6E3C417A"/>
    <w:rsid w:val="6E8B16E4"/>
    <w:rsid w:val="6E9B7109"/>
    <w:rsid w:val="6ED962E7"/>
    <w:rsid w:val="6F045C56"/>
    <w:rsid w:val="6F125ADD"/>
    <w:rsid w:val="6F356DDA"/>
    <w:rsid w:val="6F59550F"/>
    <w:rsid w:val="6F6873CF"/>
    <w:rsid w:val="6F753DFA"/>
    <w:rsid w:val="6F8227B2"/>
    <w:rsid w:val="6FA36659"/>
    <w:rsid w:val="6FB7683A"/>
    <w:rsid w:val="6FCA1239"/>
    <w:rsid w:val="6FD4771A"/>
    <w:rsid w:val="70156086"/>
    <w:rsid w:val="702A6C39"/>
    <w:rsid w:val="704141D2"/>
    <w:rsid w:val="70496352"/>
    <w:rsid w:val="706B1A0E"/>
    <w:rsid w:val="70757707"/>
    <w:rsid w:val="708C5396"/>
    <w:rsid w:val="70970597"/>
    <w:rsid w:val="709C0183"/>
    <w:rsid w:val="70AE175A"/>
    <w:rsid w:val="70B61536"/>
    <w:rsid w:val="70D340B6"/>
    <w:rsid w:val="70EB2ED6"/>
    <w:rsid w:val="70ED76C7"/>
    <w:rsid w:val="70F42ADA"/>
    <w:rsid w:val="70FD48F5"/>
    <w:rsid w:val="710E1AF9"/>
    <w:rsid w:val="711D5A16"/>
    <w:rsid w:val="71285068"/>
    <w:rsid w:val="715A7A98"/>
    <w:rsid w:val="715E0807"/>
    <w:rsid w:val="71753CA0"/>
    <w:rsid w:val="717906ED"/>
    <w:rsid w:val="718F4678"/>
    <w:rsid w:val="719E1205"/>
    <w:rsid w:val="71AF2002"/>
    <w:rsid w:val="71BB412E"/>
    <w:rsid w:val="71D8006E"/>
    <w:rsid w:val="72297139"/>
    <w:rsid w:val="722B08F1"/>
    <w:rsid w:val="723B30F9"/>
    <w:rsid w:val="723F4D5F"/>
    <w:rsid w:val="724A3704"/>
    <w:rsid w:val="728063A7"/>
    <w:rsid w:val="72960D09"/>
    <w:rsid w:val="72A42E14"/>
    <w:rsid w:val="72B240D9"/>
    <w:rsid w:val="72C35F13"/>
    <w:rsid w:val="72CA21FE"/>
    <w:rsid w:val="73013330"/>
    <w:rsid w:val="730D1A7F"/>
    <w:rsid w:val="732F6B4F"/>
    <w:rsid w:val="734D124A"/>
    <w:rsid w:val="735E35D8"/>
    <w:rsid w:val="736B3932"/>
    <w:rsid w:val="737A089E"/>
    <w:rsid w:val="73880BCD"/>
    <w:rsid w:val="7388368D"/>
    <w:rsid w:val="7391343C"/>
    <w:rsid w:val="73981611"/>
    <w:rsid w:val="739970F5"/>
    <w:rsid w:val="73C24192"/>
    <w:rsid w:val="73E31BE1"/>
    <w:rsid w:val="73F97190"/>
    <w:rsid w:val="7404785C"/>
    <w:rsid w:val="740E1BEA"/>
    <w:rsid w:val="740F729D"/>
    <w:rsid w:val="74220495"/>
    <w:rsid w:val="74260706"/>
    <w:rsid w:val="743A7791"/>
    <w:rsid w:val="74CF7DDD"/>
    <w:rsid w:val="74D34C17"/>
    <w:rsid w:val="74D85048"/>
    <w:rsid w:val="74F35D48"/>
    <w:rsid w:val="75045261"/>
    <w:rsid w:val="75226DAD"/>
    <w:rsid w:val="75281F95"/>
    <w:rsid w:val="755820BB"/>
    <w:rsid w:val="755F3023"/>
    <w:rsid w:val="75747E57"/>
    <w:rsid w:val="757D534F"/>
    <w:rsid w:val="7589197D"/>
    <w:rsid w:val="75AB1644"/>
    <w:rsid w:val="75B86BA4"/>
    <w:rsid w:val="75C23B36"/>
    <w:rsid w:val="75D73501"/>
    <w:rsid w:val="75DB07CF"/>
    <w:rsid w:val="75E858CF"/>
    <w:rsid w:val="761905AB"/>
    <w:rsid w:val="761D3C95"/>
    <w:rsid w:val="761D6CDC"/>
    <w:rsid w:val="76300070"/>
    <w:rsid w:val="76361FD5"/>
    <w:rsid w:val="764B1CBF"/>
    <w:rsid w:val="7650389E"/>
    <w:rsid w:val="7656207F"/>
    <w:rsid w:val="76593F16"/>
    <w:rsid w:val="766D6E7A"/>
    <w:rsid w:val="767A2538"/>
    <w:rsid w:val="767D6EE6"/>
    <w:rsid w:val="76B5566B"/>
    <w:rsid w:val="76BD7F94"/>
    <w:rsid w:val="76C44A92"/>
    <w:rsid w:val="76D26D4E"/>
    <w:rsid w:val="76E65F5E"/>
    <w:rsid w:val="77140608"/>
    <w:rsid w:val="771728F8"/>
    <w:rsid w:val="772511A5"/>
    <w:rsid w:val="772636E9"/>
    <w:rsid w:val="773359DD"/>
    <w:rsid w:val="779A3F44"/>
    <w:rsid w:val="77A13FDF"/>
    <w:rsid w:val="77A22BF4"/>
    <w:rsid w:val="77B61BA8"/>
    <w:rsid w:val="77D72EF4"/>
    <w:rsid w:val="780F3AA6"/>
    <w:rsid w:val="7810510F"/>
    <w:rsid w:val="781F337D"/>
    <w:rsid w:val="78244A5D"/>
    <w:rsid w:val="7826045F"/>
    <w:rsid w:val="784C3D32"/>
    <w:rsid w:val="78525509"/>
    <w:rsid w:val="78566AB9"/>
    <w:rsid w:val="7859644F"/>
    <w:rsid w:val="787603B5"/>
    <w:rsid w:val="789D5DA5"/>
    <w:rsid w:val="78AD18DE"/>
    <w:rsid w:val="78D81510"/>
    <w:rsid w:val="78E75DA3"/>
    <w:rsid w:val="78F971DB"/>
    <w:rsid w:val="78FE08A5"/>
    <w:rsid w:val="79181E66"/>
    <w:rsid w:val="791F174B"/>
    <w:rsid w:val="792417A2"/>
    <w:rsid w:val="794175E4"/>
    <w:rsid w:val="794403D0"/>
    <w:rsid w:val="79687467"/>
    <w:rsid w:val="79703A50"/>
    <w:rsid w:val="79955969"/>
    <w:rsid w:val="79983E20"/>
    <w:rsid w:val="79C67B14"/>
    <w:rsid w:val="79D9517B"/>
    <w:rsid w:val="79DB2893"/>
    <w:rsid w:val="79E41D48"/>
    <w:rsid w:val="79F53F55"/>
    <w:rsid w:val="79F74697"/>
    <w:rsid w:val="7A0676A2"/>
    <w:rsid w:val="7A281E19"/>
    <w:rsid w:val="7A431165"/>
    <w:rsid w:val="7A4F53D5"/>
    <w:rsid w:val="7A55391A"/>
    <w:rsid w:val="7A625229"/>
    <w:rsid w:val="7A6624AB"/>
    <w:rsid w:val="7A684727"/>
    <w:rsid w:val="7ADB48B0"/>
    <w:rsid w:val="7B05466C"/>
    <w:rsid w:val="7B152CE2"/>
    <w:rsid w:val="7B387814"/>
    <w:rsid w:val="7B3C7150"/>
    <w:rsid w:val="7B51418C"/>
    <w:rsid w:val="7BB76807"/>
    <w:rsid w:val="7BD05EC4"/>
    <w:rsid w:val="7BE14791"/>
    <w:rsid w:val="7BE252E1"/>
    <w:rsid w:val="7BEF62B7"/>
    <w:rsid w:val="7C15268D"/>
    <w:rsid w:val="7C18217D"/>
    <w:rsid w:val="7C2610D5"/>
    <w:rsid w:val="7C3170CD"/>
    <w:rsid w:val="7C3362DB"/>
    <w:rsid w:val="7C632D86"/>
    <w:rsid w:val="7C83492B"/>
    <w:rsid w:val="7C896BD7"/>
    <w:rsid w:val="7C985B01"/>
    <w:rsid w:val="7CA37C99"/>
    <w:rsid w:val="7CA5437A"/>
    <w:rsid w:val="7CA665FA"/>
    <w:rsid w:val="7CD7330C"/>
    <w:rsid w:val="7CF46F83"/>
    <w:rsid w:val="7D073EA8"/>
    <w:rsid w:val="7D2B6D8D"/>
    <w:rsid w:val="7D3B4375"/>
    <w:rsid w:val="7D473285"/>
    <w:rsid w:val="7D485454"/>
    <w:rsid w:val="7D5C1858"/>
    <w:rsid w:val="7D67516A"/>
    <w:rsid w:val="7D746231"/>
    <w:rsid w:val="7D807FDA"/>
    <w:rsid w:val="7D851DEF"/>
    <w:rsid w:val="7D867805"/>
    <w:rsid w:val="7DAF714D"/>
    <w:rsid w:val="7DB3477D"/>
    <w:rsid w:val="7DF21AFA"/>
    <w:rsid w:val="7E040C0B"/>
    <w:rsid w:val="7E3C7D0D"/>
    <w:rsid w:val="7E3F45C2"/>
    <w:rsid w:val="7E3F6877"/>
    <w:rsid w:val="7E6C50BF"/>
    <w:rsid w:val="7EAC05F7"/>
    <w:rsid w:val="7EE07A0E"/>
    <w:rsid w:val="7EF3140C"/>
    <w:rsid w:val="7F48034D"/>
    <w:rsid w:val="7F582BD6"/>
    <w:rsid w:val="7F5F4AD2"/>
    <w:rsid w:val="7F6649C2"/>
    <w:rsid w:val="7F715E01"/>
    <w:rsid w:val="7FAF2DF8"/>
    <w:rsid w:val="7FB65F35"/>
    <w:rsid w:val="7FB87AE8"/>
    <w:rsid w:val="7FE01204"/>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nhideWhenUsed="0" w:uiPriority="0" w:semiHidden="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qFormat="1" w:unhideWhenUsed="0" w:uiPriority="0" w:semiHidden="0" w:name="index 1"/>
    <w:lsdException w:qFormat="1" w:unhideWhenUsed="0" w:uiPriority="0" w:semiHidden="0" w:name="index 2"/>
    <w:lsdException w:qFormat="1" w:unhideWhenUsed="0" w:uiPriority="0" w:semiHidden="0" w:name="index 3"/>
    <w:lsdException w:qFormat="1" w:unhideWhenUsed="0" w:uiPriority="0" w:semiHidden="0" w:name="index 4"/>
    <w:lsdException w:qFormat="1" w:unhideWhenUsed="0" w:uiPriority="0" w:semiHidden="0" w:name="index 5"/>
    <w:lsdException w:qFormat="1" w:unhideWhenUsed="0" w:uiPriority="0" w:semiHidden="0" w:name="index 6"/>
    <w:lsdException w:qFormat="1" w:unhideWhenUsed="0" w:uiPriority="0" w:semiHidden="0" w:name="index 7"/>
    <w:lsdException w:qFormat="1" w:unhideWhenUsed="0" w:uiPriority="0" w:semiHidden="0" w:name="index 8"/>
    <w:lsdException w:qFormat="1" w:unhideWhenUsed="0" w:uiPriority="0" w:semiHidden="0" w:name="index 9"/>
    <w:lsdException w:qFormat="1" w:uiPriority="39" w:semiHidden="0" w:name="toc 1"/>
    <w:lsdException w:qFormat="1" w:uiPriority="39" w:semiHidden="0" w:name="toc 2"/>
    <w:lsdException w:qFormat="1" w:uiPriority="39" w:semiHidden="0" w:name="toc 3"/>
    <w:lsdException w:qFormat="1" w:unhideWhenUsed="0" w:uiPriority="0" w:semiHidden="0" w:name="toc 4"/>
    <w:lsdException w:qFormat="1" w:unhideWhenUsed="0" w:uiPriority="0" w:semiHidden="0" w:name="toc 5"/>
    <w:lsdException w:qFormat="1" w:unhideWhenUsed="0" w:uiPriority="0" w:semiHidden="0" w:name="toc 6"/>
    <w:lsdException w:qFormat="1" w:unhideWhenUsed="0" w:uiPriority="0" w:semiHidden="0" w:name="toc 7"/>
    <w:lsdException w:qFormat="1" w:unhideWhenUsed="0" w:uiPriority="0" w:semiHidden="0" w:name="toc 8"/>
    <w:lsdException w:qFormat="1" w:unhideWhenUsed="0" w:uiPriority="0" w:semiHidden="0" w:name="toc 9"/>
    <w:lsdException w:unhideWhenUsed="0" w:uiPriority="0" w:semiHidden="0" w:name="Normal Indent"/>
    <w:lsdException w:qFormat="1" w:unhideWhenUsed="0" w:uiPriority="0" w:semiHidden="0" w:name="footnote text"/>
    <w:lsdException w:qFormat="1" w:unhideWhenUsed="0" w:uiPriority="0" w:semiHidden="0" w:name="annotation text"/>
    <w:lsdException w:qFormat="1" w:unhideWhenUsed="0" w:uiPriority="0" w:semiHidden="0" w:name="header"/>
    <w:lsdException w:qFormat="1" w:unhideWhenUsed="0" w:uiPriority="0" w:semiHidden="0" w:name="footer"/>
    <w:lsdException w:qFormat="1" w:unhideWhenUsed="0" w:uiPriority="0" w:semiHidden="0" w:name="index heading"/>
    <w:lsdException w:qFormat="1" w:uiPriority="0" w:name="caption"/>
    <w:lsdException w:qFormat="1" w:unhideWhenUsed="0" w:uiPriority="0" w:semiHidden="0" w:name="table of figures"/>
    <w:lsdException w:unhideWhenUsed="0" w:uiPriority="0" w:semiHidden="0" w:name="envelope address"/>
    <w:lsdException w:unhideWhenUsed="0" w:uiPriority="0" w:semiHidden="0" w:name="envelope return"/>
    <w:lsdException w:qFormat="1" w:unhideWhenUsed="0" w:uiPriority="0" w:semiHidden="0" w:name="footnote reference"/>
    <w:lsdException w:qFormat="1" w:unhideWhenUsed="0" w:uiPriority="0" w:semiHidden="0" w:name="annotation reference"/>
    <w:lsdException w:unhideWhenUsed="0" w:uiPriority="0" w:semiHidden="0" w:name="line number"/>
    <w:lsdException w:qFormat="1"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name="Default Paragraph Font"/>
    <w:lsdException w:qFormat="1" w:unhideWhenUsed="0" w:uiPriority="0" w:semiHidden="0" w:name="Body Text"/>
    <w:lsdException w:qFormat="1"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qFormat="1" w:unhideWhenUsed="0" w:uiPriority="0" w:semiHidden="0" w:name="Salutation"/>
    <w:lsdException w:unhideWhenUsed="0" w:uiPriority="0" w:semiHidden="0" w:name="Date"/>
    <w:lsdException w:unhideWhenUsed="0" w:uiPriority="0" w:semiHidden="0" w:name="Body Text First Indent"/>
    <w:lsdException w:qFormat="1"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qFormat="1" w:unhideWhenUsed="0" w:uiPriority="0" w:semiHidden="0" w:name="Body Text Indent 2"/>
    <w:lsdException w:unhideWhenUsed="0" w:uiPriority="0" w:semiHidden="0" w:name="Body Text Indent 3"/>
    <w:lsdException w:unhideWhenUsed="0" w:uiPriority="0" w:semiHidden="0" w:name="Block Text"/>
    <w:lsdException w:qFormat="1" w:uiPriority="99"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qFormat="1" w:unhideWhenUsed="0" w:uiPriority="0" w:semiHidden="0" w:name="Document Map"/>
    <w:lsdException w:qFormat="1" w:unhideWhenUsed="0" w:uiPriority="0" w:semiHidden="0" w:name="Plain Text"/>
    <w:lsdException w:unhideWhenUsed="0" w:uiPriority="0" w:semiHidden="0" w:name="E-mail Signature"/>
    <w:lsdException w:qFormat="1" w:uiPriority="99"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nhideWhenUsed="0" w:uiPriority="0" w:semiHidden="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spacing w:line="360" w:lineRule="auto"/>
      <w:ind w:firstLine="1040" w:firstLineChars="200"/>
      <w:jc w:val="both"/>
    </w:pPr>
    <w:rPr>
      <w:rFonts w:ascii="Times New Roman" w:hAnsi="Times New Roman" w:eastAsia="宋体" w:cs="Times New Roman"/>
      <w:kern w:val="2"/>
      <w:sz w:val="24"/>
      <w:szCs w:val="24"/>
      <w:lang w:val="en-US" w:eastAsia="zh-CN" w:bidi="ar-SA"/>
    </w:rPr>
  </w:style>
  <w:style w:type="paragraph" w:styleId="2">
    <w:name w:val="heading 1"/>
    <w:basedOn w:val="1"/>
    <w:next w:val="1"/>
    <w:link w:val="49"/>
    <w:qFormat/>
    <w:uiPriority w:val="0"/>
    <w:pPr>
      <w:snapToGrid w:val="0"/>
      <w:spacing w:before="50" w:beforeLines="50" w:after="50" w:afterLines="50" w:line="240" w:lineRule="auto"/>
      <w:jc w:val="left"/>
      <w:outlineLvl w:val="0"/>
    </w:pPr>
    <w:rPr>
      <w:rFonts w:ascii="宋体" w:hAnsi="宋体" w:eastAsia="黑体"/>
      <w:b/>
      <w:sz w:val="28"/>
      <w:szCs w:val="44"/>
    </w:rPr>
  </w:style>
  <w:style w:type="paragraph" w:styleId="3">
    <w:name w:val="heading 2"/>
    <w:basedOn w:val="1"/>
    <w:next w:val="1"/>
    <w:link w:val="55"/>
    <w:qFormat/>
    <w:uiPriority w:val="0"/>
    <w:pPr>
      <w:keepNext/>
      <w:keepLines/>
      <w:spacing w:before="260" w:after="260" w:line="416" w:lineRule="auto"/>
      <w:outlineLvl w:val="1"/>
    </w:pPr>
    <w:rPr>
      <w:rFonts w:ascii="等线 Light" w:hAnsi="等线 Light" w:eastAsia="等线 Light"/>
      <w:b/>
      <w:bCs/>
      <w:sz w:val="32"/>
      <w:szCs w:val="32"/>
    </w:rPr>
  </w:style>
  <w:style w:type="paragraph" w:styleId="4">
    <w:name w:val="heading 3"/>
    <w:basedOn w:val="1"/>
    <w:next w:val="1"/>
    <w:link w:val="50"/>
    <w:qFormat/>
    <w:uiPriority w:val="0"/>
    <w:pPr>
      <w:keepNext/>
      <w:keepLines/>
      <w:spacing w:before="260" w:after="260" w:line="416" w:lineRule="auto"/>
      <w:outlineLvl w:val="2"/>
    </w:pPr>
    <w:rPr>
      <w:b/>
      <w:bCs/>
      <w:sz w:val="32"/>
      <w:szCs w:val="32"/>
    </w:rPr>
  </w:style>
  <w:style w:type="paragraph" w:styleId="5">
    <w:name w:val="heading 4"/>
    <w:basedOn w:val="1"/>
    <w:next w:val="1"/>
    <w:link w:val="59"/>
    <w:qFormat/>
    <w:uiPriority w:val="0"/>
    <w:pPr>
      <w:keepNext/>
      <w:keepLines/>
      <w:widowControl/>
      <w:spacing w:after="104" w:line="256" w:lineRule="auto"/>
      <w:ind w:left="10" w:hanging="10"/>
      <w:jc w:val="left"/>
      <w:outlineLvl w:val="3"/>
    </w:pPr>
    <w:rPr>
      <w:rFonts w:hint="eastAsia" w:ascii="微软雅黑" w:hAnsi="微软雅黑" w:eastAsia="微软雅黑"/>
      <w:color w:val="000000"/>
      <w:sz w:val="30"/>
      <w:szCs w:val="22"/>
    </w:rPr>
  </w:style>
  <w:style w:type="character" w:default="1" w:styleId="42">
    <w:name w:val="Default Paragraph Font"/>
    <w:semiHidden/>
    <w:unhideWhenUsed/>
    <w:qFormat/>
    <w:uiPriority w:val="1"/>
  </w:style>
  <w:style w:type="table" w:default="1" w:styleId="40">
    <w:name w:val="Normal Table"/>
    <w:semiHidden/>
    <w:unhideWhenUsed/>
    <w:qFormat/>
    <w:uiPriority w:val="99"/>
    <w:tblPr>
      <w:tblCellMar>
        <w:top w:w="0" w:type="dxa"/>
        <w:left w:w="108" w:type="dxa"/>
        <w:bottom w:w="0" w:type="dxa"/>
        <w:right w:w="108" w:type="dxa"/>
      </w:tblCellMar>
    </w:tblPr>
  </w:style>
  <w:style w:type="paragraph" w:styleId="6">
    <w:name w:val="toc 7"/>
    <w:basedOn w:val="1"/>
    <w:next w:val="1"/>
    <w:qFormat/>
    <w:uiPriority w:val="0"/>
    <w:pPr>
      <w:ind w:left="1440"/>
      <w:jc w:val="left"/>
    </w:pPr>
    <w:rPr>
      <w:rFonts w:ascii="等线" w:eastAsia="等线"/>
      <w:sz w:val="20"/>
      <w:szCs w:val="20"/>
    </w:rPr>
  </w:style>
  <w:style w:type="paragraph" w:styleId="7">
    <w:name w:val="index 8"/>
    <w:basedOn w:val="1"/>
    <w:next w:val="1"/>
    <w:qFormat/>
    <w:uiPriority w:val="0"/>
    <w:pPr>
      <w:ind w:left="1680" w:hanging="210"/>
    </w:pPr>
  </w:style>
  <w:style w:type="paragraph" w:styleId="8">
    <w:name w:val="index 5"/>
    <w:basedOn w:val="1"/>
    <w:next w:val="1"/>
    <w:qFormat/>
    <w:uiPriority w:val="0"/>
    <w:pPr>
      <w:ind w:left="1050" w:hanging="210"/>
    </w:pPr>
  </w:style>
  <w:style w:type="paragraph" w:styleId="9">
    <w:name w:val="Document Map"/>
    <w:basedOn w:val="1"/>
    <w:link w:val="51"/>
    <w:qFormat/>
    <w:uiPriority w:val="0"/>
  </w:style>
  <w:style w:type="paragraph" w:styleId="10">
    <w:name w:val="annotation text"/>
    <w:basedOn w:val="1"/>
    <w:link w:val="57"/>
    <w:qFormat/>
    <w:uiPriority w:val="0"/>
    <w:pPr>
      <w:jc w:val="left"/>
    </w:pPr>
  </w:style>
  <w:style w:type="paragraph" w:styleId="11">
    <w:name w:val="index 6"/>
    <w:basedOn w:val="1"/>
    <w:next w:val="1"/>
    <w:qFormat/>
    <w:uiPriority w:val="0"/>
    <w:pPr>
      <w:ind w:left="1260" w:hanging="210"/>
    </w:pPr>
  </w:style>
  <w:style w:type="paragraph" w:styleId="12">
    <w:name w:val="Salutation"/>
    <w:basedOn w:val="1"/>
    <w:next w:val="1"/>
    <w:qFormat/>
    <w:uiPriority w:val="0"/>
  </w:style>
  <w:style w:type="paragraph" w:styleId="13">
    <w:name w:val="Body Text"/>
    <w:basedOn w:val="1"/>
    <w:next w:val="1"/>
    <w:qFormat/>
    <w:uiPriority w:val="0"/>
    <w:pPr>
      <w:spacing w:after="120" w:afterLines="0" w:afterAutospacing="0"/>
    </w:pPr>
  </w:style>
  <w:style w:type="paragraph" w:styleId="14">
    <w:name w:val="Body Text Indent"/>
    <w:basedOn w:val="1"/>
    <w:next w:val="15"/>
    <w:qFormat/>
    <w:uiPriority w:val="0"/>
    <w:pPr>
      <w:ind w:left="482"/>
    </w:pPr>
    <w:rPr>
      <w:rFonts w:ascii="宋体" w:hAnsi="宋体"/>
      <w:b/>
      <w:bCs/>
    </w:rPr>
  </w:style>
  <w:style w:type="paragraph" w:styleId="15">
    <w:name w:val="Body Text First Indent 2"/>
    <w:basedOn w:val="14"/>
    <w:next w:val="16"/>
    <w:qFormat/>
    <w:uiPriority w:val="0"/>
    <w:pPr>
      <w:ind w:firstLine="420"/>
    </w:pPr>
  </w:style>
  <w:style w:type="paragraph" w:styleId="16">
    <w:name w:val="Plain Text"/>
    <w:basedOn w:val="1"/>
    <w:qFormat/>
    <w:uiPriority w:val="0"/>
    <w:rPr>
      <w:rFonts w:ascii="宋体" w:hAnsi="Courier New"/>
      <w:sz w:val="21"/>
      <w:szCs w:val="21"/>
    </w:rPr>
  </w:style>
  <w:style w:type="paragraph" w:styleId="17">
    <w:name w:val="index 4"/>
    <w:basedOn w:val="1"/>
    <w:next w:val="1"/>
    <w:qFormat/>
    <w:uiPriority w:val="0"/>
    <w:pPr>
      <w:ind w:left="840" w:hanging="210"/>
    </w:pPr>
  </w:style>
  <w:style w:type="paragraph" w:styleId="18">
    <w:name w:val="toc 5"/>
    <w:basedOn w:val="1"/>
    <w:next w:val="1"/>
    <w:qFormat/>
    <w:uiPriority w:val="0"/>
    <w:pPr>
      <w:ind w:left="960"/>
      <w:jc w:val="left"/>
    </w:pPr>
    <w:rPr>
      <w:rFonts w:ascii="等线" w:eastAsia="等线"/>
      <w:sz w:val="20"/>
      <w:szCs w:val="20"/>
    </w:rPr>
  </w:style>
  <w:style w:type="paragraph" w:styleId="19">
    <w:name w:val="toc 3"/>
    <w:basedOn w:val="1"/>
    <w:next w:val="1"/>
    <w:unhideWhenUsed/>
    <w:qFormat/>
    <w:uiPriority w:val="39"/>
    <w:pPr>
      <w:ind w:left="480"/>
      <w:jc w:val="left"/>
    </w:pPr>
    <w:rPr>
      <w:rFonts w:ascii="等线" w:eastAsia="等线"/>
      <w:sz w:val="22"/>
      <w:szCs w:val="22"/>
    </w:rPr>
  </w:style>
  <w:style w:type="paragraph" w:styleId="20">
    <w:name w:val="toc 8"/>
    <w:basedOn w:val="1"/>
    <w:next w:val="1"/>
    <w:qFormat/>
    <w:uiPriority w:val="0"/>
    <w:pPr>
      <w:ind w:left="1680"/>
      <w:jc w:val="left"/>
    </w:pPr>
    <w:rPr>
      <w:rFonts w:ascii="等线" w:eastAsia="等线"/>
      <w:sz w:val="20"/>
      <w:szCs w:val="20"/>
    </w:rPr>
  </w:style>
  <w:style w:type="paragraph" w:styleId="21">
    <w:name w:val="index 3"/>
    <w:basedOn w:val="1"/>
    <w:next w:val="1"/>
    <w:qFormat/>
    <w:uiPriority w:val="0"/>
    <w:pPr>
      <w:ind w:left="630" w:hanging="210"/>
    </w:pPr>
  </w:style>
  <w:style w:type="paragraph" w:styleId="22">
    <w:name w:val="Body Text Indent 2"/>
    <w:basedOn w:val="1"/>
    <w:qFormat/>
    <w:uiPriority w:val="0"/>
    <w:pPr>
      <w:ind w:firstLine="570"/>
    </w:pPr>
    <w:rPr>
      <w:rFonts w:ascii="楷体_GB2312" w:eastAsia="楷体_GB2312"/>
      <w:szCs w:val="20"/>
    </w:rPr>
  </w:style>
  <w:style w:type="paragraph" w:styleId="23">
    <w:name w:val="Balloon Text"/>
    <w:basedOn w:val="1"/>
    <w:link w:val="56"/>
    <w:qFormat/>
    <w:uiPriority w:val="0"/>
    <w:pPr>
      <w:spacing w:line="240" w:lineRule="auto"/>
    </w:pPr>
    <w:rPr>
      <w:sz w:val="18"/>
      <w:szCs w:val="18"/>
    </w:rPr>
  </w:style>
  <w:style w:type="paragraph" w:styleId="24">
    <w:name w:val="footer"/>
    <w:basedOn w:val="1"/>
    <w:qFormat/>
    <w:uiPriority w:val="0"/>
    <w:pPr>
      <w:tabs>
        <w:tab w:val="center" w:pos="4153"/>
        <w:tab w:val="right" w:pos="8306"/>
      </w:tabs>
      <w:snapToGrid w:val="0"/>
      <w:jc w:val="left"/>
    </w:pPr>
    <w:rPr>
      <w:sz w:val="18"/>
      <w:szCs w:val="18"/>
    </w:rPr>
  </w:style>
  <w:style w:type="paragraph" w:styleId="25">
    <w:name w:val="header"/>
    <w:basedOn w:val="1"/>
    <w:link w:val="54"/>
    <w:qFormat/>
    <w:uiPriority w:val="0"/>
    <w:pPr>
      <w:pBdr>
        <w:bottom w:val="single" w:color="auto" w:sz="6" w:space="1"/>
      </w:pBdr>
      <w:tabs>
        <w:tab w:val="center" w:pos="4153"/>
        <w:tab w:val="right" w:pos="8306"/>
      </w:tabs>
      <w:snapToGrid w:val="0"/>
      <w:jc w:val="center"/>
    </w:pPr>
    <w:rPr>
      <w:sz w:val="18"/>
      <w:szCs w:val="18"/>
    </w:rPr>
  </w:style>
  <w:style w:type="paragraph" w:styleId="26">
    <w:name w:val="toc 1"/>
    <w:basedOn w:val="1"/>
    <w:next w:val="1"/>
    <w:unhideWhenUsed/>
    <w:qFormat/>
    <w:uiPriority w:val="39"/>
    <w:pPr>
      <w:spacing w:before="120"/>
      <w:jc w:val="left"/>
    </w:pPr>
    <w:rPr>
      <w:rFonts w:ascii="等线" w:eastAsia="等线"/>
      <w:b/>
      <w:bCs/>
    </w:rPr>
  </w:style>
  <w:style w:type="paragraph" w:styleId="27">
    <w:name w:val="toc 4"/>
    <w:basedOn w:val="1"/>
    <w:next w:val="1"/>
    <w:qFormat/>
    <w:uiPriority w:val="0"/>
    <w:pPr>
      <w:ind w:left="720"/>
      <w:jc w:val="left"/>
    </w:pPr>
    <w:rPr>
      <w:rFonts w:ascii="等线" w:eastAsia="等线"/>
      <w:sz w:val="20"/>
      <w:szCs w:val="20"/>
    </w:rPr>
  </w:style>
  <w:style w:type="paragraph" w:styleId="28">
    <w:name w:val="index heading"/>
    <w:basedOn w:val="1"/>
    <w:next w:val="29"/>
    <w:qFormat/>
    <w:uiPriority w:val="0"/>
  </w:style>
  <w:style w:type="paragraph" w:styleId="29">
    <w:name w:val="index 1"/>
    <w:basedOn w:val="1"/>
    <w:next w:val="1"/>
    <w:qFormat/>
    <w:uiPriority w:val="0"/>
    <w:pPr>
      <w:ind w:left="210" w:hanging="210"/>
    </w:pPr>
  </w:style>
  <w:style w:type="paragraph" w:styleId="30">
    <w:name w:val="footnote text"/>
    <w:basedOn w:val="1"/>
    <w:link w:val="47"/>
    <w:qFormat/>
    <w:uiPriority w:val="0"/>
    <w:pPr>
      <w:snapToGrid w:val="0"/>
      <w:jc w:val="left"/>
    </w:pPr>
    <w:rPr>
      <w:sz w:val="18"/>
      <w:szCs w:val="18"/>
    </w:rPr>
  </w:style>
  <w:style w:type="paragraph" w:styleId="31">
    <w:name w:val="toc 6"/>
    <w:basedOn w:val="1"/>
    <w:next w:val="1"/>
    <w:qFormat/>
    <w:uiPriority w:val="0"/>
    <w:pPr>
      <w:ind w:left="1200"/>
      <w:jc w:val="left"/>
    </w:pPr>
    <w:rPr>
      <w:rFonts w:ascii="等线" w:eastAsia="等线"/>
      <w:sz w:val="20"/>
      <w:szCs w:val="20"/>
    </w:rPr>
  </w:style>
  <w:style w:type="paragraph" w:styleId="32">
    <w:name w:val="index 7"/>
    <w:basedOn w:val="1"/>
    <w:next w:val="1"/>
    <w:qFormat/>
    <w:uiPriority w:val="0"/>
    <w:pPr>
      <w:ind w:left="1470" w:hanging="210"/>
    </w:pPr>
  </w:style>
  <w:style w:type="paragraph" w:styleId="33">
    <w:name w:val="index 9"/>
    <w:basedOn w:val="1"/>
    <w:next w:val="1"/>
    <w:qFormat/>
    <w:uiPriority w:val="0"/>
    <w:pPr>
      <w:ind w:left="1890" w:hanging="210"/>
    </w:pPr>
  </w:style>
  <w:style w:type="paragraph" w:styleId="34">
    <w:name w:val="table of figures"/>
    <w:basedOn w:val="1"/>
    <w:next w:val="1"/>
    <w:qFormat/>
    <w:uiPriority w:val="0"/>
    <w:pPr>
      <w:ind w:left="420" w:hanging="420"/>
    </w:pPr>
  </w:style>
  <w:style w:type="paragraph" w:styleId="35">
    <w:name w:val="toc 2"/>
    <w:basedOn w:val="1"/>
    <w:next w:val="1"/>
    <w:unhideWhenUsed/>
    <w:qFormat/>
    <w:uiPriority w:val="39"/>
    <w:pPr>
      <w:ind w:left="240"/>
      <w:jc w:val="left"/>
    </w:pPr>
    <w:rPr>
      <w:rFonts w:ascii="等线" w:eastAsia="等线"/>
      <w:b/>
      <w:bCs/>
      <w:sz w:val="22"/>
      <w:szCs w:val="22"/>
    </w:rPr>
  </w:style>
  <w:style w:type="paragraph" w:styleId="36">
    <w:name w:val="toc 9"/>
    <w:basedOn w:val="1"/>
    <w:next w:val="1"/>
    <w:qFormat/>
    <w:uiPriority w:val="0"/>
    <w:pPr>
      <w:ind w:left="1920"/>
      <w:jc w:val="left"/>
    </w:pPr>
    <w:rPr>
      <w:rFonts w:ascii="等线" w:eastAsia="等线"/>
      <w:sz w:val="20"/>
      <w:szCs w:val="20"/>
    </w:rPr>
  </w:style>
  <w:style w:type="paragraph" w:styleId="37">
    <w:name w:val="Normal (Web)"/>
    <w:basedOn w:val="1"/>
    <w:unhideWhenUsed/>
    <w:qFormat/>
    <w:uiPriority w:val="99"/>
    <w:pPr>
      <w:widowControl/>
      <w:spacing w:before="100" w:beforeAutospacing="1" w:after="100" w:afterAutospacing="1" w:line="240" w:lineRule="auto"/>
      <w:ind w:firstLine="0" w:firstLineChars="0"/>
      <w:jc w:val="left"/>
    </w:pPr>
    <w:rPr>
      <w:rFonts w:ascii="宋体" w:hAnsi="宋体" w:cs="宋体"/>
      <w:kern w:val="0"/>
    </w:rPr>
  </w:style>
  <w:style w:type="paragraph" w:styleId="38">
    <w:name w:val="index 2"/>
    <w:basedOn w:val="1"/>
    <w:next w:val="1"/>
    <w:qFormat/>
    <w:uiPriority w:val="0"/>
    <w:pPr>
      <w:ind w:left="420" w:hanging="210"/>
    </w:pPr>
  </w:style>
  <w:style w:type="paragraph" w:styleId="39">
    <w:name w:val="annotation subject"/>
    <w:basedOn w:val="10"/>
    <w:next w:val="10"/>
    <w:link w:val="60"/>
    <w:qFormat/>
    <w:uiPriority w:val="0"/>
    <w:rPr>
      <w:b/>
      <w:bCs/>
    </w:rPr>
  </w:style>
  <w:style w:type="table" w:styleId="41">
    <w:name w:val="Table Grid"/>
    <w:basedOn w:val="40"/>
    <w:qFormat/>
    <w:uiPriority w:val="0"/>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43">
    <w:name w:val="page number"/>
    <w:basedOn w:val="42"/>
    <w:qFormat/>
    <w:uiPriority w:val="0"/>
  </w:style>
  <w:style w:type="character" w:styleId="44">
    <w:name w:val="Hyperlink"/>
    <w:unhideWhenUsed/>
    <w:qFormat/>
    <w:uiPriority w:val="99"/>
    <w:rPr>
      <w:color w:val="0563C1"/>
      <w:u w:val="single"/>
    </w:rPr>
  </w:style>
  <w:style w:type="character" w:styleId="45">
    <w:name w:val="annotation reference"/>
    <w:qFormat/>
    <w:uiPriority w:val="0"/>
    <w:rPr>
      <w:sz w:val="21"/>
      <w:szCs w:val="21"/>
    </w:rPr>
  </w:style>
  <w:style w:type="character" w:styleId="46">
    <w:name w:val="footnote reference"/>
    <w:qFormat/>
    <w:uiPriority w:val="0"/>
    <w:rPr>
      <w:vertAlign w:val="superscript"/>
    </w:rPr>
  </w:style>
  <w:style w:type="character" w:customStyle="1" w:styleId="47">
    <w:name w:val="脚注文本 字符"/>
    <w:link w:val="30"/>
    <w:qFormat/>
    <w:uiPriority w:val="0"/>
    <w:rPr>
      <w:kern w:val="2"/>
      <w:sz w:val="18"/>
      <w:szCs w:val="18"/>
    </w:rPr>
  </w:style>
  <w:style w:type="character" w:customStyle="1" w:styleId="48">
    <w:name w:val="font41"/>
    <w:qFormat/>
    <w:uiPriority w:val="0"/>
    <w:rPr>
      <w:rFonts w:hint="eastAsia" w:ascii="宋体" w:hAnsi="宋体" w:eastAsia="宋体" w:cs="宋体"/>
      <w:color w:val="000000"/>
      <w:sz w:val="16"/>
      <w:szCs w:val="16"/>
      <w:u w:val="none"/>
    </w:rPr>
  </w:style>
  <w:style w:type="character" w:customStyle="1" w:styleId="49">
    <w:name w:val="标题 1 字符"/>
    <w:link w:val="2"/>
    <w:qFormat/>
    <w:uiPriority w:val="0"/>
    <w:rPr>
      <w:rFonts w:ascii="宋体" w:hAnsi="宋体" w:eastAsia="黑体"/>
      <w:b/>
      <w:kern w:val="2"/>
      <w:sz w:val="28"/>
      <w:szCs w:val="44"/>
    </w:rPr>
  </w:style>
  <w:style w:type="character" w:customStyle="1" w:styleId="50">
    <w:name w:val="标题 3 字符"/>
    <w:link w:val="4"/>
    <w:semiHidden/>
    <w:qFormat/>
    <w:uiPriority w:val="0"/>
    <w:rPr>
      <w:b/>
      <w:bCs/>
      <w:kern w:val="2"/>
      <w:sz w:val="32"/>
      <w:szCs w:val="32"/>
    </w:rPr>
  </w:style>
  <w:style w:type="character" w:customStyle="1" w:styleId="51">
    <w:name w:val="文档结构图 字符"/>
    <w:link w:val="9"/>
    <w:qFormat/>
    <w:uiPriority w:val="0"/>
    <w:rPr>
      <w:kern w:val="2"/>
      <w:sz w:val="24"/>
      <w:szCs w:val="24"/>
    </w:rPr>
  </w:style>
  <w:style w:type="character" w:customStyle="1" w:styleId="52">
    <w:name w:val="font01"/>
    <w:qFormat/>
    <w:uiPriority w:val="0"/>
    <w:rPr>
      <w:rFonts w:ascii="Wingdings 2" w:hAnsi="Wingdings 2" w:eastAsia="Wingdings 2" w:cs="Wingdings 2"/>
      <w:color w:val="000000"/>
      <w:sz w:val="16"/>
      <w:szCs w:val="16"/>
      <w:u w:val="none"/>
    </w:rPr>
  </w:style>
  <w:style w:type="character" w:customStyle="1" w:styleId="53">
    <w:name w:val="font11"/>
    <w:qFormat/>
    <w:uiPriority w:val="0"/>
    <w:rPr>
      <w:rFonts w:hint="eastAsia" w:ascii="宋体" w:hAnsi="宋体" w:eastAsia="宋体" w:cs="宋体"/>
      <w:color w:val="000000"/>
      <w:sz w:val="16"/>
      <w:szCs w:val="16"/>
      <w:u w:val="none"/>
    </w:rPr>
  </w:style>
  <w:style w:type="character" w:customStyle="1" w:styleId="54">
    <w:name w:val="页眉 字符"/>
    <w:link w:val="25"/>
    <w:qFormat/>
    <w:uiPriority w:val="0"/>
    <w:rPr>
      <w:kern w:val="2"/>
      <w:sz w:val="18"/>
      <w:szCs w:val="18"/>
    </w:rPr>
  </w:style>
  <w:style w:type="character" w:customStyle="1" w:styleId="55">
    <w:name w:val="标题 2 字符"/>
    <w:link w:val="3"/>
    <w:semiHidden/>
    <w:qFormat/>
    <w:uiPriority w:val="0"/>
    <w:rPr>
      <w:rFonts w:ascii="等线 Light" w:hAnsi="等线 Light" w:eastAsia="等线 Light" w:cs="Times New Roman"/>
      <w:b/>
      <w:bCs/>
      <w:kern w:val="2"/>
      <w:sz w:val="32"/>
      <w:szCs w:val="32"/>
    </w:rPr>
  </w:style>
  <w:style w:type="character" w:customStyle="1" w:styleId="56">
    <w:name w:val="批注框文本 字符"/>
    <w:link w:val="23"/>
    <w:qFormat/>
    <w:uiPriority w:val="0"/>
    <w:rPr>
      <w:kern w:val="2"/>
      <w:sz w:val="18"/>
      <w:szCs w:val="18"/>
    </w:rPr>
  </w:style>
  <w:style w:type="character" w:customStyle="1" w:styleId="57">
    <w:name w:val="批注文字 字符"/>
    <w:link w:val="10"/>
    <w:qFormat/>
    <w:uiPriority w:val="0"/>
    <w:rPr>
      <w:kern w:val="2"/>
      <w:sz w:val="24"/>
      <w:szCs w:val="24"/>
    </w:rPr>
  </w:style>
  <w:style w:type="character" w:customStyle="1" w:styleId="58">
    <w:name w:val="font21"/>
    <w:qFormat/>
    <w:uiPriority w:val="0"/>
    <w:rPr>
      <w:rFonts w:hint="eastAsia" w:ascii="宋体" w:hAnsi="宋体" w:eastAsia="宋体" w:cs="宋体"/>
      <w:color w:val="000000"/>
      <w:sz w:val="16"/>
      <w:szCs w:val="16"/>
      <w:u w:val="none"/>
    </w:rPr>
  </w:style>
  <w:style w:type="character" w:customStyle="1" w:styleId="59">
    <w:name w:val="标题 4 字符"/>
    <w:link w:val="5"/>
    <w:qFormat/>
    <w:uiPriority w:val="0"/>
    <w:rPr>
      <w:rFonts w:hint="eastAsia" w:ascii="微软雅黑" w:hAnsi="微软雅黑" w:eastAsia="微软雅黑" w:cs="微软雅黑"/>
      <w:color w:val="000000"/>
      <w:sz w:val="30"/>
    </w:rPr>
  </w:style>
  <w:style w:type="character" w:customStyle="1" w:styleId="60">
    <w:name w:val="批注主题 字符"/>
    <w:link w:val="39"/>
    <w:qFormat/>
    <w:uiPriority w:val="0"/>
    <w:rPr>
      <w:b/>
      <w:bCs/>
      <w:kern w:val="2"/>
      <w:sz w:val="24"/>
      <w:szCs w:val="24"/>
    </w:rPr>
  </w:style>
  <w:style w:type="paragraph" w:customStyle="1" w:styleId="61">
    <w:name w:val="Char"/>
    <w:basedOn w:val="1"/>
    <w:qFormat/>
    <w:uiPriority w:val="0"/>
    <w:pPr>
      <w:widowControl/>
      <w:spacing w:after="160" w:line="240" w:lineRule="exact"/>
      <w:jc w:val="left"/>
    </w:pPr>
    <w:rPr>
      <w:rFonts w:ascii="Arial" w:hAnsi="Arial" w:eastAsia="Times New Roman" w:cs="Verdana"/>
      <w:b/>
      <w:kern w:val="0"/>
      <w:lang w:eastAsia="en-US"/>
    </w:rPr>
  </w:style>
  <w:style w:type="paragraph" w:customStyle="1" w:styleId="62">
    <w:name w:val="Char Char Char Char Char Char Char Char Char Char Char Char Char"/>
    <w:basedOn w:val="1"/>
    <w:next w:val="1"/>
    <w:qFormat/>
    <w:uiPriority w:val="0"/>
    <w:pPr>
      <w:ind w:firstLine="200"/>
    </w:pPr>
  </w:style>
  <w:style w:type="paragraph" w:customStyle="1" w:styleId="63">
    <w:name w:val="目录标题"/>
    <w:basedOn w:val="2"/>
    <w:next w:val="1"/>
    <w:qFormat/>
    <w:uiPriority w:val="39"/>
    <w:pPr>
      <w:widowControl/>
      <w:spacing w:before="480" w:after="0" w:line="276" w:lineRule="auto"/>
      <w:outlineLvl w:val="9"/>
    </w:pPr>
    <w:rPr>
      <w:rFonts w:ascii="等线 Light" w:hAnsi="等线 Light" w:eastAsia="等线 Light"/>
      <w:color w:val="2F5496"/>
      <w:kern w:val="0"/>
      <w:szCs w:val="28"/>
    </w:rPr>
  </w:style>
  <w:style w:type="paragraph" w:customStyle="1" w:styleId="64">
    <w:name w:val="标题②"/>
    <w:basedOn w:val="3"/>
    <w:next w:val="3"/>
    <w:qFormat/>
    <w:uiPriority w:val="0"/>
    <w:pPr>
      <w:widowControl/>
      <w:spacing w:before="50" w:beforeLines="50" w:after="50" w:afterLines="50" w:line="240" w:lineRule="auto"/>
      <w:jc w:val="left"/>
    </w:pPr>
    <w:rPr>
      <w:rFonts w:ascii="楷体_GB2312" w:hAnsi="楷体_GB2312" w:eastAsia="楷体"/>
      <w:color w:val="000000"/>
      <w:sz w:val="24"/>
    </w:rPr>
  </w:style>
  <w:style w:type="paragraph" w:customStyle="1" w:styleId="65">
    <w:name w:val="表格"/>
    <w:basedOn w:val="1"/>
    <w:next w:val="1"/>
    <w:qFormat/>
    <w:uiPriority w:val="0"/>
    <w:pPr>
      <w:adjustRightInd w:val="0"/>
      <w:snapToGrid w:val="0"/>
      <w:spacing w:line="180" w:lineRule="exact"/>
      <w:ind w:firstLine="0" w:firstLineChars="0"/>
    </w:pPr>
    <w:rPr>
      <w:sz w:val="13"/>
    </w:rPr>
  </w:style>
  <w:style w:type="paragraph" w:customStyle="1" w:styleId="66">
    <w:name w:val="标题2"/>
    <w:basedOn w:val="3"/>
    <w:next w:val="3"/>
    <w:qFormat/>
    <w:uiPriority w:val="0"/>
    <w:pPr>
      <w:spacing w:before="50" w:beforeLines="50" w:after="50" w:afterLines="50" w:line="240" w:lineRule="auto"/>
      <w:jc w:val="left"/>
    </w:pPr>
    <w:rPr>
      <w:rFonts w:ascii="楷体_GB2312" w:hAnsi="楷体_GB2312" w:eastAsia="楷体"/>
      <w:color w:val="000000"/>
      <w:sz w:val="24"/>
    </w:rPr>
  </w:style>
  <w:style w:type="paragraph" w:customStyle="1" w:styleId="67">
    <w:name w:val="默认段落字体 Para Char Char Char Char"/>
    <w:basedOn w:val="1"/>
    <w:qFormat/>
    <w:uiPriority w:val="0"/>
    <w:rPr>
      <w:szCs w:val="20"/>
    </w:rPr>
  </w:style>
  <w:style w:type="paragraph" w:customStyle="1" w:styleId="68">
    <w:name w:val="标题3"/>
    <w:basedOn w:val="4"/>
    <w:next w:val="4"/>
    <w:qFormat/>
    <w:uiPriority w:val="0"/>
    <w:pPr>
      <w:spacing w:before="100" w:after="100" w:line="240" w:lineRule="auto"/>
      <w:jc w:val="left"/>
    </w:pPr>
    <w:rPr>
      <w:rFonts w:eastAsia="楷体"/>
      <w:b w:val="0"/>
      <w:sz w:val="24"/>
    </w:rPr>
  </w:style>
  <w:style w:type="paragraph" w:customStyle="1" w:styleId="69">
    <w:name w:val="Char4 Char Char Char"/>
    <w:basedOn w:val="1"/>
    <w:qFormat/>
    <w:uiPriority w:val="0"/>
    <w:pPr>
      <w:adjustRightInd w:val="0"/>
      <w:snapToGrid w:val="0"/>
      <w:ind w:firstLine="200"/>
    </w:pPr>
  </w:style>
  <w:style w:type="paragraph" w:customStyle="1" w:styleId="70">
    <w:name w:val="Char Char Char Char Char Char Char Char Char"/>
    <w:basedOn w:val="1"/>
    <w:qFormat/>
    <w:uiPriority w:val="0"/>
    <w:pPr>
      <w:widowControl/>
      <w:spacing w:after="160" w:line="240" w:lineRule="exact"/>
      <w:jc w:val="left"/>
    </w:pPr>
    <w:rPr>
      <w:rFonts w:ascii="Verdana" w:hAnsi="Verdana" w:eastAsia="仿宋_GB2312"/>
      <w:kern w:val="0"/>
      <w:sz w:val="30"/>
      <w:szCs w:val="30"/>
      <w:lang w:eastAsia="en-US"/>
    </w:rPr>
  </w:style>
  <w:style w:type="paragraph" w:customStyle="1" w:styleId="71">
    <w:name w:val="四号正文"/>
    <w:basedOn w:val="1"/>
    <w:qFormat/>
    <w:uiPriority w:val="0"/>
    <w:pPr>
      <w:spacing w:line="360" w:lineRule="auto"/>
    </w:pPr>
    <w:rPr>
      <w:rFonts w:ascii="??" w:hAnsi="??" w:eastAsia="宋体"/>
      <w:color w:val="000000"/>
      <w:kern w:val="0"/>
      <w:sz w:val="28"/>
      <w:szCs w:val="21"/>
    </w:rPr>
  </w:style>
  <w:style w:type="paragraph" w:customStyle="1" w:styleId="72">
    <w:name w:val="Normal (Web)"/>
    <w:basedOn w:val="1"/>
    <w:qFormat/>
    <w:uiPriority w:val="0"/>
    <w:pPr>
      <w:widowControl/>
      <w:spacing w:before="100" w:beforeLines="0" w:beforeAutospacing="1" w:after="100" w:afterLines="0" w:afterAutospacing="1"/>
      <w:jc w:val="left"/>
    </w:pPr>
    <w:rPr>
      <w:rFonts w:ascii="宋体" w:hAnsi="宋体" w:eastAsia="宋体" w:cs="宋体"/>
      <w:kern w:val="0"/>
      <w:sz w:val="24"/>
    </w:rPr>
  </w:style>
  <w:style w:type="paragraph" w:customStyle="1" w:styleId="73">
    <w:name w:val="List Paragraph"/>
    <w:basedOn w:val="1"/>
    <w:qFormat/>
    <w:uiPriority w:val="0"/>
    <w:pPr>
      <w:ind w:firstLine="420" w:firstLineChars="200"/>
    </w:pPr>
    <w:rPr>
      <w:rFonts w:ascii="Calibri" w:hAnsi="Calibri"/>
      <w:szCs w:val="22"/>
    </w:rPr>
  </w:style>
  <w:style w:type="character" w:customStyle="1" w:styleId="74">
    <w:name w:val="font31"/>
    <w:basedOn w:val="42"/>
    <w:qFormat/>
    <w:uiPriority w:val="0"/>
    <w:rPr>
      <w:rFonts w:hint="eastAsia" w:ascii="仿宋_GB2312" w:eastAsia="仿宋_GB2312" w:cs="仿宋_GB2312"/>
      <w:b/>
      <w:bCs/>
      <w:color w:val="000000"/>
      <w:sz w:val="21"/>
      <w:szCs w:val="21"/>
      <w:u w:val="none"/>
    </w:rPr>
  </w:style>
  <w:style w:type="character" w:customStyle="1" w:styleId="75">
    <w:name w:val="font61"/>
    <w:basedOn w:val="42"/>
    <w:qFormat/>
    <w:uiPriority w:val="0"/>
    <w:rPr>
      <w:rFonts w:hint="default" w:ascii="Arial" w:hAnsi="Arial" w:cs="Arial"/>
      <w:color w:val="000000"/>
      <w:sz w:val="20"/>
      <w:szCs w:val="20"/>
      <w:u w:val="none"/>
    </w:rPr>
  </w:style>
  <w:style w:type="character" w:customStyle="1" w:styleId="76">
    <w:name w:val="Char Char3"/>
    <w:qFormat/>
    <w:uiPriority w:val="0"/>
    <w:rPr>
      <w:rFonts w:ascii="Times New Roman" w:hAnsi="Times New Roman" w:eastAsia="宋体"/>
      <w:kern w:val="2"/>
      <w:sz w:val="24"/>
      <w:lang w:val="en-US" w:eastAsia="zh-CN"/>
    </w:rPr>
  </w:style>
</w:styles>
</file>

<file path=word/_rels/document.xml.rels><?xml version="1.0" encoding="UTF-8" standalone="yes"?>
<Relationships xmlns="http://schemas.openxmlformats.org/package/2006/relationships"><Relationship Id="rId9" Type="http://schemas.openxmlformats.org/officeDocument/2006/relationships/footer" Target="footer3.xml"/><Relationship Id="rId8" Type="http://schemas.openxmlformats.org/officeDocument/2006/relationships/header" Target="header2.xml"/><Relationship Id="rId7" Type="http://schemas.openxmlformats.org/officeDocument/2006/relationships/footer" Target="footer2.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2" Type="http://schemas.openxmlformats.org/officeDocument/2006/relationships/fontTable" Target="fontTable.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7.png"/><Relationship Id="rId18" Type="http://schemas.openxmlformats.org/officeDocument/2006/relationships/image" Target="media/image6.png"/><Relationship Id="rId17" Type="http://schemas.openxmlformats.org/officeDocument/2006/relationships/image" Target="media/image5.png"/><Relationship Id="rId16" Type="http://schemas.openxmlformats.org/officeDocument/2006/relationships/image" Target="media/image4.png"/><Relationship Id="rId15" Type="http://schemas.openxmlformats.org/officeDocument/2006/relationships/image" Target="media/image3.png"/><Relationship Id="rId14" Type="http://schemas.openxmlformats.org/officeDocument/2006/relationships/image" Target="media/image2.jpeg"/><Relationship Id="rId13" Type="http://schemas.openxmlformats.org/officeDocument/2006/relationships/image" Target="media/image1.jpeg"/><Relationship Id="rId12" Type="http://schemas.openxmlformats.org/officeDocument/2006/relationships/theme" Target="theme/theme1.xml"/><Relationship Id="rId11" Type="http://schemas.openxmlformats.org/officeDocument/2006/relationships/footer" Target="footer5.xml"/><Relationship Id="rId10" Type="http://schemas.openxmlformats.org/officeDocument/2006/relationships/footer" Target="footer4.xml"/><Relationship Id="rId1" Type="http://schemas.openxmlformats.org/officeDocument/2006/relationships/styles" Target="styles.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7" Type="http://schemas.openxmlformats.org/officeDocument/2006/relationships/font" Target="fonts/font7.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等线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等线"/>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ectPr/>
    <customSectPr/>
    <customSectPr/>
    <customSectPr/>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Pages>35</Pages>
  <Words>13384</Words>
  <Characters>15725</Characters>
  <Lines>100</Lines>
  <Paragraphs>28</Paragraphs>
  <TotalTime>1</TotalTime>
  <ScaleCrop>false</ScaleCrop>
  <LinksUpToDate>false</LinksUpToDate>
  <CharactersWithSpaces>15893</CharactersWithSpaces>
  <Application>WPS Office_12.1.0.15990_F1E327BC-269C-435d-A152-05C5408002CA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2020-11-02T16:17:00Z</dcterms:created>
  <dc:creator>friend78</dc:creator>
  <cp:lastModifiedBy>万里</cp:lastModifiedBy>
  <cp:lastPrinted>2023-01-06T03:13:00Z</cp:lastPrinted>
  <dcterms:modified xsi:type="dcterms:W3CDTF">2023-12-14T13:00:08Z</dcterms:modified>
  <dc:title>项目绩效评价报告</dc:title>
  <cp:revision>12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2052-12.1.0.15990</vt:lpwstr>
  </property>
  <property fmtid="{D5CDD505-2E9C-101B-9397-08002B2CF9AE}" pid="3" name="ICV">
    <vt:lpwstr>BB594A54D8194DF0B6B72938FDD2228C</vt:lpwstr>
  </property>
</Properties>
</file>