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ind w:left="0" w:leftChars="0" w:firstLine="0" w:firstLineChars="0"/>
        <w:jc w:val="both"/>
        <w:rPr>
          <w:rFonts w:ascii="Times New Roman" w:hAnsi="Times New Roman" w:cs="Times New Roman"/>
          <w:sz w:val="20"/>
        </w:rPr>
      </w:pPr>
      <w:bookmarkStart w:id="99" w:name="_GoBack"/>
      <w:bookmarkEnd w:id="99"/>
      <w:r>
        <mc:AlternateContent>
          <mc:Choice Requires="wps">
            <w:drawing>
              <wp:anchor distT="0" distB="0" distL="114300" distR="114300" simplePos="0" relativeHeight="251659264" behindDoc="0" locked="0" layoutInCell="1" allowOverlap="1">
                <wp:simplePos x="0" y="0"/>
                <wp:positionH relativeFrom="column">
                  <wp:posOffset>1178560</wp:posOffset>
                </wp:positionH>
                <wp:positionV relativeFrom="paragraph">
                  <wp:posOffset>-43180</wp:posOffset>
                </wp:positionV>
                <wp:extent cx="540385" cy="1064260"/>
                <wp:effectExtent l="0" t="0" r="0" b="0"/>
                <wp:wrapNone/>
                <wp:docPr id="8" name="矩形 8"/>
                <wp:cNvGraphicFramePr/>
                <a:graphic xmlns:a="http://schemas.openxmlformats.org/drawingml/2006/main">
                  <a:graphicData uri="http://schemas.microsoft.com/office/word/2010/wordprocessingShape">
                    <wps:wsp>
                      <wps:cNvSpPr/>
                      <wps:spPr>
                        <a:xfrm flipH="1">
                          <a:off x="0" y="0"/>
                          <a:ext cx="540385" cy="1064260"/>
                        </a:xfrm>
                        <a:prstGeom prst="rect">
                          <a:avLst/>
                        </a:prstGeom>
                        <a:noFill/>
                        <a:ln>
                          <a:noFill/>
                        </a:ln>
                      </wps:spPr>
                      <wps:txbx>
                        <w:txbxContent>
                          <w:p>
                            <w:pPr>
                              <w:kinsoku w:val="0"/>
                              <w:overflowPunct w:val="0"/>
                              <w:ind w:firstLine="640"/>
                              <w:textAlignment w:val="baseline"/>
                              <w:rPr>
                                <w:rFonts w:ascii="Calibri" w:hAnsi="Calibri" w:cs="华康行楷体 W5"/>
                                <w:color w:val="000000"/>
                                <w:kern w:val="24"/>
                                <w:sz w:val="32"/>
                                <w:szCs w:val="32"/>
                              </w:rPr>
                            </w:pPr>
                            <w:r>
                              <w:rPr>
                                <w:rFonts w:ascii="Calibri" w:hAnsi="Calibri" w:cs="华康行楷体 W5"/>
                                <w:color w:val="000000"/>
                                <w:kern w:val="24"/>
                                <w:sz w:val="32"/>
                                <w:szCs w:val="32"/>
                              </w:rPr>
                              <w:t xml:space="preserve"> </w:t>
                            </w:r>
                            <w:r>
                              <w:rPr>
                                <w:rFonts w:hint="eastAsia" w:ascii="Calibri" w:cs="华康行楷体 W5"/>
                                <w:b/>
                                <w:bCs/>
                                <w:color w:val="000000"/>
                                <w:kern w:val="24"/>
                                <w:sz w:val="44"/>
                                <w:szCs w:val="44"/>
                              </w:rPr>
                              <w:t>融  策</w:t>
                            </w:r>
                          </w:p>
                        </w:txbxContent>
                      </wps:txbx>
                      <wps:bodyPr anchor="ctr" anchorCtr="0" upright="1">
                        <a:spAutoFit/>
                      </wps:bodyPr>
                    </wps:wsp>
                  </a:graphicData>
                </a:graphic>
              </wp:anchor>
            </w:drawing>
          </mc:Choice>
          <mc:Fallback>
            <w:pict>
              <v:rect id="_x0000_s1026" o:spid="_x0000_s1026" o:spt="1" style="position:absolute;left:0pt;flip:x;margin-left:92.8pt;margin-top:-3.4pt;height:83.8pt;width:42.55pt;z-index:251659264;v-text-anchor:middle;mso-width-relative:page;mso-height-relative:page;" filled="f" stroked="f" coordsize="21600,21600" o:gfxdata="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WAAAAZHJzL1BLAQIUABQA&#10;AAAIAIdO4kCC5HZm1gAAAAoBAAAPAAAAAAAAAAEAIAAAADgAAABkcnMvZG93bnJldi54bWxQSwEC&#10;FAAUAAAACACHTuJAGEKVlacBAAAyAwAADgAAAAAAAAABACAAAAA7AQAAZHJzL2Uyb0RvYy54bWxQ&#10;SwUGAAAAAAYABgBZAQAAVAUAAAAA&#10;">
                <v:fill on="f" focussize="0,0"/>
                <v:stroke on="f"/>
                <v:imagedata o:title=""/>
                <o:lock v:ext="edit" aspectratio="f"/>
                <v:textbox style="mso-fit-shape-to-text:t;">
                  <w:txbxContent>
                    <w:p>
                      <w:pPr>
                        <w:kinsoku w:val="0"/>
                        <w:overflowPunct w:val="0"/>
                        <w:ind w:firstLine="640"/>
                        <w:textAlignment w:val="baseline"/>
                        <w:rPr>
                          <w:rFonts w:ascii="Calibri" w:hAnsi="Calibri" w:cs="华康行楷体 W5"/>
                          <w:color w:val="000000"/>
                          <w:kern w:val="24"/>
                          <w:sz w:val="32"/>
                          <w:szCs w:val="32"/>
                        </w:rPr>
                      </w:pPr>
                      <w:r>
                        <w:rPr>
                          <w:rFonts w:ascii="Calibri" w:hAnsi="Calibri" w:cs="华康行楷体 W5"/>
                          <w:color w:val="000000"/>
                          <w:kern w:val="24"/>
                          <w:sz w:val="32"/>
                          <w:szCs w:val="32"/>
                        </w:rPr>
                        <w:t xml:space="preserve"> </w:t>
                      </w:r>
                      <w:r>
                        <w:rPr>
                          <w:rFonts w:hint="eastAsia" w:ascii="Calibri" w:cs="华康行楷体 W5"/>
                          <w:b/>
                          <w:bCs/>
                          <w:color w:val="000000"/>
                          <w:kern w:val="24"/>
                          <w:sz w:val="44"/>
                          <w:szCs w:val="44"/>
                        </w:rPr>
                        <w:t>融  策</w:t>
                      </w:r>
                    </w:p>
                  </w:txbxContent>
                </v:textbox>
              </v:rect>
            </w:pict>
          </mc:Fallback>
        </mc:AlternateContent>
      </w:r>
      <w:r>
        <w:drawing>
          <wp:inline distT="0" distB="0" distL="114300" distR="114300">
            <wp:extent cx="1209040" cy="1215390"/>
            <wp:effectExtent l="0" t="0" r="10160" b="3810"/>
            <wp:docPr id="10" name="图片 1" descr="40298525532955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402985255329551457"/>
                    <pic:cNvPicPr>
                      <a:picLocks noChangeAspect="1"/>
                    </pic:cNvPicPr>
                  </pic:nvPicPr>
                  <pic:blipFill>
                    <a:blip r:embed="rId12"/>
                    <a:stretch>
                      <a:fillRect/>
                    </a:stretch>
                  </pic:blipFill>
                  <pic:spPr>
                    <a:xfrm>
                      <a:off x="0" y="0"/>
                      <a:ext cx="1209040" cy="1215390"/>
                    </a:xfrm>
                    <a:prstGeom prst="rect">
                      <a:avLst/>
                    </a:prstGeom>
                    <a:solidFill>
                      <a:srgbClr val="FFFFFF"/>
                    </a:solidFill>
                    <a:ln>
                      <a:noFill/>
                    </a:ln>
                  </pic:spPr>
                </pic:pic>
              </a:graphicData>
            </a:graphic>
          </wp:inline>
        </w:drawing>
      </w:r>
    </w:p>
    <w:p>
      <w:pPr>
        <w:widowControl/>
        <w:spacing w:after="172" w:line="259" w:lineRule="auto"/>
        <w:ind w:firstLine="0" w:firstLineChars="0"/>
        <w:jc w:val="both"/>
        <w:rPr>
          <w:rFonts w:hint="default" w:ascii="Times New Roman" w:hAnsi="Times New Roman" w:cs="Times New Roman"/>
          <w:b/>
          <w:bCs/>
          <w:sz w:val="32"/>
          <w:szCs w:val="32"/>
          <w:lang w:eastAsia="zh-CN"/>
        </w:rPr>
      </w:pPr>
    </w:p>
    <w:p>
      <w:pPr>
        <w:pStyle w:val="34"/>
        <w:rPr>
          <w:rFonts w:hint="default" w:ascii="Times New Roman" w:hAnsi="Times New Roman" w:cs="Times New Roman"/>
          <w:b/>
          <w:bCs/>
          <w:sz w:val="32"/>
          <w:szCs w:val="32"/>
          <w:lang w:eastAsia="zh-CN"/>
        </w:rPr>
      </w:pPr>
    </w:p>
    <w:p>
      <w:pPr>
        <w:rPr>
          <w:rFonts w:hint="default" w:ascii="Times New Roman" w:hAnsi="Times New Roman" w:cs="Times New Roman"/>
          <w:b/>
          <w:bCs/>
          <w:sz w:val="32"/>
          <w:szCs w:val="32"/>
          <w:lang w:eastAsia="zh-CN"/>
        </w:rPr>
      </w:pPr>
    </w:p>
    <w:p>
      <w:pPr>
        <w:pStyle w:val="12"/>
        <w:rPr>
          <w:rFonts w:hint="default" w:ascii="Times New Roman" w:hAnsi="Times New Roman" w:cs="Times New Roman"/>
          <w:b/>
          <w:bCs/>
          <w:sz w:val="32"/>
          <w:szCs w:val="32"/>
          <w:lang w:eastAsia="zh-CN"/>
        </w:rPr>
      </w:pPr>
    </w:p>
    <w:p>
      <w:pPr>
        <w:rPr>
          <w:rFonts w:hint="default"/>
          <w:lang w:eastAsia="zh-CN"/>
        </w:rPr>
      </w:pPr>
    </w:p>
    <w:p>
      <w:pPr>
        <w:pStyle w:val="34"/>
        <w:rPr>
          <w:rFonts w:hint="default" w:ascii="Times New Roman" w:hAnsi="Times New Roman" w:cs="Times New Roman"/>
          <w:b/>
          <w:bCs/>
          <w:sz w:val="32"/>
          <w:szCs w:val="32"/>
          <w:lang w:eastAsia="zh-CN"/>
        </w:rPr>
      </w:pPr>
    </w:p>
    <w:p>
      <w:pPr>
        <w:jc w:val="center"/>
        <w:rPr>
          <w:rFonts w:hint="default"/>
          <w:sz w:val="32"/>
          <w:szCs w:val="32"/>
          <w:lang w:eastAsia="zh-CN"/>
        </w:rPr>
      </w:pPr>
    </w:p>
    <w:p>
      <w:pPr>
        <w:pStyle w:val="24"/>
        <w:autoSpaceDE w:val="0"/>
        <w:autoSpaceDN w:val="0"/>
        <w:spacing w:line="600" w:lineRule="exact"/>
        <w:ind w:firstLine="0" w:firstLineChars="0"/>
        <w:jc w:val="center"/>
        <w:rPr>
          <w:rFonts w:hint="eastAsia" w:ascii="Times New Roman" w:hAnsi="Times New Roman" w:eastAsia="方正小标宋简体" w:cs="Times New Roman"/>
          <w:kern w:val="0"/>
          <w:sz w:val="44"/>
          <w:szCs w:val="44"/>
          <w:lang w:val="en-US" w:eastAsia="zh-CN" w:bidi="zh-CN"/>
        </w:rPr>
      </w:pPr>
      <w:r>
        <w:rPr>
          <w:rFonts w:hint="eastAsia" w:ascii="Times New Roman" w:hAnsi="Times New Roman" w:eastAsia="方正小标宋简体" w:cs="Times New Roman"/>
          <w:kern w:val="0"/>
          <w:sz w:val="44"/>
          <w:szCs w:val="44"/>
          <w:lang w:val="en-US" w:eastAsia="zh-CN" w:bidi="zh-CN"/>
        </w:rPr>
        <w:t>阿坝县民族宗教局</w:t>
      </w:r>
    </w:p>
    <w:p>
      <w:pPr>
        <w:pStyle w:val="24"/>
        <w:autoSpaceDE w:val="0"/>
        <w:autoSpaceDN w:val="0"/>
        <w:spacing w:line="600" w:lineRule="exact"/>
        <w:ind w:firstLine="0" w:firstLineChars="0"/>
        <w:jc w:val="center"/>
        <w:rPr>
          <w:rFonts w:hint="default" w:ascii="Times New Roman" w:hAnsi="Times New Roman" w:eastAsia="方正小标宋简体" w:cs="Times New Roman"/>
          <w:kern w:val="0"/>
          <w:sz w:val="44"/>
          <w:szCs w:val="44"/>
          <w:lang w:val="en-US" w:eastAsia="zh-CN" w:bidi="zh-CN"/>
        </w:rPr>
      </w:pPr>
      <w:r>
        <w:rPr>
          <w:rFonts w:hint="eastAsia" w:ascii="Times New Roman" w:hAnsi="Times New Roman" w:eastAsia="方正小标宋简体" w:cs="Times New Roman"/>
          <w:kern w:val="0"/>
          <w:sz w:val="44"/>
          <w:szCs w:val="44"/>
          <w:lang w:val="en-US" w:eastAsia="zh-CN" w:bidi="zh-CN"/>
        </w:rPr>
        <w:t>2022年部门整体支出</w:t>
      </w:r>
      <w:r>
        <w:rPr>
          <w:rFonts w:hint="default" w:ascii="Times New Roman" w:hAnsi="Times New Roman" w:eastAsia="方正小标宋简体" w:cs="Times New Roman"/>
          <w:kern w:val="0"/>
          <w:sz w:val="44"/>
          <w:szCs w:val="44"/>
          <w:lang w:val="en-US" w:eastAsia="zh-CN" w:bidi="zh-CN"/>
        </w:rPr>
        <w:t>绩效评价报告</w:t>
      </w:r>
    </w:p>
    <w:p>
      <w:pPr>
        <w:spacing w:line="240" w:lineRule="auto"/>
        <w:ind w:firstLine="0" w:firstLineChars="0"/>
        <w:jc w:val="center"/>
        <w:rPr>
          <w:rFonts w:hint="default" w:ascii="黑体" w:hAnsi="黑体" w:eastAsia="黑体" w:cs="Times New Roman"/>
          <w:b/>
          <w:sz w:val="32"/>
          <w:szCs w:val="32"/>
        </w:rPr>
      </w:pPr>
      <w:r>
        <w:rPr>
          <w:rFonts w:hint="default" w:ascii="黑体" w:hAnsi="黑体" w:eastAsia="黑体" w:cs="Times New Roman"/>
          <w:b/>
          <w:sz w:val="32"/>
          <w:szCs w:val="32"/>
        </w:rPr>
        <w:t>川</w:t>
      </w:r>
      <w:r>
        <w:rPr>
          <w:rFonts w:hint="default" w:ascii="黑体" w:hAnsi="黑体" w:eastAsia="黑体" w:cs="Times New Roman"/>
          <w:b/>
          <w:sz w:val="32"/>
          <w:szCs w:val="32"/>
          <w:lang w:val="en-US" w:eastAsia="zh-CN"/>
        </w:rPr>
        <w:t>融策</w:t>
      </w:r>
      <w:r>
        <w:rPr>
          <w:rFonts w:hint="default" w:ascii="黑体" w:hAnsi="黑体" w:eastAsia="黑体" w:cs="Times New Roman"/>
          <w:b/>
          <w:sz w:val="32"/>
          <w:szCs w:val="32"/>
        </w:rPr>
        <w:t>绩评〔202</w:t>
      </w:r>
      <w:r>
        <w:rPr>
          <w:rFonts w:hint="eastAsia" w:ascii="黑体" w:hAnsi="黑体" w:eastAsia="黑体" w:cs="Times New Roman"/>
          <w:b/>
          <w:sz w:val="32"/>
          <w:szCs w:val="32"/>
          <w:lang w:val="en-US" w:eastAsia="zh-CN"/>
        </w:rPr>
        <w:t>3</w:t>
      </w:r>
      <w:r>
        <w:rPr>
          <w:rFonts w:hint="default" w:ascii="黑体" w:hAnsi="黑体" w:eastAsia="黑体" w:cs="Times New Roman"/>
          <w:b/>
          <w:sz w:val="32"/>
          <w:szCs w:val="32"/>
        </w:rPr>
        <w:t>〕第</w:t>
      </w:r>
      <w:r>
        <w:rPr>
          <w:rFonts w:hint="eastAsia" w:ascii="黑体" w:hAnsi="黑体" w:eastAsia="黑体" w:cs="Times New Roman"/>
          <w:b/>
          <w:sz w:val="32"/>
          <w:szCs w:val="32"/>
          <w:lang w:val="en-US" w:eastAsia="zh-CN"/>
        </w:rPr>
        <w:t>××</w:t>
      </w:r>
      <w:r>
        <w:rPr>
          <w:rFonts w:hint="default" w:ascii="黑体" w:hAnsi="黑体" w:eastAsia="黑体" w:cs="Times New Roman"/>
          <w:b/>
          <w:sz w:val="32"/>
          <w:szCs w:val="32"/>
        </w:rPr>
        <w:t>号</w:t>
      </w:r>
    </w:p>
    <w:p>
      <w:pPr>
        <w:pStyle w:val="24"/>
        <w:autoSpaceDE w:val="0"/>
        <w:autoSpaceDN w:val="0"/>
        <w:spacing w:line="600" w:lineRule="exact"/>
        <w:ind w:firstLine="0" w:firstLineChars="0"/>
        <w:jc w:val="center"/>
        <w:rPr>
          <w:rFonts w:hint="default" w:ascii="黑体" w:hAnsi="黑体" w:eastAsia="黑体" w:cs="Times New Roman"/>
          <w:b/>
          <w:sz w:val="32"/>
          <w:szCs w:val="32"/>
        </w:rPr>
      </w:pPr>
      <w:r>
        <w:rPr>
          <w:rFonts w:hint="eastAsia" w:ascii="Times New Roman" w:hAnsi="Times New Roman" w:eastAsia="方正小标宋简体" w:cs="Times New Roman"/>
          <w:kern w:val="0"/>
          <w:sz w:val="44"/>
          <w:szCs w:val="44"/>
          <w:lang w:val="en-US" w:eastAsia="zh-CN" w:bidi="zh-CN"/>
        </w:rPr>
        <w:t>（征求意见稿）</w:t>
      </w:r>
    </w:p>
    <w:p>
      <w:pPr>
        <w:pStyle w:val="24"/>
        <w:rPr>
          <w:rFonts w:hint="default" w:ascii="Times New Roman" w:hAnsi="Times New Roman" w:cs="Times New Roman"/>
          <w:sz w:val="32"/>
          <w:szCs w:val="32"/>
        </w:rPr>
      </w:pPr>
    </w:p>
    <w:p>
      <w:pPr>
        <w:pStyle w:val="24"/>
        <w:rPr>
          <w:rFonts w:hint="default" w:ascii="Times New Roman" w:hAnsi="Times New Roman" w:cs="Times New Roman"/>
          <w:sz w:val="32"/>
          <w:szCs w:val="32"/>
        </w:rPr>
      </w:pPr>
    </w:p>
    <w:p>
      <w:pPr>
        <w:pStyle w:val="24"/>
        <w:ind w:left="0" w:leftChars="0" w:firstLine="0" w:firstLineChars="0"/>
        <w:rPr>
          <w:rFonts w:hint="default" w:ascii="Times New Roman" w:hAnsi="Times New Roman" w:cs="Times New Roman"/>
          <w:sz w:val="32"/>
          <w:szCs w:val="32"/>
        </w:rPr>
      </w:pPr>
    </w:p>
    <w:p>
      <w:pPr>
        <w:autoSpaceDE w:val="0"/>
        <w:autoSpaceDN w:val="0"/>
        <w:spacing w:line="600" w:lineRule="exact"/>
        <w:ind w:firstLine="0" w:firstLineChars="0"/>
        <w:jc w:val="center"/>
        <w:rPr>
          <w:rFonts w:ascii="Times New Roman" w:hAnsi="Times New Roman" w:eastAsia="黑体" w:cs="Times New Roman"/>
          <w:b/>
          <w:bCs/>
          <w:color w:val="000000"/>
          <w:w w:val="90"/>
          <w:kern w:val="0"/>
          <w:sz w:val="44"/>
          <w:szCs w:val="44"/>
          <w:lang w:val="zh-CN" w:bidi="zh-CN"/>
        </w:rPr>
      </w:pPr>
      <w:r>
        <w:rPr>
          <w:rFonts w:ascii="Times New Roman" w:hAnsi="Times New Roman" w:eastAsia="黑体" w:cs="Times New Roman"/>
          <w:b/>
          <w:bCs/>
          <w:color w:val="000000"/>
          <w:w w:val="90"/>
          <w:kern w:val="0"/>
          <w:sz w:val="44"/>
          <w:szCs w:val="44"/>
          <w:lang w:val="zh-CN" w:bidi="zh-CN"/>
        </w:rPr>
        <w:t>四 川 融 策 会 计 师 事 务 所 有 限 公 司</w:t>
      </w:r>
    </w:p>
    <w:p>
      <w:pPr>
        <w:spacing w:line="600" w:lineRule="exact"/>
        <w:ind w:firstLine="0" w:firstLineChars="0"/>
        <w:jc w:val="center"/>
        <w:rPr>
          <w:rFonts w:ascii="Times New Roman" w:hAnsi="Times New Roman" w:eastAsia="黑体" w:cs="Times New Roman"/>
          <w:b/>
          <w:bCs/>
          <w:color w:val="000000"/>
          <w:sz w:val="44"/>
          <w:szCs w:val="44"/>
          <w:lang w:val="en-US"/>
        </w:rPr>
      </w:pPr>
      <w:r>
        <w:rPr>
          <w:rFonts w:ascii="Times New Roman" w:hAnsi="Times New Roman" w:eastAsia="黑体" w:cs="Times New Roman"/>
          <w:b/>
          <w:bCs/>
          <w:color w:val="000000"/>
          <w:sz w:val="44"/>
          <w:szCs w:val="44"/>
          <w:lang w:val="en-US"/>
        </w:rPr>
        <w:t>Sichuan Rongce Accounting Firm Co</w:t>
      </w:r>
      <w:r>
        <w:rPr>
          <w:rFonts w:hint="eastAsia" w:ascii="Times New Roman" w:hAnsi="Times New Roman" w:eastAsia="黑体" w:cs="Times New Roman"/>
          <w:b/>
          <w:bCs/>
          <w:color w:val="000000"/>
          <w:sz w:val="44"/>
          <w:szCs w:val="44"/>
          <w:lang w:val="en-US"/>
        </w:rPr>
        <w:t>.</w:t>
      </w:r>
      <w:r>
        <w:rPr>
          <w:rFonts w:ascii="Times New Roman" w:hAnsi="Times New Roman" w:eastAsia="黑体" w:cs="Times New Roman"/>
          <w:b/>
          <w:bCs/>
          <w:color w:val="000000"/>
          <w:sz w:val="44"/>
          <w:szCs w:val="44"/>
          <w:lang w:val="en-US"/>
        </w:rPr>
        <w:t xml:space="preserve"> Ltd</w:t>
      </w:r>
    </w:p>
    <w:p>
      <w:pPr>
        <w:spacing w:line="240" w:lineRule="auto"/>
        <w:ind w:firstLine="0" w:firstLineChars="0"/>
        <w:jc w:val="center"/>
        <w:rPr>
          <w:rFonts w:hint="eastAsia" w:ascii="Times New Roman" w:hAnsi="Times New Roman" w:eastAsia="黑体" w:cs="Times New Roman"/>
          <w:b/>
          <w:bCs/>
          <w:color w:val="000000"/>
          <w:sz w:val="44"/>
          <w:szCs w:val="44"/>
        </w:rPr>
      </w:pPr>
      <w:r>
        <w:rPr>
          <w:rFonts w:ascii="Times New Roman" w:hAnsi="Times New Roman" w:eastAsia="黑体" w:cs="Times New Roman"/>
          <w:b/>
          <w:bCs/>
          <w:color w:val="000000"/>
          <w:sz w:val="44"/>
          <w:szCs w:val="44"/>
        </w:rPr>
        <w:t>202</w:t>
      </w:r>
      <w:r>
        <w:rPr>
          <w:rFonts w:hint="eastAsia" w:ascii="Times New Roman" w:hAnsi="Times New Roman" w:eastAsia="黑体" w:cs="Times New Roman"/>
          <w:b/>
          <w:bCs/>
          <w:color w:val="000000"/>
          <w:sz w:val="44"/>
          <w:szCs w:val="44"/>
          <w:lang w:val="en-US"/>
        </w:rPr>
        <w:t>3</w:t>
      </w:r>
      <w:r>
        <w:rPr>
          <w:rFonts w:ascii="Times New Roman" w:hAnsi="Times New Roman" w:eastAsia="黑体" w:cs="Times New Roman"/>
          <w:b/>
          <w:bCs/>
          <w:color w:val="000000"/>
          <w:sz w:val="44"/>
          <w:szCs w:val="44"/>
        </w:rPr>
        <w:t>年</w:t>
      </w:r>
      <w:r>
        <w:rPr>
          <w:rFonts w:hint="eastAsia" w:ascii="Times New Roman" w:hAnsi="Times New Roman" w:eastAsia="黑体" w:cs="Times New Roman"/>
          <w:b/>
          <w:bCs/>
          <w:color w:val="000000"/>
          <w:sz w:val="44"/>
          <w:szCs w:val="44"/>
          <w:lang w:val="en-US" w:eastAsia="zh-CN"/>
        </w:rPr>
        <w:t>11</w:t>
      </w:r>
      <w:r>
        <w:rPr>
          <w:rFonts w:ascii="Times New Roman" w:hAnsi="Times New Roman" w:eastAsia="黑体" w:cs="Times New Roman"/>
          <w:b/>
          <w:bCs/>
          <w:color w:val="000000"/>
          <w:sz w:val="44"/>
          <w:szCs w:val="44"/>
        </w:rPr>
        <w:t>月</w:t>
      </w:r>
      <w:r>
        <w:rPr>
          <w:rFonts w:hint="eastAsia" w:eastAsia="黑体" w:cs="Times New Roman"/>
          <w:b/>
          <w:bCs/>
          <w:color w:val="000000"/>
          <w:sz w:val="44"/>
          <w:szCs w:val="44"/>
          <w:lang w:val="en-US" w:eastAsia="zh-CN"/>
        </w:rPr>
        <w:t>30</w:t>
      </w:r>
      <w:r>
        <w:rPr>
          <w:rFonts w:ascii="Times New Roman" w:hAnsi="Times New Roman" w:eastAsia="黑体" w:cs="Times New Roman"/>
          <w:b/>
          <w:bCs/>
          <w:color w:val="000000"/>
          <w:sz w:val="44"/>
          <w:szCs w:val="44"/>
        </w:rPr>
        <w:t>日</w:t>
      </w:r>
    </w:p>
    <w:p>
      <w:pPr>
        <w:spacing w:line="240" w:lineRule="auto"/>
        <w:ind w:firstLine="0" w:firstLineChars="0"/>
        <w:jc w:val="center"/>
        <w:rPr>
          <w:rFonts w:hint="eastAsia" w:ascii="Times New Roman" w:hAnsi="Times New Roman" w:eastAsia="黑体" w:cs="Times New Roman"/>
          <w:b/>
          <w:bCs/>
          <w:color w:val="000000"/>
          <w:sz w:val="44"/>
          <w:szCs w:val="44"/>
        </w:rPr>
        <w:sectPr>
          <w:headerReference r:id="rId5" w:type="default"/>
          <w:footerReference r:id="rId6" w:type="default"/>
          <w:footerReference r:id="rId7" w:type="even"/>
          <w:pgSz w:w="11906" w:h="16838"/>
          <w:pgMar w:top="1417" w:right="1417" w:bottom="1417" w:left="1417" w:header="851" w:footer="992" w:gutter="283"/>
          <w:pgBorders>
            <w:top w:val="none" w:sz="0" w:space="0"/>
            <w:left w:val="none" w:sz="0" w:space="0"/>
            <w:bottom w:val="none" w:sz="0" w:space="0"/>
            <w:right w:val="none" w:sz="0" w:space="0"/>
          </w:pgBorders>
          <w:cols w:space="720" w:num="1"/>
          <w:docGrid w:type="lines" w:linePitch="318" w:charSpace="0"/>
        </w:sectPr>
      </w:pPr>
    </w:p>
    <w:p>
      <w:pPr>
        <w:pStyle w:val="26"/>
        <w:keepNext w:val="0"/>
        <w:keepLines w:val="0"/>
        <w:pageBreakBefore w:val="0"/>
        <w:widowControl/>
        <w:tabs>
          <w:tab w:val="right" w:leader="dot" w:pos="8786"/>
        </w:tabs>
        <w:kinsoku/>
        <w:wordWrap/>
        <w:overflowPunct/>
        <w:topLinePunct w:val="0"/>
        <w:autoSpaceDE/>
        <w:autoSpaceDN/>
        <w:bidi w:val="0"/>
        <w:adjustRightInd/>
        <w:snapToGrid/>
        <w:spacing w:line="600" w:lineRule="exact"/>
        <w:ind w:firstLine="560" w:firstLineChars="0"/>
        <w:jc w:val="center"/>
        <w:textAlignment w:val="auto"/>
        <w:rPr>
          <w:rFonts w:hint="eastAsia" w:ascii="仿宋_GB2312" w:hAnsi="仿宋_GB2312" w:eastAsia="仿宋_GB2312" w:cs="仿宋_GB2312"/>
          <w:b/>
          <w:bCs w:val="0"/>
          <w:kern w:val="2"/>
          <w:sz w:val="24"/>
          <w:szCs w:val="28"/>
          <w:lang w:val="en-US" w:eastAsia="zh-CN" w:bidi="ar-SA"/>
        </w:rPr>
      </w:pPr>
      <w:r>
        <w:rPr>
          <w:rFonts w:hint="default" w:ascii="Times New Roman" w:hAnsi="Times New Roman" w:eastAsia="黑体" w:cs="Times New Roman"/>
          <w:b/>
          <w:bCs w:val="0"/>
          <w:sz w:val="36"/>
          <w:szCs w:val="36"/>
        </w:rPr>
        <w:t>目  录</w:t>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TOC \o "1-4" \h \z \u </w:instrText>
      </w:r>
      <w:r>
        <w:rPr>
          <w:rFonts w:hint="eastAsia" w:ascii="仿宋_GB2312" w:hAnsi="仿宋_GB2312" w:eastAsia="仿宋_GB2312" w:cs="仿宋_GB2312"/>
          <w:b w:val="0"/>
          <w:bCs w:val="0"/>
          <w:sz w:val="28"/>
          <w:szCs w:val="28"/>
        </w:rPr>
        <w:fldChar w:fldCharType="separate"/>
      </w:r>
    </w:p>
    <w:p>
      <w:pPr>
        <w:pStyle w:val="26"/>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_Toc28918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摘  要</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_Toc28918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3</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26"/>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_Toc20114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一、部门概况</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_Toc20114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2</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_Toc23220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（一）部门机构设置、编制、职责</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_Toc23220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2</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_Toc671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1、</w:t>
      </w:r>
      <w:r>
        <w:rPr>
          <w:rFonts w:hint="eastAsia" w:ascii="仿宋_GB2312" w:hAnsi="仿宋_GB2312" w:eastAsia="仿宋_GB2312" w:cs="仿宋_GB2312"/>
          <w:bCs/>
          <w:sz w:val="28"/>
          <w:szCs w:val="28"/>
        </w:rPr>
        <w:t>部门机构设置</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_Toc671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_Toc13402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highlight w:val="none"/>
          <w:lang w:val="en-US" w:eastAsia="zh-CN"/>
        </w:rPr>
        <w:t>2</w:t>
      </w:r>
      <w:r>
        <w:rPr>
          <w:rFonts w:hint="eastAsia" w:ascii="仿宋_GB2312" w:hAnsi="仿宋_GB2312" w:eastAsia="仿宋_GB2312" w:cs="仿宋_GB2312"/>
          <w:bCs/>
          <w:sz w:val="28"/>
          <w:szCs w:val="28"/>
          <w:highlight w:val="none"/>
        </w:rPr>
        <w:t>、部门编制</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_Toc13402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_Toc14177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3、部门职能</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_Toc14177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4</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_Toc26516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highlight w:val="none"/>
          <w:lang w:val="en-US" w:eastAsia="zh-CN"/>
        </w:rPr>
        <w:t>（二）部门预算</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_Toc26516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5</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_Toc25937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w:t>
      </w:r>
      <w:r>
        <w:rPr>
          <w:rFonts w:hint="eastAsia" w:ascii="仿宋_GB2312" w:hAnsi="仿宋_GB2312" w:eastAsia="仿宋_GB2312" w:cs="仿宋_GB2312"/>
          <w:bCs/>
          <w:kern w:val="0"/>
          <w:sz w:val="28"/>
          <w:szCs w:val="28"/>
          <w:highlight w:val="none"/>
          <w:lang w:val="en-US" w:eastAsia="zh-CN" w:bidi="ar"/>
        </w:rPr>
        <w:t>近三年</w:t>
      </w:r>
      <w:r>
        <w:rPr>
          <w:rFonts w:hint="eastAsia" w:ascii="仿宋_GB2312" w:hAnsi="仿宋_GB2312" w:eastAsia="仿宋_GB2312" w:cs="仿宋_GB2312"/>
          <w:bCs/>
          <w:sz w:val="28"/>
          <w:szCs w:val="28"/>
          <w:highlight w:val="none"/>
          <w:lang w:eastAsia="zh-CN"/>
        </w:rPr>
        <w:t>阿坝县民族宗教局</w:t>
      </w:r>
      <w:r>
        <w:rPr>
          <w:rFonts w:hint="eastAsia" w:ascii="仿宋_GB2312" w:hAnsi="仿宋_GB2312" w:eastAsia="仿宋_GB2312" w:cs="仿宋_GB2312"/>
          <w:bCs/>
          <w:sz w:val="28"/>
          <w:szCs w:val="28"/>
          <w:highlight w:val="none"/>
        </w:rPr>
        <w:t>整体支出预算及使用情况</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_Toc25937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5</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_Toc21130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highlight w:val="none"/>
        </w:rPr>
        <w:t>2、</w:t>
      </w:r>
      <w:r>
        <w:rPr>
          <w:rFonts w:hint="eastAsia" w:ascii="仿宋_GB2312" w:hAnsi="仿宋_GB2312" w:eastAsia="仿宋_GB2312" w:cs="仿宋_GB2312"/>
          <w:bCs/>
          <w:sz w:val="28"/>
          <w:szCs w:val="28"/>
          <w:highlight w:val="none"/>
          <w:lang w:eastAsia="zh-CN"/>
        </w:rPr>
        <w:t>2022</w:t>
      </w:r>
      <w:r>
        <w:rPr>
          <w:rFonts w:hint="eastAsia" w:ascii="仿宋_GB2312" w:hAnsi="仿宋_GB2312" w:eastAsia="仿宋_GB2312" w:cs="仿宋_GB2312"/>
          <w:bCs/>
          <w:sz w:val="28"/>
          <w:szCs w:val="28"/>
          <w:highlight w:val="none"/>
        </w:rPr>
        <w:t>年</w:t>
      </w:r>
      <w:r>
        <w:rPr>
          <w:rFonts w:hint="eastAsia" w:ascii="仿宋_GB2312" w:hAnsi="仿宋_GB2312" w:eastAsia="仿宋_GB2312" w:cs="仿宋_GB2312"/>
          <w:bCs/>
          <w:sz w:val="28"/>
          <w:szCs w:val="28"/>
          <w:highlight w:val="none"/>
          <w:lang w:eastAsia="zh-CN"/>
        </w:rPr>
        <w:t>阿坝县民族宗教局</w:t>
      </w:r>
      <w:r>
        <w:rPr>
          <w:rFonts w:hint="eastAsia" w:ascii="仿宋_GB2312" w:hAnsi="仿宋_GB2312" w:eastAsia="仿宋_GB2312" w:cs="仿宋_GB2312"/>
          <w:bCs/>
          <w:sz w:val="28"/>
          <w:szCs w:val="28"/>
          <w:highlight w:val="none"/>
        </w:rPr>
        <w:t>预算及支出情况</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_Toc21130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6</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_Toc25409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highlight w:val="none"/>
          <w:lang w:val="en-US" w:eastAsia="zh-CN"/>
        </w:rPr>
        <w:t>（三）部门固定资产</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_Toc25409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7</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_Toc17638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（四）部门管理</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_Toc17638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7</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_Toc19916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1、决策管理</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_Toc19916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7</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_Toc11783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2、财务管理</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_Toc11783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8</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_Toc20288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highlight w:val="none"/>
        </w:rPr>
        <w:t>3、资产管理</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_Toc20288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9</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_Toc19912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highlight w:val="none"/>
        </w:rPr>
        <w:t>（五）</w:t>
      </w:r>
      <w:r>
        <w:rPr>
          <w:rFonts w:hint="eastAsia" w:ascii="仿宋_GB2312" w:hAnsi="仿宋_GB2312" w:eastAsia="仿宋_GB2312" w:cs="仿宋_GB2312"/>
          <w:b w:val="0"/>
          <w:sz w:val="28"/>
          <w:szCs w:val="28"/>
          <w:highlight w:val="none"/>
          <w:lang w:eastAsia="zh-CN"/>
        </w:rPr>
        <w:t>阿坝县民族宗教局2022</w:t>
      </w:r>
      <w:r>
        <w:rPr>
          <w:rFonts w:hint="eastAsia" w:ascii="仿宋_GB2312" w:hAnsi="仿宋_GB2312" w:eastAsia="仿宋_GB2312" w:cs="仿宋_GB2312"/>
          <w:b w:val="0"/>
          <w:sz w:val="28"/>
          <w:szCs w:val="28"/>
          <w:highlight w:val="none"/>
          <w:lang w:val="en-US" w:eastAsia="zh-CN"/>
        </w:rPr>
        <w:t>年</w:t>
      </w:r>
      <w:r>
        <w:rPr>
          <w:rFonts w:hint="eastAsia" w:ascii="仿宋_GB2312" w:hAnsi="仿宋_GB2312" w:eastAsia="仿宋_GB2312" w:cs="仿宋_GB2312"/>
          <w:b w:val="0"/>
          <w:sz w:val="28"/>
          <w:szCs w:val="28"/>
          <w:highlight w:val="none"/>
        </w:rPr>
        <w:t>重点工作</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_Toc19912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10</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26"/>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_Toc29636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二、评价思路和实施过程</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_Toc29636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11</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_Toc1159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（一）评价目的</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_Toc1159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11</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_Toc21451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（二）评价方法</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_Toc21451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12</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_Toc1098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（三）数据采集方法及过程</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_Toc1098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12</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26"/>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_Toc28440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三、评价结论及绩效分析</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_Toc28440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13</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_Toc29756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（一）评价结论</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_Toc29756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13</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_Toc9433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（二）绩效分析</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_Toc9433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13</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_Toc24787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1、部门预算管理情况分析</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_Toc24787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13</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_Toc22950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2</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专项预算管理情况分析</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_Toc22950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18</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_Toc26201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3、绩效结果应用</w:t>
      </w:r>
      <w:r>
        <w:rPr>
          <w:rFonts w:hint="eastAsia" w:ascii="仿宋_GB2312" w:hAnsi="仿宋_GB2312" w:eastAsia="仿宋_GB2312" w:cs="仿宋_GB2312"/>
          <w:bCs/>
          <w:sz w:val="28"/>
          <w:szCs w:val="28"/>
        </w:rPr>
        <w:t>情况分析</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_Toc26201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19</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_Toc8806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4、自评质量情况</w:t>
      </w:r>
      <w:r>
        <w:rPr>
          <w:rFonts w:hint="eastAsia" w:ascii="仿宋_GB2312" w:hAnsi="仿宋_GB2312" w:eastAsia="仿宋_GB2312" w:cs="仿宋_GB2312"/>
          <w:bCs/>
          <w:sz w:val="28"/>
          <w:szCs w:val="28"/>
        </w:rPr>
        <w:t>分析</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_Toc8806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20</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26"/>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_Toc12480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四、</w:t>
      </w:r>
      <w:r>
        <w:rPr>
          <w:rFonts w:hint="eastAsia" w:ascii="仿宋_GB2312" w:hAnsi="仿宋_GB2312" w:eastAsia="仿宋_GB2312" w:cs="仿宋_GB2312"/>
          <w:b w:val="0"/>
          <w:sz w:val="28"/>
          <w:szCs w:val="28"/>
          <w:highlight w:val="none"/>
        </w:rPr>
        <w:t>评价发现的主要问题</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_Toc12480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20</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_Toc17252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1、记账、审核人员为同一人</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_Toc17252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20</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_Toc723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2、多报销差旅费</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_Toc723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21</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_Toc3363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3、审批不规范</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_Toc3363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22</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_Toc18509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4、附件不规范</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_Toc18509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23</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keepNext w:val="0"/>
        <w:keepLines w:val="0"/>
        <w:pageBreakBefore w:val="0"/>
        <w:widowControl/>
        <w:tabs>
          <w:tab w:val="right" w:leader="dot" w:pos="8786"/>
        </w:tabs>
        <w:kinsoku/>
        <w:wordWrap/>
        <w:overflowPunct/>
        <w:topLinePunct w:val="0"/>
        <w:autoSpaceDE/>
        <w:autoSpaceDN/>
        <w:bidi w:val="0"/>
        <w:adjustRightInd/>
        <w:snapToGrid w:val="0"/>
        <w:spacing w:line="600" w:lineRule="atLeast"/>
        <w:ind w:firstLine="0" w:firstLineChars="0"/>
        <w:jc w:val="center"/>
        <w:textAlignment w:val="auto"/>
        <w:rPr>
          <w:rFonts w:hint="eastAsia" w:ascii="仿宋_GB2312" w:hAnsi="仿宋_GB2312" w:eastAsia="仿宋_GB2312" w:cs="仿宋_GB2312"/>
          <w:bCs w:val="0"/>
          <w:szCs w:val="28"/>
        </w:rPr>
      </w:pPr>
      <w:r>
        <w:rPr>
          <w:rFonts w:hint="eastAsia" w:ascii="仿宋_GB2312" w:hAnsi="仿宋_GB2312" w:eastAsia="仿宋_GB2312" w:cs="仿宋_GB2312"/>
          <w:bCs w:val="0"/>
          <w:szCs w:val="28"/>
        </w:rPr>
        <w:fldChar w:fldCharType="end"/>
      </w:r>
      <w:bookmarkStart w:id="0" w:name="_Toc149"/>
      <w:bookmarkStart w:id="1" w:name="_Toc15798"/>
    </w:p>
    <w:p>
      <w:pPr>
        <w:rPr>
          <w:rFonts w:hint="default"/>
        </w:rPr>
      </w:pPr>
      <w:r>
        <w:rPr>
          <w:rFonts w:hint="eastAsia" w:ascii="仿宋_GB2312" w:hAnsi="仿宋_GB2312" w:eastAsia="仿宋_GB2312" w:cs="仿宋_GB2312"/>
          <w:bCs w:val="0"/>
          <w:szCs w:val="28"/>
        </w:rPr>
        <w:br w:type="page"/>
      </w:r>
    </w:p>
    <w:p>
      <w:pPr>
        <w:pStyle w:val="2"/>
        <w:spacing w:before="156" w:after="156"/>
        <w:ind w:firstLine="640"/>
        <w:jc w:val="center"/>
        <w:rPr>
          <w:rFonts w:hint="default" w:ascii="Times New Roman" w:hAnsi="Times New Roman" w:eastAsia="微软雅黑" w:cs="Times New Roman"/>
          <w:sz w:val="32"/>
          <w:szCs w:val="32"/>
        </w:rPr>
      </w:pPr>
      <w:bookmarkStart w:id="2" w:name="_Toc28918"/>
      <w:bookmarkStart w:id="3" w:name="_Toc16510"/>
      <w:bookmarkStart w:id="4" w:name="_Toc18656"/>
      <w:r>
        <w:rPr>
          <w:rFonts w:hint="default" w:ascii="Times New Roman" w:hAnsi="Times New Roman" w:eastAsia="微软雅黑" w:cs="Times New Roman"/>
          <w:sz w:val="32"/>
        </w:rPr>
        <w:t>摘  要</w:t>
      </w:r>
      <w:bookmarkEnd w:id="0"/>
      <w:bookmarkEnd w:id="1"/>
      <w:bookmarkEnd w:id="2"/>
      <w:bookmarkEnd w:id="3"/>
      <w:bookmarkEnd w:id="4"/>
    </w:p>
    <w:p>
      <w:pPr>
        <w:numPr>
          <w:ilvl w:val="0"/>
          <w:numId w:val="1"/>
        </w:numPr>
        <w:tabs>
          <w:tab w:val="center" w:pos="4405"/>
        </w:tabs>
        <w:overflowPunct w:val="0"/>
        <w:autoSpaceDE w:val="0"/>
        <w:autoSpaceDN w:val="0"/>
        <w:adjustRightInd w:val="0"/>
        <w:spacing w:line="600" w:lineRule="exact"/>
        <w:ind w:firstLine="0" w:firstLineChars="0"/>
        <w:rPr>
          <w:rFonts w:hint="default" w:ascii="Times New Roman" w:hAnsi="Times New Roman" w:eastAsia="黑体" w:cs="Times New Roman"/>
          <w:b/>
          <w:bCs/>
          <w:sz w:val="30"/>
          <w:szCs w:val="30"/>
        </w:rPr>
      </w:pPr>
      <w:r>
        <w:rPr>
          <w:rFonts w:hint="default" w:ascii="Times New Roman" w:hAnsi="Times New Roman" w:eastAsia="黑体" w:cs="Times New Roman"/>
          <w:b/>
          <w:bCs/>
          <w:sz w:val="30"/>
          <w:szCs w:val="30"/>
        </w:rPr>
        <w:t>概述</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阿坝县民族宗教局（简称县民宗局）是阿坝县人民政府工作部门。阿坝县民族宗教局下设办公室、统计执法股、业务综合股、阿坝县民族宗教局下属二级单位1个，其中事业单位1个为宗教事务培训中心。</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根据《阿坝县机构改革方案》（阿县委发〔2019〕2号）和《关于&lt;阿坝县机构改革方案&gt;的实施意见》（阿县机改〔2019〕 1 号），阿坝县民族宗教局为行政单位，行政编制14名。</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截至绩效评价日，</w:t>
      </w:r>
      <w:r>
        <w:rPr>
          <w:rFonts w:hint="eastAsia" w:eastAsia="仿宋_GB2312" w:cs="Times New Roman"/>
          <w:color w:val="auto"/>
          <w:kern w:val="0"/>
          <w:sz w:val="32"/>
          <w:szCs w:val="32"/>
          <w:highlight w:val="none"/>
          <w:shd w:val="clear" w:color="auto" w:fill="FFFFFF"/>
          <w:lang w:val="en-US" w:eastAsia="zh-CN" w:bidi="ar-SA"/>
        </w:rPr>
        <w:t>阿坝县民族宗教局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在</w:t>
      </w:r>
      <w:r>
        <w:rPr>
          <w:rFonts w:hint="default" w:ascii="Times New Roman" w:hAnsi="Times New Roman" w:eastAsia="仿宋_GB2312" w:cs="Times New Roman"/>
          <w:color w:val="auto"/>
          <w:kern w:val="0"/>
          <w:sz w:val="32"/>
          <w:szCs w:val="32"/>
          <w:highlight w:val="none"/>
          <w:shd w:val="clear" w:color="auto" w:fill="FFFFFF"/>
          <w:lang w:val="en-US" w:eastAsia="zh-CN" w:bidi="ar-SA"/>
        </w:rPr>
        <w:t>编人员共计</w:t>
      </w:r>
      <w:r>
        <w:rPr>
          <w:rFonts w:hint="eastAsia" w:eastAsia="仿宋_GB2312" w:cs="Times New Roman"/>
          <w:color w:val="auto"/>
          <w:kern w:val="0"/>
          <w:sz w:val="32"/>
          <w:szCs w:val="32"/>
          <w:highlight w:val="none"/>
          <w:shd w:val="clear" w:color="auto" w:fill="FFFFFF"/>
          <w:lang w:val="en-US" w:eastAsia="zh-CN" w:bidi="ar-SA"/>
        </w:rPr>
        <w:t>14</w:t>
      </w:r>
      <w:r>
        <w:rPr>
          <w:rFonts w:hint="default" w:ascii="Times New Roman" w:hAnsi="Times New Roman" w:eastAsia="仿宋_GB2312" w:cs="Times New Roman"/>
          <w:color w:val="auto"/>
          <w:kern w:val="0"/>
          <w:sz w:val="32"/>
          <w:szCs w:val="32"/>
          <w:highlight w:val="none"/>
          <w:shd w:val="clear" w:color="auto" w:fill="FFFFFF"/>
          <w:lang w:val="en-US" w:eastAsia="zh-CN" w:bidi="ar-SA"/>
        </w:rPr>
        <w:t>名</w:t>
      </w:r>
      <w:r>
        <w:rPr>
          <w:rFonts w:hint="eastAsia" w:eastAsia="仿宋_GB2312" w:cs="Times New Roman"/>
          <w:color w:val="auto"/>
          <w:kern w:val="0"/>
          <w:sz w:val="32"/>
          <w:szCs w:val="32"/>
          <w:highlight w:val="none"/>
          <w:shd w:val="clear" w:color="auto" w:fill="FFFFFF"/>
          <w:lang w:val="en-US" w:eastAsia="zh-CN" w:bidi="ar-SA"/>
        </w:rPr>
        <w:t>，其中事业编制1人、行政编制13人</w:t>
      </w:r>
      <w:r>
        <w:rPr>
          <w:rFonts w:hint="eastAsia" w:ascii="Times New Roman" w:hAnsi="Times New Roman" w:eastAsia="仿宋_GB2312" w:cs="Times New Roman"/>
          <w:b w:val="0"/>
          <w:bCs w:val="0"/>
          <w:color w:val="000000"/>
          <w:kern w:val="0"/>
          <w:sz w:val="32"/>
          <w:szCs w:val="32"/>
          <w:highlight w:val="none"/>
          <w:lang w:val="en-US" w:eastAsia="zh-CN" w:bidi="ar"/>
        </w:rPr>
        <w:t>。</w:t>
      </w:r>
    </w:p>
    <w:p>
      <w:pPr>
        <w:tabs>
          <w:tab w:val="center" w:pos="4405"/>
        </w:tabs>
        <w:overflowPunct w:val="0"/>
        <w:autoSpaceDE w:val="0"/>
        <w:autoSpaceDN w:val="0"/>
        <w:adjustRightInd w:val="0"/>
        <w:spacing w:line="600" w:lineRule="exact"/>
        <w:ind w:firstLine="0" w:firstLineChars="0"/>
        <w:rPr>
          <w:rFonts w:hint="default" w:ascii="Times New Roman" w:hAnsi="Times New Roman" w:eastAsia="黑体" w:cs="Times New Roman"/>
          <w:b/>
          <w:bCs/>
          <w:sz w:val="30"/>
          <w:szCs w:val="30"/>
          <w:highlight w:val="none"/>
        </w:rPr>
      </w:pPr>
      <w:r>
        <w:rPr>
          <w:rFonts w:hint="default" w:ascii="Times New Roman" w:hAnsi="Times New Roman" w:eastAsia="黑体" w:cs="Times New Roman"/>
          <w:b/>
          <w:bCs/>
          <w:sz w:val="30"/>
          <w:szCs w:val="30"/>
          <w:highlight w:val="none"/>
        </w:rPr>
        <w:t>二、评价结论和绩效分析</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lang w:val="en-US" w:eastAsia="zh-CN" w:bidi="ar"/>
        </w:rPr>
        <w:t>通过数据采集，对</w:t>
      </w:r>
      <w:r>
        <w:rPr>
          <w:rFonts w:hint="eastAsia" w:eastAsia="仿宋_GB2312" w:cs="Times New Roman"/>
          <w:color w:val="auto"/>
          <w:kern w:val="0"/>
          <w:sz w:val="32"/>
          <w:szCs w:val="32"/>
          <w:highlight w:val="none"/>
          <w:lang w:val="en-US" w:eastAsia="zh-CN" w:bidi="ar"/>
        </w:rPr>
        <w:t>2022年1月-2022年12月</w:t>
      </w:r>
      <w:r>
        <w:rPr>
          <w:rFonts w:hint="eastAsia" w:eastAsia="仿宋_GB2312" w:cs="Times New Roman"/>
          <w:color w:val="000000"/>
          <w:kern w:val="0"/>
          <w:sz w:val="32"/>
          <w:szCs w:val="32"/>
          <w:highlight w:val="none"/>
          <w:lang w:val="en-US" w:eastAsia="zh-CN" w:bidi="ar"/>
        </w:rPr>
        <w:t>阿坝县民族宗教局</w:t>
      </w:r>
      <w:r>
        <w:rPr>
          <w:rFonts w:hint="default" w:ascii="Times New Roman" w:hAnsi="Times New Roman" w:eastAsia="仿宋_GB2312" w:cs="Times New Roman"/>
          <w:color w:val="000000"/>
          <w:kern w:val="0"/>
          <w:sz w:val="32"/>
          <w:szCs w:val="32"/>
          <w:highlight w:val="none"/>
          <w:lang w:val="en-US" w:eastAsia="zh-CN" w:bidi="ar"/>
        </w:rPr>
        <w:t>部门整体支出绩效进行客观评价，得分</w:t>
      </w:r>
      <w:r>
        <w:rPr>
          <w:rFonts w:hint="eastAsia" w:eastAsia="仿宋_GB2312" w:cs="Times New Roman"/>
          <w:color w:val="000000"/>
          <w:kern w:val="0"/>
          <w:sz w:val="32"/>
          <w:szCs w:val="32"/>
          <w:highlight w:val="none"/>
          <w:lang w:val="en-US" w:eastAsia="zh-CN" w:bidi="ar"/>
        </w:rPr>
        <w:t>53.39</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，百分制换算</w:t>
      </w:r>
      <w:r>
        <w:rPr>
          <w:rFonts w:hint="default" w:ascii="Times New Roman" w:hAnsi="Times New Roman" w:eastAsia="仿宋_GB2312" w:cs="Times New Roman"/>
          <w:color w:val="auto"/>
          <w:kern w:val="0"/>
          <w:sz w:val="32"/>
          <w:szCs w:val="32"/>
          <w:highlight w:val="none"/>
          <w:shd w:val="clear" w:color="auto" w:fill="FFFFFF"/>
          <w:lang w:val="en-US" w:eastAsia="zh-CN" w:bidi="ar-SA"/>
        </w:rPr>
        <w:t>得分</w:t>
      </w:r>
      <w:r>
        <w:rPr>
          <w:rFonts w:hint="eastAsia" w:eastAsia="仿宋_GB2312" w:cs="Times New Roman"/>
          <w:color w:val="auto"/>
          <w:kern w:val="0"/>
          <w:sz w:val="32"/>
          <w:szCs w:val="32"/>
          <w:highlight w:val="none"/>
          <w:shd w:val="clear" w:color="auto" w:fill="FFFFFF"/>
          <w:lang w:val="en-US" w:eastAsia="zh-CN" w:bidi="ar-SA"/>
        </w:rPr>
        <w:t>70.25</w:t>
      </w:r>
      <w:r>
        <w:rPr>
          <w:rFonts w:hint="default" w:ascii="Times New Roman" w:hAnsi="Times New Roman" w:eastAsia="仿宋_GB2312" w:cs="Times New Roman"/>
          <w:color w:val="auto"/>
          <w:kern w:val="0"/>
          <w:sz w:val="32"/>
          <w:szCs w:val="32"/>
          <w:highlight w:val="none"/>
          <w:shd w:val="clear" w:color="auto" w:fill="FFFFFF"/>
          <w:lang w:val="en-US" w:eastAsia="zh-CN" w:bidi="ar-SA"/>
        </w:rPr>
        <w:t>分。</w:t>
      </w:r>
    </w:p>
    <w:p>
      <w:pPr>
        <w:widowControl/>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ascii="Times New Roman" w:hAnsi="Times New Roman" w:eastAsia="仿宋_GB2312" w:cs="Times New Roman"/>
          <w:b/>
          <w:bCs/>
          <w:color w:val="000000"/>
          <w:kern w:val="0"/>
          <w:highlight w:val="none"/>
          <w:lang w:val="en-US" w:eastAsia="zh-CN" w:bidi="ar"/>
        </w:rPr>
        <w:t>1</w:t>
      </w:r>
      <w:r>
        <w:rPr>
          <w:rFonts w:hint="default" w:ascii="Times New Roman" w:hAnsi="Times New Roman" w:eastAsia="仿宋_GB2312" w:cs="Times New Roman"/>
          <w:b/>
          <w:bCs/>
          <w:color w:val="000000"/>
          <w:kern w:val="0"/>
          <w:highlight w:val="none"/>
          <w:lang w:bidi="ar"/>
        </w:rPr>
        <w:t xml:space="preserve"> 部门整体支出汇总得分表</w:t>
      </w:r>
    </w:p>
    <w:tbl>
      <w:tblPr>
        <w:tblStyle w:val="41"/>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4"/>
        <w:gridCol w:w="1251"/>
        <w:gridCol w:w="1490"/>
        <w:gridCol w:w="194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67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指标</w:t>
            </w:r>
          </w:p>
        </w:tc>
        <w:tc>
          <w:tcPr>
            <w:tcW w:w="69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827"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评价权重</w:t>
            </w:r>
          </w:p>
        </w:tc>
        <w:tc>
          <w:tcPr>
            <w:tcW w:w="1080"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评价权重</w:t>
            </w:r>
            <w:r>
              <w:rPr>
                <w:rFonts w:hint="default" w:ascii="Times New Roman" w:hAnsi="Times New Roman" w:eastAsia="仿宋_GB2312" w:cs="Times New Roman"/>
                <w:b/>
                <w:bCs/>
                <w:color w:val="000000"/>
                <w:kern w:val="0"/>
                <w:highlight w:val="none"/>
                <w:lang w:bidi="ar"/>
              </w:rPr>
              <w:t>得分</w:t>
            </w:r>
          </w:p>
        </w:tc>
        <w:tc>
          <w:tcPr>
            <w:tcW w:w="721"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eastAsia" w:eastAsia="仿宋_GB2312" w:cs="Times New Roman"/>
                <w:color w:val="000000"/>
                <w:kern w:val="0"/>
                <w:highlight w:val="none"/>
                <w:lang w:val="en-US" w:eastAsia="zh-CN" w:bidi="ar"/>
              </w:rPr>
              <w:t>部门绩效管理</w:t>
            </w:r>
          </w:p>
        </w:tc>
        <w:tc>
          <w:tcPr>
            <w:tcW w:w="69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eastAsia" w:eastAsia="仿宋_GB2312" w:cs="Times New Roman"/>
                <w:color w:val="000000"/>
                <w:kern w:val="0"/>
                <w:highlight w:val="none"/>
                <w:lang w:val="en-US" w:eastAsia="zh-CN" w:bidi="ar"/>
              </w:rPr>
              <w:t>60</w:t>
            </w:r>
          </w:p>
        </w:tc>
        <w:tc>
          <w:tcPr>
            <w:tcW w:w="827"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44</w:t>
            </w:r>
          </w:p>
        </w:tc>
        <w:tc>
          <w:tcPr>
            <w:tcW w:w="1080" w:type="pc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35.59</w:t>
            </w:r>
          </w:p>
        </w:tc>
        <w:tc>
          <w:tcPr>
            <w:tcW w:w="721" w:type="pc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专项预算管理</w:t>
            </w:r>
          </w:p>
        </w:tc>
        <w:tc>
          <w:tcPr>
            <w:tcW w:w="695" w:type="pc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827"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1080"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15.80</w:t>
            </w:r>
          </w:p>
        </w:tc>
        <w:tc>
          <w:tcPr>
            <w:tcW w:w="721"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79.00%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绩效结果应用</w:t>
            </w:r>
          </w:p>
        </w:tc>
        <w:tc>
          <w:tcPr>
            <w:tcW w:w="69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w:t>
            </w:r>
            <w:r>
              <w:rPr>
                <w:rFonts w:hint="default" w:ascii="Times New Roman" w:hAnsi="Times New Roman" w:eastAsia="仿宋_GB2312" w:cs="Times New Roman"/>
                <w:color w:val="000000"/>
                <w:kern w:val="0"/>
                <w:highlight w:val="none"/>
                <w:lang w:val="en-US" w:eastAsia="zh-CN" w:bidi="ar"/>
              </w:rPr>
              <w:t>0</w:t>
            </w:r>
          </w:p>
        </w:tc>
        <w:tc>
          <w:tcPr>
            <w:tcW w:w="827"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080"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721"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自评质量</w:t>
            </w:r>
          </w:p>
        </w:tc>
        <w:tc>
          <w:tcPr>
            <w:tcW w:w="69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10</w:t>
            </w:r>
          </w:p>
        </w:tc>
        <w:tc>
          <w:tcPr>
            <w:tcW w:w="827"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w:t>
            </w:r>
          </w:p>
        </w:tc>
        <w:tc>
          <w:tcPr>
            <w:tcW w:w="1080"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0</w:t>
            </w:r>
          </w:p>
        </w:tc>
        <w:tc>
          <w:tcPr>
            <w:tcW w:w="721"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67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69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100</w:t>
            </w:r>
          </w:p>
        </w:tc>
        <w:tc>
          <w:tcPr>
            <w:tcW w:w="827"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76</w:t>
            </w:r>
          </w:p>
        </w:tc>
        <w:tc>
          <w:tcPr>
            <w:tcW w:w="1080"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53.39</w:t>
            </w:r>
          </w:p>
        </w:tc>
        <w:tc>
          <w:tcPr>
            <w:tcW w:w="721" w:type="pct"/>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8" w:type="pct"/>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百分制换算得分合计</w:t>
            </w:r>
          </w:p>
        </w:tc>
        <w:tc>
          <w:tcPr>
            <w:tcW w:w="1080"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70.25</w:t>
            </w:r>
          </w:p>
        </w:tc>
        <w:tc>
          <w:tcPr>
            <w:tcW w:w="721"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bidi="ar"/>
              </w:rPr>
            </w:pPr>
            <w:r>
              <w:rPr>
                <w:rFonts w:hint="eastAsia" w:eastAsia="仿宋_GB2312" w:cs="Times New Roman"/>
                <w:b/>
                <w:bCs/>
                <w:color w:val="000000"/>
                <w:kern w:val="0"/>
                <w:highlight w:val="none"/>
                <w:lang w:val="en-US" w:eastAsia="zh-CN" w:bidi="ar"/>
              </w:rPr>
              <w:t>70.25%</w:t>
            </w:r>
          </w:p>
        </w:tc>
      </w:tr>
    </w:tbl>
    <w:p>
      <w:pPr>
        <w:pageBreakBefore w:val="0"/>
        <w:tabs>
          <w:tab w:val="center" w:pos="4405"/>
        </w:tabs>
        <w:kinsoku/>
        <w:wordWrap/>
        <w:overflowPunct w:val="0"/>
        <w:topLinePunct w:val="0"/>
        <w:autoSpaceDE w:val="0"/>
        <w:autoSpaceDN w:val="0"/>
        <w:bidi w:val="0"/>
        <w:adjustRightInd w:val="0"/>
        <w:spacing w:line="600" w:lineRule="exact"/>
        <w:ind w:left="0" w:leftChars="0" w:firstLine="0" w:firstLineChars="0"/>
        <w:textAlignment w:val="auto"/>
        <w:rPr>
          <w:rFonts w:hint="default" w:ascii="Times New Roman" w:hAnsi="Times New Roman" w:eastAsia="黑体" w:cs="Times New Roman"/>
          <w:b/>
          <w:bCs/>
          <w:sz w:val="30"/>
          <w:szCs w:val="30"/>
        </w:rPr>
      </w:pPr>
    </w:p>
    <w:p>
      <w:pPr>
        <w:snapToGrid w:val="0"/>
        <w:spacing w:line="600" w:lineRule="atLeast"/>
        <w:ind w:left="0" w:leftChars="0" w:firstLine="0" w:firstLineChars="0"/>
        <w:jc w:val="left"/>
        <w:rPr>
          <w:rFonts w:hint="default" w:ascii="Times New Roman" w:hAnsi="Times New Roman" w:eastAsia="仿宋" w:cs="Times New Roman"/>
          <w:b/>
          <w:sz w:val="36"/>
          <w:szCs w:val="44"/>
          <w:lang w:eastAsia="zh-CN"/>
        </w:rPr>
        <w:sectPr>
          <w:headerReference r:id="rId8" w:type="default"/>
          <w:footerReference r:id="rId9" w:type="default"/>
          <w:footnotePr>
            <w:numFmt w:val="decimalEnclosedCircleChinese"/>
          </w:footnotePr>
          <w:pgSz w:w="11906" w:h="16838"/>
          <w:pgMar w:top="1304" w:right="1418" w:bottom="1276" w:left="1418" w:header="851" w:footer="992" w:gutter="284"/>
          <w:pgBorders>
            <w:top w:val="none" w:sz="0" w:space="0"/>
            <w:left w:val="none" w:sz="0" w:space="0"/>
            <w:bottom w:val="none" w:sz="0" w:space="0"/>
            <w:right w:val="none" w:sz="0" w:space="0"/>
          </w:pgBorders>
          <w:pgNumType w:fmt="decimal" w:start="1"/>
          <w:cols w:space="720" w:num="1"/>
          <w:docGrid w:type="lines" w:linePitch="312" w:charSpace="0"/>
        </w:sectPr>
      </w:pPr>
    </w:p>
    <w:p>
      <w:pPr>
        <w:snapToGrid w:val="0"/>
        <w:spacing w:line="600" w:lineRule="atLeast"/>
        <w:ind w:left="0" w:leftChars="0" w:firstLine="0" w:firstLineChars="0"/>
        <w:jc w:val="left"/>
        <w:rPr>
          <w:rFonts w:hint="default" w:ascii="Times New Roman" w:hAnsi="Times New Roman" w:eastAsia="仿宋" w:cs="Times New Roman"/>
          <w:b/>
          <w:sz w:val="36"/>
          <w:szCs w:val="44"/>
          <w:lang w:eastAsia="zh-CN"/>
        </w:rPr>
      </w:pPr>
      <w:r>
        <w:rPr>
          <w:rFonts w:hint="eastAsia"/>
          <w:b/>
          <w:sz w:val="44"/>
          <w:szCs w:val="44"/>
          <w:u w:val="single"/>
          <w:shd w:val="clear" w:color="auto" w:fill="FFFFFF"/>
        </w:rPr>
        <w:drawing>
          <wp:inline distT="0" distB="0" distL="114300" distR="114300">
            <wp:extent cx="5481320" cy="1125220"/>
            <wp:effectExtent l="0" t="0" r="5080" b="5080"/>
            <wp:docPr id="11" name="图片 2" descr="113e0fc710a5a4f3d65bc20155a40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113e0fc710a5a4f3d65bc20155a406f"/>
                    <pic:cNvPicPr>
                      <a:picLocks noChangeAspect="1"/>
                    </pic:cNvPicPr>
                  </pic:nvPicPr>
                  <pic:blipFill>
                    <a:blip r:embed="rId13"/>
                    <a:stretch>
                      <a:fillRect/>
                    </a:stretch>
                  </pic:blipFill>
                  <pic:spPr>
                    <a:xfrm>
                      <a:off x="0" y="0"/>
                      <a:ext cx="5481320" cy="1125220"/>
                    </a:xfrm>
                    <a:prstGeom prst="rect">
                      <a:avLst/>
                    </a:prstGeom>
                    <a:noFill/>
                    <a:ln>
                      <a:noFill/>
                    </a:ln>
                  </pic:spPr>
                </pic:pic>
              </a:graphicData>
            </a:graphic>
          </wp:inline>
        </w:drawing>
      </w:r>
    </w:p>
    <w:p>
      <w:pPr>
        <w:snapToGrid w:val="0"/>
        <w:spacing w:line="600" w:lineRule="atLeast"/>
        <w:ind w:firstLine="723"/>
        <w:jc w:val="center"/>
        <w:rPr>
          <w:rFonts w:hint="default" w:ascii="Times New Roman" w:hAnsi="Times New Roman" w:eastAsia="黑体" w:cs="Times New Roman"/>
          <w:b/>
          <w:sz w:val="36"/>
          <w:szCs w:val="36"/>
          <w:lang w:val="en-US" w:eastAsia="zh-CN"/>
        </w:rPr>
      </w:pPr>
      <w:r>
        <w:rPr>
          <w:rFonts w:hint="default" w:ascii="Times New Roman" w:hAnsi="Times New Roman" w:eastAsia="仿宋" w:cs="Times New Roman"/>
          <w:b/>
          <w:sz w:val="36"/>
          <w:szCs w:val="44"/>
          <w:lang w:val="en-US" w:eastAsia="zh-CN"/>
        </w:rPr>
        <w:t xml:space="preserve">                 </w:t>
      </w:r>
      <w:r>
        <w:rPr>
          <w:rFonts w:hint="default" w:ascii="Times New Roman" w:hAnsi="Times New Roman" w:eastAsia="黑体" w:cs="Times New Roman"/>
          <w:b/>
          <w:sz w:val="32"/>
          <w:szCs w:val="32"/>
          <w:lang w:val="en-US" w:eastAsia="zh-CN"/>
        </w:rPr>
        <w:t>川融策绩评〔2023〕第</w:t>
      </w:r>
      <w:r>
        <w:rPr>
          <w:rFonts w:hint="eastAsia" w:eastAsia="黑体" w:cs="Times New Roman"/>
          <w:b/>
          <w:sz w:val="32"/>
          <w:szCs w:val="32"/>
          <w:lang w:val="en-US" w:eastAsia="zh-CN"/>
        </w:rPr>
        <w:t>××</w:t>
      </w:r>
      <w:r>
        <w:rPr>
          <w:rFonts w:hint="default" w:ascii="Times New Roman" w:hAnsi="Times New Roman" w:eastAsia="黑体" w:cs="Times New Roman"/>
          <w:b/>
          <w:sz w:val="32"/>
          <w:szCs w:val="32"/>
          <w:lang w:val="en-US" w:eastAsia="zh-CN"/>
        </w:rPr>
        <w:t>号</w:t>
      </w:r>
    </w:p>
    <w:p>
      <w:pPr>
        <w:ind w:firstLine="0" w:firstLineChars="0"/>
        <w:jc w:val="center"/>
        <w:rPr>
          <w:rFonts w:hint="default" w:ascii="Times New Roman" w:hAnsi="Times New Roman" w:cs="Times New Roman"/>
          <w:b/>
          <w:bCs/>
          <w:spacing w:val="-14"/>
          <w:sz w:val="36"/>
          <w:szCs w:val="36"/>
          <w:lang w:val="en-US" w:eastAsia="zh-CN"/>
        </w:rPr>
      </w:pPr>
    </w:p>
    <w:p>
      <w:pPr>
        <w:autoSpaceDE w:val="0"/>
        <w:autoSpaceDN w:val="0"/>
        <w:spacing w:line="600" w:lineRule="exact"/>
        <w:ind w:firstLine="0" w:firstLineChars="0"/>
        <w:jc w:val="center"/>
        <w:rPr>
          <w:rFonts w:hint="eastAsia" w:ascii="Times New Roman" w:hAnsi="Times New Roman" w:eastAsia="方正小标宋简体" w:cs="Times New Roman"/>
          <w:kern w:val="0"/>
          <w:sz w:val="44"/>
          <w:szCs w:val="44"/>
          <w:lang w:val="en-US" w:eastAsia="zh-CN" w:bidi="zh-CN"/>
        </w:rPr>
      </w:pPr>
      <w:r>
        <w:rPr>
          <w:rFonts w:hint="eastAsia" w:ascii="Times New Roman" w:hAnsi="Times New Roman" w:eastAsia="方正小标宋简体" w:cs="Times New Roman"/>
          <w:kern w:val="0"/>
          <w:sz w:val="44"/>
          <w:szCs w:val="44"/>
          <w:lang w:val="en-US" w:eastAsia="zh-CN" w:bidi="zh-CN"/>
        </w:rPr>
        <w:t>阿坝县民族宗教局</w:t>
      </w:r>
    </w:p>
    <w:p>
      <w:pPr>
        <w:autoSpaceDE w:val="0"/>
        <w:autoSpaceDN w:val="0"/>
        <w:spacing w:line="600" w:lineRule="exact"/>
        <w:ind w:firstLine="0" w:firstLineChars="0"/>
        <w:jc w:val="center"/>
        <w:rPr>
          <w:rFonts w:hint="default" w:ascii="Times New Roman" w:hAnsi="Times New Roman" w:eastAsia="方正小标宋简体" w:cs="Times New Roman"/>
          <w:kern w:val="0"/>
          <w:sz w:val="44"/>
          <w:szCs w:val="44"/>
          <w:lang w:val="en-US" w:eastAsia="zh-CN" w:bidi="zh-CN"/>
        </w:rPr>
      </w:pPr>
      <w:r>
        <w:rPr>
          <w:rFonts w:hint="eastAsia" w:ascii="Times New Roman" w:hAnsi="Times New Roman" w:eastAsia="方正小标宋简体" w:cs="Times New Roman"/>
          <w:kern w:val="0"/>
          <w:sz w:val="44"/>
          <w:szCs w:val="44"/>
          <w:lang w:val="en-US" w:eastAsia="zh-CN" w:bidi="zh-CN"/>
        </w:rPr>
        <w:t>2022年部门整体支出</w:t>
      </w:r>
      <w:r>
        <w:rPr>
          <w:rFonts w:hint="default" w:ascii="Times New Roman" w:hAnsi="Times New Roman" w:eastAsia="方正小标宋简体" w:cs="Times New Roman"/>
          <w:kern w:val="0"/>
          <w:sz w:val="44"/>
          <w:szCs w:val="44"/>
          <w:lang w:val="en-US" w:eastAsia="zh-CN" w:bidi="zh-CN"/>
        </w:rPr>
        <w:t>绩效评价报告</w:t>
      </w:r>
    </w:p>
    <w:p>
      <w:pPr>
        <w:autoSpaceDE w:val="0"/>
        <w:autoSpaceDN w:val="0"/>
        <w:spacing w:line="600" w:lineRule="exact"/>
        <w:ind w:firstLine="0" w:firstLineChars="0"/>
        <w:jc w:val="center"/>
        <w:rPr>
          <w:rFonts w:hint="default" w:ascii="Times New Roman" w:hAnsi="Times New Roman" w:eastAsia="方正小标宋简体" w:cs="Times New Roman"/>
          <w:kern w:val="0"/>
          <w:sz w:val="44"/>
          <w:szCs w:val="44"/>
          <w:lang w:val="en-US" w:eastAsia="zh-CN" w:bidi="zh-CN"/>
        </w:rPr>
      </w:pPr>
    </w:p>
    <w:p>
      <w:pPr>
        <w:spacing w:line="520" w:lineRule="exact"/>
        <w:ind w:firstLine="0" w:firstLineChars="0"/>
        <w:rPr>
          <w:rFonts w:hint="default" w:ascii="黑体" w:hAnsi="黑体" w:eastAsia="黑体" w:cs="黑体"/>
          <w:b/>
          <w:sz w:val="32"/>
          <w:szCs w:val="32"/>
          <w:lang w:val="zh-CN" w:eastAsia="zh-CN"/>
        </w:rPr>
      </w:pPr>
      <w:r>
        <w:rPr>
          <w:rFonts w:hint="eastAsia" w:ascii="黑体" w:hAnsi="黑体" w:eastAsia="黑体" w:cs="黑体"/>
          <w:b/>
          <w:sz w:val="32"/>
          <w:szCs w:val="32"/>
          <w:lang w:val="en-US" w:eastAsia="zh-CN"/>
        </w:rPr>
        <w:t>阿坝县财政局</w:t>
      </w:r>
      <w:r>
        <w:rPr>
          <w:rFonts w:hint="default" w:ascii="黑体" w:hAnsi="黑体" w:eastAsia="黑体" w:cs="黑体"/>
          <w:b/>
          <w:sz w:val="32"/>
          <w:szCs w:val="32"/>
          <w:lang w:val="zh-CN" w:eastAsia="zh-CN"/>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我们接受委托，于</w:t>
      </w:r>
      <w:r>
        <w:rPr>
          <w:rFonts w:hint="default" w:ascii="Times New Roman" w:hAnsi="Times New Roman" w:eastAsia="仿宋_GB2312" w:cs="Times New Roman"/>
          <w:color w:val="auto"/>
          <w:kern w:val="0"/>
          <w:sz w:val="32"/>
          <w:szCs w:val="32"/>
          <w:highlight w:val="none"/>
          <w:shd w:val="clear" w:color="auto" w:fill="FFFFFF"/>
          <w:lang w:val="en-US" w:eastAsia="zh-CN"/>
        </w:rPr>
        <w:t>202</w:t>
      </w:r>
      <w:r>
        <w:rPr>
          <w:rFonts w:hint="eastAsia" w:eastAsia="仿宋_GB2312" w:cs="Times New Roman"/>
          <w:color w:val="auto"/>
          <w:kern w:val="0"/>
          <w:sz w:val="32"/>
          <w:szCs w:val="32"/>
          <w:highlight w:val="none"/>
          <w:shd w:val="clear" w:color="auto" w:fill="FFFFFF"/>
          <w:lang w:val="en-US" w:eastAsia="zh-CN"/>
        </w:rPr>
        <w:t>3</w:t>
      </w:r>
      <w:r>
        <w:rPr>
          <w:rFonts w:hint="eastAsia" w:ascii="Times New Roman" w:hAnsi="Times New Roman" w:eastAsia="仿宋_GB2312" w:cs="Times New Roman"/>
          <w:color w:val="auto"/>
          <w:kern w:val="0"/>
          <w:sz w:val="32"/>
          <w:szCs w:val="32"/>
          <w:highlight w:val="none"/>
          <w:shd w:val="clear" w:color="auto" w:fill="FFFFFF"/>
          <w:lang w:val="en-US" w:eastAsia="zh-CN"/>
        </w:rPr>
        <w:t>年</w:t>
      </w:r>
      <w:r>
        <w:rPr>
          <w:rFonts w:hint="eastAsia" w:eastAsia="仿宋_GB2312" w:cs="Times New Roman"/>
          <w:color w:val="auto"/>
          <w:kern w:val="0"/>
          <w:sz w:val="32"/>
          <w:szCs w:val="32"/>
          <w:highlight w:val="none"/>
          <w:shd w:val="clear" w:color="auto" w:fill="FFFFFF"/>
          <w:lang w:val="en-US" w:eastAsia="zh-CN"/>
        </w:rPr>
        <w:t>10</w:t>
      </w:r>
      <w:r>
        <w:rPr>
          <w:rFonts w:hint="eastAsia" w:ascii="Times New Roman" w:hAnsi="Times New Roman" w:eastAsia="仿宋_GB2312" w:cs="Times New Roman"/>
          <w:color w:val="auto"/>
          <w:kern w:val="0"/>
          <w:sz w:val="32"/>
          <w:szCs w:val="32"/>
          <w:highlight w:val="none"/>
          <w:shd w:val="clear" w:color="auto" w:fill="FFFFFF"/>
          <w:lang w:val="en-US" w:eastAsia="zh-CN"/>
        </w:rPr>
        <w:t>月</w:t>
      </w:r>
      <w:r>
        <w:rPr>
          <w:rFonts w:hint="eastAsia" w:eastAsia="仿宋_GB2312" w:cs="Times New Roman"/>
          <w:color w:val="auto"/>
          <w:kern w:val="0"/>
          <w:sz w:val="32"/>
          <w:szCs w:val="32"/>
          <w:highlight w:val="none"/>
          <w:shd w:val="clear" w:color="auto" w:fill="FFFFFF"/>
          <w:lang w:val="en-US" w:eastAsia="zh-CN"/>
        </w:rPr>
        <w:t>22</w:t>
      </w:r>
      <w:r>
        <w:rPr>
          <w:rFonts w:hint="eastAsia" w:ascii="Times New Roman" w:hAnsi="Times New Roman" w:eastAsia="仿宋_GB2312" w:cs="Times New Roman"/>
          <w:color w:val="auto"/>
          <w:kern w:val="0"/>
          <w:sz w:val="32"/>
          <w:szCs w:val="32"/>
          <w:highlight w:val="none"/>
          <w:shd w:val="clear" w:color="auto" w:fill="FFFFFF"/>
          <w:lang w:val="en-US" w:eastAsia="zh-CN"/>
        </w:rPr>
        <w:t>日-202</w:t>
      </w:r>
      <w:r>
        <w:rPr>
          <w:rFonts w:hint="eastAsia" w:eastAsia="仿宋_GB2312" w:cs="Times New Roman"/>
          <w:color w:val="auto"/>
          <w:kern w:val="0"/>
          <w:sz w:val="32"/>
          <w:szCs w:val="32"/>
          <w:highlight w:val="none"/>
          <w:shd w:val="clear" w:color="auto" w:fill="FFFFFF"/>
          <w:lang w:val="en-US" w:eastAsia="zh-CN"/>
        </w:rPr>
        <w:t>3</w:t>
      </w:r>
      <w:r>
        <w:rPr>
          <w:rFonts w:hint="eastAsia" w:ascii="Times New Roman" w:hAnsi="Times New Roman" w:eastAsia="仿宋_GB2312" w:cs="Times New Roman"/>
          <w:color w:val="auto"/>
          <w:kern w:val="0"/>
          <w:sz w:val="32"/>
          <w:szCs w:val="32"/>
          <w:highlight w:val="none"/>
          <w:shd w:val="clear" w:color="auto" w:fill="FFFFFF"/>
          <w:lang w:val="en-US" w:eastAsia="zh-CN"/>
        </w:rPr>
        <w:t>年</w:t>
      </w:r>
      <w:r>
        <w:rPr>
          <w:rFonts w:hint="eastAsia" w:eastAsia="仿宋_GB2312" w:cs="Times New Roman"/>
          <w:color w:val="auto"/>
          <w:kern w:val="0"/>
          <w:sz w:val="32"/>
          <w:szCs w:val="32"/>
          <w:highlight w:val="none"/>
          <w:shd w:val="clear" w:color="auto" w:fill="FFFFFF"/>
          <w:lang w:val="en-US" w:eastAsia="zh-CN"/>
        </w:rPr>
        <w:t>11</w:t>
      </w:r>
      <w:r>
        <w:rPr>
          <w:rFonts w:hint="eastAsia" w:ascii="Times New Roman" w:hAnsi="Times New Roman" w:eastAsia="仿宋_GB2312" w:cs="Times New Roman"/>
          <w:color w:val="auto"/>
          <w:kern w:val="0"/>
          <w:sz w:val="32"/>
          <w:szCs w:val="32"/>
          <w:highlight w:val="none"/>
          <w:shd w:val="clear" w:color="auto" w:fill="FFFFFF"/>
          <w:lang w:val="en-US" w:eastAsia="zh-CN"/>
        </w:rPr>
        <w:t>月</w:t>
      </w:r>
      <w:r>
        <w:rPr>
          <w:rFonts w:hint="eastAsia" w:eastAsia="仿宋_GB2312" w:cs="Times New Roman"/>
          <w:color w:val="auto"/>
          <w:kern w:val="0"/>
          <w:sz w:val="32"/>
          <w:szCs w:val="32"/>
          <w:highlight w:val="none"/>
          <w:shd w:val="clear" w:color="auto" w:fill="FFFFFF"/>
          <w:lang w:val="en-US" w:eastAsia="zh-CN"/>
        </w:rPr>
        <w:t>30</w:t>
      </w:r>
      <w:r>
        <w:rPr>
          <w:rFonts w:hint="eastAsia" w:ascii="Times New Roman" w:hAnsi="Times New Roman" w:eastAsia="仿宋_GB2312" w:cs="Times New Roman"/>
          <w:color w:val="auto"/>
          <w:kern w:val="0"/>
          <w:sz w:val="32"/>
          <w:szCs w:val="32"/>
          <w:highlight w:val="none"/>
          <w:shd w:val="clear" w:color="auto" w:fill="FFFFFF"/>
          <w:lang w:val="en-US" w:eastAsia="zh-CN"/>
        </w:rPr>
        <w:t>日</w:t>
      </w:r>
      <w:r>
        <w:rPr>
          <w:rFonts w:hint="eastAsia" w:ascii="Times New Roman" w:hAnsi="Times New Roman" w:eastAsia="仿宋_GB2312" w:cs="Times New Roman"/>
          <w:color w:val="000000"/>
          <w:kern w:val="0"/>
          <w:sz w:val="32"/>
          <w:szCs w:val="32"/>
          <w:highlight w:val="none"/>
          <w:lang w:val="en-US" w:eastAsia="zh-CN" w:bidi="ar"/>
        </w:rPr>
        <w:t>对“</w:t>
      </w:r>
      <w:r>
        <w:rPr>
          <w:rFonts w:hint="eastAsia" w:eastAsia="仿宋_GB2312" w:cs="Times New Roman"/>
          <w:color w:val="000000"/>
          <w:kern w:val="0"/>
          <w:sz w:val="32"/>
          <w:szCs w:val="32"/>
          <w:highlight w:val="none"/>
          <w:lang w:val="en-US" w:eastAsia="zh-CN" w:bidi="ar"/>
        </w:rPr>
        <w:t>阿坝县民族宗教局2022</w:t>
      </w:r>
      <w:r>
        <w:rPr>
          <w:rFonts w:hint="eastAsia" w:ascii="Times New Roman" w:hAnsi="Times New Roman" w:eastAsia="仿宋_GB2312" w:cs="Times New Roman"/>
          <w:color w:val="000000"/>
          <w:kern w:val="0"/>
          <w:sz w:val="32"/>
          <w:szCs w:val="32"/>
          <w:highlight w:val="none"/>
          <w:lang w:val="en-US" w:eastAsia="zh-CN" w:bidi="ar"/>
        </w:rPr>
        <w:t>年部门整体”财政支出进行绩效评价。</w:t>
      </w:r>
      <w:r>
        <w:rPr>
          <w:rFonts w:hint="eastAsia" w:eastAsia="仿宋_GB2312" w:cs="Times New Roman"/>
          <w:color w:val="000000"/>
          <w:kern w:val="0"/>
          <w:sz w:val="32"/>
          <w:szCs w:val="32"/>
          <w:highlight w:val="none"/>
          <w:lang w:val="en-US" w:eastAsia="zh-CN" w:bidi="ar"/>
        </w:rPr>
        <w:t>阿坝县民族宗教局</w:t>
      </w:r>
      <w:r>
        <w:rPr>
          <w:rFonts w:hint="eastAsia" w:ascii="Times New Roman" w:hAnsi="Times New Roman" w:eastAsia="仿宋_GB2312" w:cs="Times New Roman"/>
          <w:color w:val="000000"/>
          <w:kern w:val="0"/>
          <w:sz w:val="32"/>
          <w:szCs w:val="32"/>
          <w:highlight w:val="none"/>
          <w:lang w:val="en-US" w:eastAsia="zh-CN" w:bidi="ar"/>
        </w:rPr>
        <w:t>作为被评价单位，提供了与本次部门整体支出绩效评价相关的资料，并对这些资料的真实性、合法性和完整性负责。我们的责任是依据被评价单位提供的评价基础资料，根据《国务院关于深化预算管理制度改革的决定》（国发〔2014〕45号）、《预算法》以及《四川省财政支出绩效评价管理办法》的规定，按照《中共四川省委 四川省人民政府关于全面实施预算绩效管理的实施意见》（川委发〔2019〕8号）</w:t>
      </w:r>
      <w:r>
        <w:rPr>
          <w:rFonts w:hint="eastAsia" w:ascii="Times New Roman" w:hAnsi="Times New Roman" w:eastAsia="仿宋_GB2312" w:cs="Times New Roman"/>
          <w:color w:val="auto"/>
          <w:kern w:val="0"/>
          <w:sz w:val="32"/>
          <w:szCs w:val="32"/>
          <w:highlight w:val="none"/>
          <w:shd w:val="clear" w:color="auto" w:fill="FFFFFF"/>
          <w:lang w:val="en-US" w:eastAsia="zh-CN"/>
        </w:rPr>
        <w:t>和《阿坝州财政局关于做好财政厅2023年政策和项目支出绩效评价工作的通知》（阿州财监绩〔2023〕21号）</w:t>
      </w:r>
      <w:r>
        <w:rPr>
          <w:rFonts w:hint="eastAsia" w:eastAsia="仿宋_GB2312" w:cs="Times New Roman"/>
          <w:color w:val="auto"/>
          <w:kern w:val="0"/>
          <w:sz w:val="32"/>
          <w:szCs w:val="32"/>
          <w:highlight w:val="none"/>
          <w:shd w:val="clear" w:color="auto" w:fill="FFFFFF"/>
          <w:lang w:val="en-US" w:eastAsia="zh-CN"/>
        </w:rPr>
        <w:t>《阿坝县财政局关于开展2023年部门、政策和项目支出绩效评价工作的通知》（阿县财监绩〔2023〕30号）</w:t>
      </w:r>
      <w:r>
        <w:rPr>
          <w:rFonts w:hint="eastAsia" w:ascii="Times New Roman" w:hAnsi="Times New Roman" w:eastAsia="仿宋_GB2312" w:cs="Times New Roman"/>
          <w:color w:val="000000"/>
          <w:kern w:val="0"/>
          <w:sz w:val="32"/>
          <w:szCs w:val="32"/>
          <w:highlight w:val="none"/>
          <w:lang w:val="en-US" w:eastAsia="zh-CN" w:bidi="ar"/>
        </w:rPr>
        <w:t>的相关要求，遵循科学性、规范性、客观性和公正性的原则，对“</w:t>
      </w:r>
      <w:r>
        <w:rPr>
          <w:rFonts w:hint="eastAsia" w:eastAsia="仿宋_GB2312" w:cs="Times New Roman"/>
          <w:color w:val="000000"/>
          <w:kern w:val="0"/>
          <w:sz w:val="32"/>
          <w:szCs w:val="32"/>
          <w:highlight w:val="none"/>
          <w:lang w:val="en-US" w:eastAsia="zh-CN" w:bidi="ar"/>
        </w:rPr>
        <w:t>阿坝县民族宗教局2022</w:t>
      </w:r>
      <w:r>
        <w:rPr>
          <w:rFonts w:hint="eastAsia" w:ascii="Times New Roman" w:hAnsi="Times New Roman" w:eastAsia="仿宋_GB2312" w:cs="Times New Roman"/>
          <w:color w:val="000000"/>
          <w:kern w:val="0"/>
          <w:sz w:val="32"/>
          <w:szCs w:val="32"/>
          <w:highlight w:val="none"/>
          <w:lang w:val="en-US" w:eastAsia="zh-CN" w:bidi="ar"/>
        </w:rPr>
        <w:t>年部门整体支出”财政支出绩效实施了评价，形成本评价报告。我们相信，我们的评价工作为发表意见提供了合理的基础。本次评价具体情况如下：</w:t>
      </w:r>
    </w:p>
    <w:p>
      <w:pPr>
        <w:pStyle w:val="2"/>
        <w:spacing w:before="156" w:after="156" w:line="600" w:lineRule="exact"/>
        <w:ind w:firstLine="602"/>
        <w:rPr>
          <w:rFonts w:hint="default" w:ascii="Times New Roman" w:hAnsi="Times New Roman" w:cs="Times New Roman"/>
          <w:sz w:val="30"/>
          <w:szCs w:val="30"/>
        </w:rPr>
      </w:pPr>
      <w:bookmarkStart w:id="5" w:name="_Toc16362"/>
      <w:bookmarkStart w:id="6" w:name="_Toc17135"/>
      <w:bookmarkStart w:id="7" w:name="_Toc20114"/>
      <w:bookmarkStart w:id="8" w:name="_Toc8512"/>
      <w:bookmarkStart w:id="9" w:name="_Toc8760"/>
      <w:r>
        <w:rPr>
          <w:rFonts w:hint="default" w:ascii="Times New Roman" w:hAnsi="Times New Roman" w:cs="Times New Roman"/>
          <w:sz w:val="30"/>
          <w:szCs w:val="30"/>
        </w:rPr>
        <w:t>一、</w:t>
      </w:r>
      <w:bookmarkEnd w:id="5"/>
      <w:r>
        <w:rPr>
          <w:rFonts w:hint="default" w:ascii="Times New Roman" w:hAnsi="Times New Roman" w:cs="Times New Roman"/>
          <w:sz w:val="30"/>
          <w:szCs w:val="30"/>
        </w:rPr>
        <w:t>部门概况</w:t>
      </w:r>
      <w:bookmarkEnd w:id="6"/>
      <w:bookmarkEnd w:id="7"/>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rPr>
      </w:pPr>
      <w:bookmarkStart w:id="10" w:name="_Toc23220"/>
      <w:bookmarkStart w:id="11" w:name="_Toc2254"/>
      <w:r>
        <w:rPr>
          <w:rFonts w:hint="default" w:ascii="Times New Roman" w:hAnsi="Times New Roman" w:eastAsia="楷体_GB2312" w:cs="Times New Roman"/>
          <w:color w:val="auto"/>
          <w:sz w:val="32"/>
        </w:rPr>
        <w:t>（一）部门机构设置、编制、职责</w:t>
      </w:r>
      <w:bookmarkEnd w:id="10"/>
      <w:bookmarkEnd w:id="11"/>
    </w:p>
    <w:p>
      <w:pPr>
        <w:pStyle w:val="4"/>
        <w:pageBreakBefore w:val="0"/>
        <w:widowControl w:val="0"/>
        <w:kinsoku/>
        <w:wordWrap/>
        <w:overflowPunct/>
        <w:topLinePunct w:val="0"/>
        <w:autoSpaceDE/>
        <w:autoSpaceDN/>
        <w:bidi w:val="0"/>
        <w:adjustRightInd/>
        <w:spacing w:line="600" w:lineRule="exact"/>
        <w:ind w:firstLine="640"/>
        <w:textAlignment w:val="auto"/>
        <w:rPr>
          <w:rFonts w:hint="default" w:ascii="Times New Roman" w:hAnsi="Times New Roman" w:eastAsia="仿宋_GB2312" w:cs="Times New Roman"/>
        </w:rPr>
      </w:pPr>
      <w:bookmarkStart w:id="12" w:name="_Toc671"/>
      <w:bookmarkStart w:id="13" w:name="_Toc22586"/>
      <w:bookmarkStart w:id="14" w:name="_Toc55586766"/>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部门机构设置</w:t>
      </w:r>
      <w:bookmarkEnd w:id="12"/>
      <w:bookmarkEnd w:id="13"/>
      <w:bookmarkEnd w:id="14"/>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阿坝县民族宗教局</w:t>
      </w:r>
      <w:r>
        <w:rPr>
          <w:rFonts w:hint="eastAsia" w:ascii="Times New Roman" w:hAnsi="Times New Roman" w:eastAsia="仿宋_GB2312" w:cs="Times New Roman"/>
          <w:color w:val="000000"/>
          <w:kern w:val="0"/>
          <w:sz w:val="32"/>
          <w:szCs w:val="32"/>
          <w:highlight w:val="none"/>
          <w:lang w:val="en-US" w:eastAsia="zh-CN" w:bidi="ar"/>
        </w:rPr>
        <w:t>（简称县</w:t>
      </w:r>
      <w:r>
        <w:rPr>
          <w:rFonts w:hint="eastAsia" w:eastAsia="仿宋_GB2312" w:cs="Times New Roman"/>
          <w:color w:val="000000"/>
          <w:kern w:val="0"/>
          <w:sz w:val="32"/>
          <w:szCs w:val="32"/>
          <w:highlight w:val="none"/>
          <w:lang w:val="en-US" w:eastAsia="zh-CN" w:bidi="ar"/>
        </w:rPr>
        <w:t>民宗局</w:t>
      </w:r>
      <w:r>
        <w:rPr>
          <w:rFonts w:hint="eastAsia" w:ascii="Times New Roman" w:hAnsi="Times New Roman" w:eastAsia="仿宋_GB2312" w:cs="Times New Roman"/>
          <w:color w:val="000000"/>
          <w:kern w:val="0"/>
          <w:sz w:val="32"/>
          <w:szCs w:val="32"/>
          <w:highlight w:val="none"/>
          <w:lang w:val="en-US" w:eastAsia="zh-CN" w:bidi="ar"/>
        </w:rPr>
        <w:t>）是阿坝县人民政府工作部门。</w:t>
      </w:r>
      <w:r>
        <w:rPr>
          <w:rFonts w:hint="eastAsia" w:eastAsia="仿宋_GB2312" w:cs="Times New Roman"/>
          <w:color w:val="000000"/>
          <w:kern w:val="0"/>
          <w:sz w:val="32"/>
          <w:szCs w:val="32"/>
          <w:highlight w:val="none"/>
          <w:lang w:val="en-US" w:eastAsia="zh-CN" w:bidi="ar"/>
        </w:rPr>
        <w:t>阿坝县民族宗教局</w:t>
      </w:r>
      <w:r>
        <w:rPr>
          <w:rFonts w:hint="eastAsia" w:ascii="Times New Roman" w:hAnsi="Times New Roman" w:eastAsia="仿宋_GB2312" w:cs="Times New Roman"/>
          <w:color w:val="000000"/>
          <w:kern w:val="0"/>
          <w:sz w:val="32"/>
          <w:szCs w:val="32"/>
          <w:highlight w:val="none"/>
          <w:lang w:val="en-US" w:eastAsia="zh-CN" w:bidi="ar"/>
        </w:rPr>
        <w:t>下设</w:t>
      </w:r>
      <w:r>
        <w:rPr>
          <w:rFonts w:hint="eastAsia" w:eastAsia="仿宋_GB2312" w:cs="Times New Roman"/>
          <w:color w:val="000000"/>
          <w:kern w:val="0"/>
          <w:sz w:val="32"/>
          <w:szCs w:val="32"/>
          <w:highlight w:val="none"/>
          <w:lang w:val="en-US" w:eastAsia="zh-CN" w:bidi="ar"/>
        </w:rPr>
        <w:t>行政秘书股</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民族事务股、宗教管理股、两项资金办公室、少数民族语言文字委员会办公室，阿坝县民族宗教局</w:t>
      </w:r>
      <w:r>
        <w:rPr>
          <w:rFonts w:hint="eastAsia" w:ascii="Times New Roman" w:hAnsi="Times New Roman" w:eastAsia="仿宋_GB2312" w:cs="Times New Roman"/>
          <w:color w:val="000000"/>
          <w:kern w:val="0"/>
          <w:sz w:val="32"/>
          <w:szCs w:val="32"/>
          <w:highlight w:val="none"/>
          <w:lang w:val="en-US" w:eastAsia="zh-CN" w:bidi="ar"/>
        </w:rPr>
        <w:t>下属二级单位1个，其中</w:t>
      </w:r>
      <w:r>
        <w:rPr>
          <w:rFonts w:hint="eastAsia" w:eastAsia="仿宋_GB2312" w:cs="Times New Roman"/>
          <w:color w:val="000000"/>
          <w:kern w:val="0"/>
          <w:sz w:val="32"/>
          <w:szCs w:val="32"/>
          <w:highlight w:val="none"/>
          <w:lang w:val="en-US" w:eastAsia="zh-CN" w:bidi="ar"/>
        </w:rPr>
        <w:t>事业</w:t>
      </w:r>
      <w:r>
        <w:rPr>
          <w:rFonts w:hint="eastAsia" w:ascii="Times New Roman" w:hAnsi="Times New Roman" w:eastAsia="仿宋_GB2312" w:cs="Times New Roman"/>
          <w:color w:val="000000"/>
          <w:kern w:val="0"/>
          <w:sz w:val="32"/>
          <w:szCs w:val="32"/>
          <w:highlight w:val="none"/>
          <w:lang w:val="en-US" w:eastAsia="zh-CN" w:bidi="ar"/>
        </w:rPr>
        <w:t>单位1个为</w:t>
      </w:r>
      <w:r>
        <w:rPr>
          <w:rFonts w:hint="eastAsia" w:eastAsia="仿宋_GB2312" w:cs="Times New Roman"/>
          <w:color w:val="000000"/>
          <w:kern w:val="0"/>
          <w:sz w:val="32"/>
          <w:szCs w:val="32"/>
          <w:highlight w:val="none"/>
          <w:lang w:val="en-US" w:eastAsia="zh-CN" w:bidi="ar"/>
        </w:rPr>
        <w:t>宗教事务培训中心</w:t>
      </w:r>
      <w:r>
        <w:rPr>
          <w:rFonts w:hint="eastAsia" w:ascii="Times New Roman" w:hAnsi="Times New Roman" w:eastAsia="仿宋_GB2312" w:cs="Times New Roman"/>
          <w:color w:val="000000"/>
          <w:kern w:val="0"/>
          <w:sz w:val="32"/>
          <w:szCs w:val="32"/>
          <w:highlight w:val="none"/>
          <w:lang w:val="en-US" w:eastAsia="zh-CN" w:bidi="ar"/>
        </w:rPr>
        <w:t>。</w:t>
      </w:r>
    </w:p>
    <w:p>
      <w:pPr>
        <w:pStyle w:val="4"/>
        <w:spacing w:line="600" w:lineRule="exact"/>
        <w:rPr>
          <w:rFonts w:hint="default" w:ascii="Times New Roman" w:hAnsi="Times New Roman" w:eastAsia="仿宋_GB2312" w:cs="Times New Roman"/>
          <w:kern w:val="0"/>
          <w:sz w:val="32"/>
          <w:szCs w:val="32"/>
          <w:highlight w:val="none"/>
          <w:shd w:val="clear" w:color="auto" w:fill="FFFFFF"/>
        </w:rPr>
      </w:pPr>
      <w:bookmarkStart w:id="15" w:name="_Toc13402"/>
      <w:bookmarkStart w:id="16" w:name="_Toc55586767"/>
      <w:bookmarkStart w:id="17" w:name="_Toc3920"/>
      <w:r>
        <w:rPr>
          <w:rFonts w:hint="default" w:ascii="Times New Roman" w:hAnsi="Times New Roman" w:eastAsia="仿宋_GB2312" w:cs="Times New Roman"/>
          <w:highlight w:val="none"/>
          <w:lang w:val="en-US" w:eastAsia="zh-CN"/>
        </w:rPr>
        <w:t>2</w:t>
      </w:r>
      <w:r>
        <w:rPr>
          <w:rFonts w:hint="default" w:ascii="Times New Roman" w:hAnsi="Times New Roman" w:eastAsia="仿宋_GB2312" w:cs="Times New Roman"/>
          <w:highlight w:val="none"/>
        </w:rPr>
        <w:t>、部门编制</w:t>
      </w:r>
      <w:bookmarkEnd w:id="15"/>
      <w:bookmarkEnd w:id="16"/>
      <w:bookmarkEnd w:id="17"/>
    </w:p>
    <w:p>
      <w:pPr>
        <w:keepNext w:val="0"/>
        <w:keepLines w:val="0"/>
        <w:pageBreakBefore w:val="0"/>
        <w:kinsoku/>
        <w:wordWrap/>
        <w:overflowPunct/>
        <w:topLinePunct w:val="0"/>
        <w:autoSpaceDE/>
        <w:autoSpaceDN/>
        <w:bidi w:val="0"/>
        <w:spacing w:line="600" w:lineRule="exact"/>
        <w:ind w:firstLine="640"/>
        <w:jc w:val="both"/>
        <w:textAlignment w:val="auto"/>
        <w:rPr>
          <w:rFonts w:hint="default" w:ascii="Times New Roman" w:hAnsi="Times New Roman" w:eastAsia="仿宋_GB2312" w:cs="Times New Roman"/>
          <w:b/>
          <w:bCs/>
          <w:color w:val="000000"/>
          <w:kern w:val="0"/>
          <w:sz w:val="28"/>
          <w:szCs w:val="28"/>
          <w:shd w:val="clear" w:color="auto" w:fill="FFFFFF"/>
          <w:lang w:val="en-US" w:eastAsia="zh-CN"/>
        </w:rPr>
      </w:pPr>
      <w:r>
        <w:rPr>
          <w:rFonts w:hint="default" w:ascii="Times New Roman" w:hAnsi="Times New Roman" w:eastAsia="仿宋_GB2312" w:cs="Times New Roman"/>
          <w:b/>
          <w:bCs/>
          <w:kern w:val="2"/>
          <w:sz w:val="32"/>
          <w:szCs w:val="32"/>
          <w:lang w:val="en-US" w:eastAsia="zh-CN" w:bidi="ar-SA"/>
        </w:rPr>
        <w:t>（1）人员配备</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根据《阿坝县机构改革方案》（阿县委发〔2019〕2号）和《关于&lt;阿坝县机构改革方案&gt;的实施意见》（阿县机改〔2019〕1号），</w:t>
      </w:r>
      <w:r>
        <w:rPr>
          <w:rFonts w:hint="eastAsia" w:eastAsia="仿宋_GB2312" w:cs="Times New Roman"/>
          <w:color w:val="000000"/>
          <w:kern w:val="0"/>
          <w:sz w:val="32"/>
          <w:szCs w:val="32"/>
          <w:highlight w:val="none"/>
          <w:lang w:val="en-US" w:eastAsia="zh-CN" w:bidi="ar"/>
        </w:rPr>
        <w:t>阿坝县民族宗教局</w:t>
      </w:r>
      <w:r>
        <w:rPr>
          <w:rFonts w:hint="eastAsia" w:ascii="Times New Roman" w:hAnsi="Times New Roman" w:eastAsia="仿宋_GB2312" w:cs="Times New Roman"/>
          <w:color w:val="000000"/>
          <w:kern w:val="0"/>
          <w:sz w:val="32"/>
          <w:szCs w:val="32"/>
          <w:highlight w:val="none"/>
          <w:lang w:val="en-US" w:eastAsia="zh-CN" w:bidi="ar"/>
        </w:rPr>
        <w:t>为行政单位，行政编制</w:t>
      </w:r>
      <w:r>
        <w:rPr>
          <w:rFonts w:hint="eastAsia" w:eastAsia="仿宋_GB2312" w:cs="Times New Roman"/>
          <w:color w:val="000000"/>
          <w:kern w:val="0"/>
          <w:sz w:val="32"/>
          <w:szCs w:val="32"/>
          <w:highlight w:val="none"/>
          <w:lang w:val="en-US" w:eastAsia="zh-CN" w:bidi="ar"/>
        </w:rPr>
        <w:t>14</w:t>
      </w:r>
      <w:r>
        <w:rPr>
          <w:rFonts w:hint="eastAsia" w:ascii="Times New Roman" w:hAnsi="Times New Roman" w:eastAsia="仿宋_GB2312" w:cs="Times New Roman"/>
          <w:color w:val="000000"/>
          <w:kern w:val="0"/>
          <w:sz w:val="32"/>
          <w:szCs w:val="32"/>
          <w:highlight w:val="none"/>
          <w:lang w:val="en-US" w:eastAsia="zh-CN" w:bidi="ar"/>
        </w:rPr>
        <w:t>名。</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截至绩效评价日，</w:t>
      </w:r>
      <w:r>
        <w:rPr>
          <w:rFonts w:hint="eastAsia" w:eastAsia="仿宋_GB2312" w:cs="Times New Roman"/>
          <w:color w:val="000000"/>
          <w:kern w:val="0"/>
          <w:sz w:val="32"/>
          <w:szCs w:val="32"/>
          <w:highlight w:val="none"/>
          <w:lang w:val="en-US" w:eastAsia="zh-CN" w:bidi="ar"/>
        </w:rPr>
        <w:t>阿坝县民族宗教局</w:t>
      </w:r>
      <w:r>
        <w:rPr>
          <w:rFonts w:hint="eastAsia" w:ascii="Times New Roman" w:hAnsi="Times New Roman" w:eastAsia="仿宋_GB2312" w:cs="Times New Roman"/>
          <w:color w:val="000000"/>
          <w:kern w:val="0"/>
          <w:sz w:val="32"/>
          <w:szCs w:val="32"/>
          <w:highlight w:val="none"/>
          <w:lang w:val="en-US" w:eastAsia="zh-CN" w:bidi="ar"/>
        </w:rPr>
        <w:t>在</w:t>
      </w:r>
      <w:r>
        <w:rPr>
          <w:rFonts w:hint="default" w:ascii="Times New Roman" w:hAnsi="Times New Roman" w:eastAsia="仿宋_GB2312" w:cs="Times New Roman"/>
          <w:color w:val="000000"/>
          <w:kern w:val="0"/>
          <w:sz w:val="32"/>
          <w:szCs w:val="32"/>
          <w:highlight w:val="none"/>
          <w:lang w:val="en-US" w:eastAsia="zh-CN" w:bidi="ar"/>
        </w:rPr>
        <w:t>编人员共计</w:t>
      </w:r>
      <w:r>
        <w:rPr>
          <w:rFonts w:hint="eastAsia" w:ascii="Times New Roman" w:hAnsi="Times New Roman" w:eastAsia="仿宋_GB2312" w:cs="Times New Roman"/>
          <w:color w:val="000000"/>
          <w:kern w:val="0"/>
          <w:sz w:val="32"/>
          <w:szCs w:val="32"/>
          <w:highlight w:val="none"/>
          <w:lang w:val="en-US" w:eastAsia="zh-CN" w:bidi="ar"/>
        </w:rPr>
        <w:t>14</w:t>
      </w:r>
      <w:r>
        <w:rPr>
          <w:rFonts w:hint="default" w:ascii="Times New Roman" w:hAnsi="Times New Roman" w:eastAsia="仿宋_GB2312" w:cs="Times New Roman"/>
          <w:color w:val="000000"/>
          <w:kern w:val="0"/>
          <w:sz w:val="32"/>
          <w:szCs w:val="32"/>
          <w:highlight w:val="none"/>
          <w:lang w:val="en-US" w:eastAsia="zh-CN" w:bidi="ar"/>
        </w:rPr>
        <w:t>名</w:t>
      </w:r>
      <w:r>
        <w:rPr>
          <w:rFonts w:hint="eastAsia" w:ascii="Times New Roman" w:hAnsi="Times New Roman" w:eastAsia="仿宋_GB2312" w:cs="Times New Roman"/>
          <w:color w:val="000000"/>
          <w:kern w:val="0"/>
          <w:sz w:val="32"/>
          <w:szCs w:val="32"/>
          <w:highlight w:val="none"/>
          <w:lang w:val="en-US" w:eastAsia="zh-CN" w:bidi="ar"/>
        </w:rPr>
        <w:t>，其中</w:t>
      </w:r>
      <w:r>
        <w:rPr>
          <w:rFonts w:hint="eastAsia" w:eastAsia="仿宋_GB2312" w:cs="Times New Roman"/>
          <w:color w:val="000000"/>
          <w:kern w:val="0"/>
          <w:sz w:val="32"/>
          <w:szCs w:val="32"/>
          <w:highlight w:val="none"/>
          <w:lang w:val="en-US" w:eastAsia="zh-CN" w:bidi="ar"/>
        </w:rPr>
        <w:t>行政编制13</w:t>
      </w:r>
      <w:r>
        <w:rPr>
          <w:rFonts w:hint="eastAsia" w:ascii="Times New Roman" w:hAnsi="Times New Roman" w:eastAsia="仿宋_GB2312" w:cs="Times New Roman"/>
          <w:color w:val="000000"/>
          <w:kern w:val="0"/>
          <w:sz w:val="32"/>
          <w:szCs w:val="32"/>
          <w:highlight w:val="none"/>
          <w:lang w:val="en-US" w:eastAsia="zh-CN" w:bidi="ar"/>
        </w:rPr>
        <w:t>人、</w:t>
      </w:r>
      <w:r>
        <w:rPr>
          <w:rFonts w:hint="eastAsia" w:eastAsia="仿宋_GB2312" w:cs="Times New Roman"/>
          <w:color w:val="000000"/>
          <w:kern w:val="0"/>
          <w:sz w:val="32"/>
          <w:szCs w:val="32"/>
          <w:highlight w:val="none"/>
          <w:lang w:val="en-US" w:eastAsia="zh-CN" w:bidi="ar"/>
        </w:rPr>
        <w:t>事业编制</w:t>
      </w:r>
      <w:r>
        <w:rPr>
          <w:rFonts w:hint="eastAsia" w:ascii="Times New Roman" w:hAnsi="Times New Roman" w:eastAsia="仿宋_GB2312" w:cs="Times New Roman"/>
          <w:color w:val="000000"/>
          <w:kern w:val="0"/>
          <w:sz w:val="32"/>
          <w:szCs w:val="32"/>
          <w:highlight w:val="none"/>
          <w:lang w:val="en-US" w:eastAsia="zh-CN" w:bidi="ar"/>
        </w:rPr>
        <w:t>1人。</w:t>
      </w:r>
    </w:p>
    <w:p>
      <w:pPr>
        <w:keepNext w:val="0"/>
        <w:keepLines w:val="0"/>
        <w:pageBreakBefore w:val="0"/>
        <w:kinsoku/>
        <w:wordWrap/>
        <w:overflowPunct/>
        <w:topLinePunct w:val="0"/>
        <w:autoSpaceDE/>
        <w:autoSpaceDN/>
        <w:bidi w:val="0"/>
        <w:ind w:firstLine="640"/>
        <w:jc w:val="both"/>
        <w:textAlignment w:val="auto"/>
        <w:rPr>
          <w:rFonts w:hint="default" w:ascii="Times New Roman" w:hAnsi="Times New Roman" w:eastAsia="仿宋_GB2312" w:cs="Times New Roman"/>
          <w:b/>
          <w:bCs/>
          <w:color w:val="000000"/>
          <w:kern w:val="0"/>
          <w:sz w:val="32"/>
          <w:szCs w:val="32"/>
          <w:shd w:val="clear" w:color="auto" w:fill="FFFFFF"/>
          <w:lang w:val="en-US" w:eastAsia="zh-CN"/>
        </w:rPr>
      </w:pPr>
      <w:r>
        <w:rPr>
          <w:rFonts w:hint="default" w:ascii="Times New Roman" w:hAnsi="Times New Roman" w:eastAsia="仿宋_GB2312" w:cs="Times New Roman"/>
          <w:b/>
          <w:bCs/>
          <w:kern w:val="2"/>
          <w:sz w:val="32"/>
          <w:szCs w:val="32"/>
          <w:lang w:val="en-US" w:eastAsia="zh-CN" w:bidi="ar-SA"/>
        </w:rPr>
        <w:t>（2）人员结构</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阿坝县民族宗教局</w:t>
      </w:r>
      <w:r>
        <w:rPr>
          <w:rFonts w:hint="default" w:ascii="Times New Roman" w:hAnsi="Times New Roman" w:eastAsia="仿宋_GB2312" w:cs="Times New Roman"/>
          <w:color w:val="000000"/>
          <w:kern w:val="0"/>
          <w:sz w:val="32"/>
          <w:szCs w:val="32"/>
          <w:highlight w:val="none"/>
          <w:lang w:val="en-US" w:eastAsia="zh-CN" w:bidi="ar"/>
        </w:rPr>
        <w:t>在岗编制人员男性</w:t>
      </w:r>
      <w:r>
        <w:rPr>
          <w:rFonts w:hint="eastAsia"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人，女性</w:t>
      </w:r>
      <w:r>
        <w:rPr>
          <w:rFonts w:hint="eastAsia" w:eastAsia="仿宋_GB2312" w:cs="Times New Roman"/>
          <w:color w:val="000000"/>
          <w:kern w:val="0"/>
          <w:sz w:val="32"/>
          <w:szCs w:val="32"/>
          <w:highlight w:val="none"/>
          <w:lang w:val="en-US" w:eastAsia="zh-CN" w:bidi="ar"/>
        </w:rPr>
        <w:t>6</w:t>
      </w:r>
      <w:r>
        <w:rPr>
          <w:rFonts w:hint="default" w:ascii="Times New Roman" w:hAnsi="Times New Roman" w:eastAsia="仿宋_GB2312" w:cs="Times New Roman"/>
          <w:color w:val="000000"/>
          <w:kern w:val="0"/>
          <w:sz w:val="32"/>
          <w:szCs w:val="32"/>
          <w:highlight w:val="none"/>
          <w:lang w:val="en-US" w:eastAsia="zh-CN" w:bidi="ar"/>
        </w:rPr>
        <w:t>人，男女比例为</w:t>
      </w:r>
      <w:r>
        <w:rPr>
          <w:rFonts w:hint="eastAsia" w:eastAsia="仿宋_GB2312" w:cs="Times New Roman"/>
          <w:color w:val="000000"/>
          <w:kern w:val="0"/>
          <w:sz w:val="32"/>
          <w:szCs w:val="32"/>
          <w:highlight w:val="none"/>
          <w:lang w:val="en-US" w:eastAsia="zh-CN" w:bidi="ar"/>
        </w:rPr>
        <w:t>4：3</w:t>
      </w:r>
      <w:r>
        <w:rPr>
          <w:rFonts w:hint="default" w:ascii="Times New Roman" w:hAnsi="Times New Roman" w:eastAsia="仿宋_GB2312" w:cs="Times New Roman"/>
          <w:color w:val="000000"/>
          <w:kern w:val="0"/>
          <w:sz w:val="32"/>
          <w:szCs w:val="32"/>
          <w:highlight w:val="none"/>
          <w:lang w:val="en-US" w:eastAsia="zh-CN" w:bidi="ar"/>
        </w:rPr>
        <w:t>；平均年龄为</w:t>
      </w:r>
      <w:r>
        <w:rPr>
          <w:rFonts w:hint="eastAsia" w:eastAsia="仿宋_GB2312" w:cs="Times New Roman"/>
          <w:color w:val="000000"/>
          <w:kern w:val="0"/>
          <w:sz w:val="32"/>
          <w:szCs w:val="32"/>
          <w:highlight w:val="none"/>
          <w:lang w:val="en-US" w:eastAsia="zh-CN" w:bidi="ar"/>
        </w:rPr>
        <w:t>40.21</w:t>
      </w:r>
      <w:r>
        <w:rPr>
          <w:rFonts w:hint="default" w:ascii="Times New Roman" w:hAnsi="Times New Roman" w:eastAsia="仿宋_GB2312" w:cs="Times New Roman"/>
          <w:color w:val="000000"/>
          <w:kern w:val="0"/>
          <w:sz w:val="32"/>
          <w:szCs w:val="32"/>
          <w:highlight w:val="none"/>
          <w:lang w:val="en-US" w:eastAsia="zh-CN" w:bidi="ar"/>
        </w:rPr>
        <w:t>岁，其中</w:t>
      </w:r>
      <w:r>
        <w:rPr>
          <w:rFonts w:hint="eastAsia" w:ascii="Times New Roman" w:hAnsi="Times New Roman"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w:t>
      </w:r>
      <w:r>
        <w:rPr>
          <w:rFonts w:hint="eastAsia" w:ascii="Times New Roman" w:hAnsi="Times New Roman"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人，占总数的</w:t>
      </w:r>
      <w:r>
        <w:rPr>
          <w:rFonts w:hint="eastAsia" w:eastAsia="仿宋_GB2312" w:cs="Times New Roman"/>
          <w:color w:val="000000"/>
          <w:kern w:val="0"/>
          <w:sz w:val="32"/>
          <w:szCs w:val="32"/>
          <w:highlight w:val="none"/>
          <w:lang w:val="en-US" w:eastAsia="zh-CN" w:bidi="ar"/>
        </w:rPr>
        <w:t>21.43</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0-</w:t>
      </w:r>
      <w:r>
        <w:rPr>
          <w:rFonts w:hint="eastAsia" w:ascii="Times New Roman" w:hAnsi="Times New Roman"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ascii="Times New Roman" w:hAnsi="Times New Roman"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ascii="Times New Roman" w:hAnsi="Times New Roman" w:eastAsia="仿宋_GB2312" w:cs="Times New Roman"/>
          <w:color w:val="000000"/>
          <w:kern w:val="0"/>
          <w:sz w:val="32"/>
          <w:szCs w:val="32"/>
          <w:highlight w:val="none"/>
          <w:lang w:val="en-US" w:eastAsia="zh-CN" w:bidi="ar"/>
        </w:rPr>
        <w:t>21.43</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0-</w:t>
      </w:r>
      <w:r>
        <w:rPr>
          <w:rFonts w:hint="eastAsia" w:ascii="Times New Roman" w:hAnsi="Times New Roman"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ascii="Times New Roman" w:hAnsi="Times New Roman"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ascii="Times New Roman" w:hAnsi="Times New Roman" w:eastAsia="仿宋_GB2312" w:cs="Times New Roman"/>
          <w:color w:val="000000"/>
          <w:kern w:val="0"/>
          <w:sz w:val="32"/>
          <w:szCs w:val="32"/>
          <w:highlight w:val="none"/>
          <w:lang w:val="en-US" w:eastAsia="zh-CN" w:bidi="ar"/>
        </w:rPr>
        <w:t>28.57</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；50</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ascii="Times New Roman" w:hAnsi="Times New Roman"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ascii="Times New Roman" w:hAnsi="Times New Roman" w:eastAsia="仿宋_GB2312" w:cs="Times New Roman"/>
          <w:color w:val="000000"/>
          <w:kern w:val="0"/>
          <w:sz w:val="32"/>
          <w:szCs w:val="32"/>
          <w:highlight w:val="none"/>
          <w:lang w:val="en-US" w:eastAsia="zh-CN" w:bidi="ar"/>
        </w:rPr>
        <w:t>28.57</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（如图1-1所示）。</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default" w:ascii="Times New Roman" w:hAnsi="Times New Roman" w:eastAsia="仿宋_GB2312" w:cs="Times New Roman"/>
          <w:b/>
          <w:bCs/>
          <w:color w:val="000000"/>
          <w:kern w:val="0"/>
          <w:sz w:val="24"/>
          <w:szCs w:val="24"/>
          <w:highlight w:val="none"/>
          <w:shd w:val="clear" w:color="auto" w:fill="FFFFFF"/>
          <w:lang w:val="en-US" w:eastAsia="zh-CN"/>
        </w:rPr>
        <w:t>图1-1  202</w:t>
      </w:r>
      <w:r>
        <w:rPr>
          <w:rFonts w:hint="eastAsia" w:eastAsia="仿宋_GB2312" w:cs="Times New Roman"/>
          <w:b/>
          <w:bCs/>
          <w:color w:val="000000"/>
          <w:kern w:val="0"/>
          <w:sz w:val="24"/>
          <w:szCs w:val="24"/>
          <w:highlight w:val="none"/>
          <w:shd w:val="clear" w:color="auto" w:fill="FFFFFF"/>
          <w:lang w:val="en-US" w:eastAsia="zh-CN"/>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rPr>
        <w:t>年人员年龄结构图</w:t>
      </w:r>
    </w:p>
    <w:p>
      <w:pPr>
        <w:spacing w:line="360" w:lineRule="auto"/>
        <w:ind w:left="0" w:leftChars="0" w:firstLine="0" w:firstLineChars="0"/>
        <w:jc w:val="center"/>
        <w:rPr>
          <w:rFonts w:hint="eastAsia" w:ascii="Times New Roman" w:hAnsi="Times New Roman" w:eastAsia="仿宋_GB2312" w:cs="Times New Roman"/>
          <w:sz w:val="32"/>
          <w:szCs w:val="32"/>
          <w:highlight w:val="none"/>
          <w:lang w:eastAsia="zh-CN"/>
        </w:rPr>
      </w:pPr>
      <w:r>
        <w:drawing>
          <wp:inline distT="0" distB="0" distL="114300" distR="114300">
            <wp:extent cx="2364105" cy="1951355"/>
            <wp:effectExtent l="0" t="0" r="10795"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2364105" cy="1951355"/>
                    </a:xfrm>
                    <a:prstGeom prst="rect">
                      <a:avLst/>
                    </a:prstGeom>
                    <a:noFill/>
                    <a:ln>
                      <a:noFill/>
                    </a:ln>
                  </pic:spPr>
                </pic:pic>
              </a:graphicData>
            </a:graphic>
          </wp:inline>
        </w:drawing>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在岗编制人员平均工龄为</w:t>
      </w:r>
      <w:r>
        <w:rPr>
          <w:rFonts w:hint="eastAsia" w:ascii="Times New Roman" w:hAnsi="Times New Roman" w:eastAsia="仿宋_GB2312" w:cs="Times New Roman"/>
          <w:color w:val="000000"/>
          <w:kern w:val="0"/>
          <w:sz w:val="32"/>
          <w:szCs w:val="32"/>
          <w:highlight w:val="none"/>
          <w:lang w:val="en-US" w:eastAsia="zh-CN" w:bidi="ar"/>
        </w:rPr>
        <w:t>1</w:t>
      </w:r>
      <w:r>
        <w:rPr>
          <w:rFonts w:hint="eastAsia" w:eastAsia="仿宋_GB2312" w:cs="Times New Roman"/>
          <w:color w:val="000000"/>
          <w:kern w:val="0"/>
          <w:sz w:val="32"/>
          <w:szCs w:val="32"/>
          <w:highlight w:val="none"/>
          <w:lang w:val="en-US" w:eastAsia="zh-CN" w:bidi="ar"/>
        </w:rPr>
        <w:t>6.77</w:t>
      </w:r>
      <w:r>
        <w:rPr>
          <w:rFonts w:hint="default" w:ascii="Times New Roman" w:hAnsi="Times New Roman" w:eastAsia="仿宋_GB2312" w:cs="Times New Roman"/>
          <w:color w:val="000000"/>
          <w:kern w:val="0"/>
          <w:sz w:val="32"/>
          <w:szCs w:val="32"/>
          <w:highlight w:val="none"/>
          <w:lang w:val="en-US" w:eastAsia="zh-CN" w:bidi="ar"/>
        </w:rPr>
        <w:t>年，其中工龄为0-9年共计</w:t>
      </w:r>
      <w:r>
        <w:rPr>
          <w:rFonts w:hint="eastAsia" w:eastAsia="仿宋_GB2312" w:cs="Times New Roman"/>
          <w:color w:val="000000"/>
          <w:kern w:val="0"/>
          <w:sz w:val="32"/>
          <w:szCs w:val="32"/>
          <w:highlight w:val="none"/>
          <w:lang w:val="en-US" w:eastAsia="zh-CN" w:bidi="ar"/>
        </w:rPr>
        <w:t>6</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42.85</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0-</w:t>
      </w:r>
      <w:r>
        <w:rPr>
          <w:rFonts w:hint="eastAsia" w:ascii="Times New Roman" w:hAnsi="Times New Roman"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9年共计</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14.29</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w:t>
      </w:r>
      <w:r>
        <w:rPr>
          <w:rFonts w:hint="eastAsia" w:ascii="Times New Roman" w:hAnsi="Times New Roman"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9年共计</w:t>
      </w:r>
      <w:r>
        <w:rPr>
          <w:rFonts w:hint="eastAsia" w:ascii="Times New Roman" w:hAnsi="Times New Roman"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ascii="Times New Roman" w:hAnsi="Times New Roman" w:eastAsia="仿宋_GB2312" w:cs="Times New Roman"/>
          <w:color w:val="000000"/>
          <w:kern w:val="0"/>
          <w:sz w:val="32"/>
          <w:szCs w:val="32"/>
          <w:highlight w:val="none"/>
          <w:lang w:val="en-US" w:eastAsia="zh-CN" w:bidi="ar"/>
        </w:rPr>
        <w:t>21.43</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；30</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9年共计</w:t>
      </w:r>
      <w:r>
        <w:rPr>
          <w:rFonts w:hint="eastAsia" w:ascii="Times New Roman" w:hAnsi="Times New Roman"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ascii="Times New Roman" w:hAnsi="Times New Roman" w:eastAsia="仿宋_GB2312" w:cs="Times New Roman"/>
          <w:color w:val="000000"/>
          <w:kern w:val="0"/>
          <w:sz w:val="32"/>
          <w:szCs w:val="32"/>
          <w:highlight w:val="none"/>
          <w:lang w:val="en-US" w:eastAsia="zh-CN" w:bidi="ar"/>
        </w:rPr>
        <w:t>21.43</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（如图1-2所示）。</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shd w:val="clear" w:color="auto" w:fill="FFFFFF"/>
          <w:lang w:val="en-US" w:eastAsia="zh-CN" w:bidi="ar-SA"/>
        </w:rPr>
      </w:pPr>
      <w:r>
        <w:rPr>
          <w:rFonts w:hint="default" w:ascii="Times New Roman" w:hAnsi="Times New Roman" w:eastAsia="仿宋_GB2312" w:cs="Times New Roman"/>
          <w:b/>
          <w:bCs/>
          <w:color w:val="000000"/>
          <w:kern w:val="0"/>
          <w:sz w:val="24"/>
          <w:szCs w:val="24"/>
          <w:highlight w:val="none"/>
          <w:shd w:val="clear" w:color="auto" w:fill="FFFFFF"/>
          <w:lang w:val="en-US" w:eastAsia="zh-CN" w:bidi="ar-SA"/>
        </w:rPr>
        <w:t>图1-2  202</w:t>
      </w:r>
      <w:r>
        <w:rPr>
          <w:rFonts w:hint="eastAsia" w:ascii="Times New Roman" w:hAnsi="Times New Roman" w:eastAsia="仿宋_GB2312" w:cs="Times New Roman"/>
          <w:b/>
          <w:bCs/>
          <w:color w:val="000000"/>
          <w:kern w:val="0"/>
          <w:sz w:val="24"/>
          <w:szCs w:val="24"/>
          <w:highlight w:val="none"/>
          <w:shd w:val="clear" w:color="auto" w:fill="FFFFFF"/>
          <w:lang w:val="en-US" w:eastAsia="zh-CN" w:bidi="ar-SA"/>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bidi="ar-SA"/>
        </w:rPr>
        <w:t>年人员工龄结构图</w:t>
      </w:r>
    </w:p>
    <w:p>
      <w:pPr>
        <w:spacing w:line="360" w:lineRule="auto"/>
        <w:ind w:left="0" w:leftChars="0" w:firstLine="0" w:firstLineChars="0"/>
        <w:jc w:val="center"/>
        <w:rPr>
          <w:rFonts w:hint="default" w:ascii="Times New Roman" w:hAnsi="Times New Roman" w:eastAsia="仿宋_GB2312" w:cs="Times New Roman"/>
          <w:b/>
          <w:bCs/>
          <w:color w:val="000000"/>
          <w:kern w:val="0"/>
          <w:sz w:val="24"/>
          <w:szCs w:val="24"/>
          <w:highlight w:val="none"/>
          <w:shd w:val="clear" w:color="auto" w:fill="FFFFFF"/>
          <w:lang w:val="en-US" w:eastAsia="zh-CN"/>
        </w:rPr>
      </w:pPr>
      <w:r>
        <w:drawing>
          <wp:inline distT="0" distB="0" distL="114300" distR="114300">
            <wp:extent cx="2114550" cy="17526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2114550" cy="1752600"/>
                    </a:xfrm>
                    <a:prstGeom prst="rect">
                      <a:avLst/>
                    </a:prstGeom>
                    <a:noFill/>
                    <a:ln>
                      <a:noFill/>
                    </a:ln>
                  </pic:spPr>
                </pic:pic>
              </a:graphicData>
            </a:graphic>
          </wp:inline>
        </w:drawing>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在岗编制人员学历分别为本科</w:t>
      </w:r>
      <w:r>
        <w:rPr>
          <w:rFonts w:hint="eastAsia" w:ascii="Times New Roman" w:hAnsi="Times New Roman" w:eastAsia="仿宋_GB2312" w:cs="Times New Roman"/>
          <w:color w:val="000000"/>
          <w:kern w:val="0"/>
          <w:sz w:val="32"/>
          <w:szCs w:val="32"/>
          <w:highlight w:val="none"/>
          <w:lang w:val="en-US" w:eastAsia="zh-CN" w:bidi="ar"/>
        </w:rPr>
        <w:t>、大专、高中</w:t>
      </w:r>
      <w:r>
        <w:rPr>
          <w:rFonts w:hint="eastAsia" w:eastAsia="仿宋_GB2312" w:cs="Times New Roman"/>
          <w:color w:val="000000"/>
          <w:kern w:val="0"/>
          <w:sz w:val="32"/>
          <w:szCs w:val="32"/>
          <w:highlight w:val="none"/>
          <w:lang w:val="en-US" w:eastAsia="zh-CN" w:bidi="ar"/>
        </w:rPr>
        <w:t>、初中</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其中本科</w:t>
      </w:r>
      <w:r>
        <w:rPr>
          <w:rFonts w:hint="eastAsia" w:eastAsia="仿宋_GB2312" w:cs="Times New Roman"/>
          <w:color w:val="000000"/>
          <w:kern w:val="0"/>
          <w:sz w:val="32"/>
          <w:szCs w:val="32"/>
          <w:highlight w:val="none"/>
          <w:lang w:val="en-US" w:eastAsia="zh-CN" w:bidi="ar"/>
        </w:rPr>
        <w:t>6</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42.86</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；大专</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7.14</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；高中1人，占比7.14%</w:t>
      </w:r>
      <w:r>
        <w:rPr>
          <w:rFonts w:hint="eastAsia" w:eastAsia="仿宋_GB2312" w:cs="Times New Roman"/>
          <w:color w:val="000000"/>
          <w:kern w:val="0"/>
          <w:sz w:val="32"/>
          <w:szCs w:val="32"/>
          <w:highlight w:val="none"/>
          <w:lang w:val="en-US" w:eastAsia="zh-CN" w:bidi="ar"/>
        </w:rPr>
        <w:t>；中专6人，占比42.86%。</w:t>
      </w:r>
      <w:r>
        <w:rPr>
          <w:rFonts w:hint="default" w:ascii="Times New Roman" w:hAnsi="Times New Roman" w:eastAsia="仿宋_GB2312" w:cs="Times New Roman"/>
          <w:color w:val="000000"/>
          <w:kern w:val="0"/>
          <w:sz w:val="32"/>
          <w:szCs w:val="32"/>
          <w:highlight w:val="none"/>
          <w:lang w:val="en-US" w:eastAsia="zh-CN" w:bidi="ar"/>
        </w:rPr>
        <w:t>（如图1-3所示）。</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shd w:val="clear" w:color="auto" w:fill="FFFFFF"/>
          <w:lang w:val="en-US" w:eastAsia="zh-CN" w:bidi="ar-SA"/>
        </w:rPr>
      </w:pPr>
      <w:r>
        <w:rPr>
          <w:rFonts w:hint="default" w:ascii="Times New Roman" w:hAnsi="Times New Roman" w:eastAsia="仿宋_GB2312" w:cs="Times New Roman"/>
          <w:b/>
          <w:bCs/>
          <w:color w:val="000000"/>
          <w:kern w:val="0"/>
          <w:sz w:val="24"/>
          <w:szCs w:val="24"/>
          <w:highlight w:val="none"/>
          <w:shd w:val="clear" w:color="auto" w:fill="FFFFFF"/>
          <w:lang w:val="en-US" w:eastAsia="zh-CN" w:bidi="ar-SA"/>
        </w:rPr>
        <w:t>图1-3  202</w:t>
      </w:r>
      <w:r>
        <w:rPr>
          <w:rFonts w:hint="eastAsia" w:ascii="Times New Roman" w:hAnsi="Times New Roman" w:eastAsia="仿宋_GB2312" w:cs="Times New Roman"/>
          <w:b/>
          <w:bCs/>
          <w:color w:val="000000"/>
          <w:kern w:val="0"/>
          <w:sz w:val="24"/>
          <w:szCs w:val="24"/>
          <w:highlight w:val="none"/>
          <w:shd w:val="clear" w:color="auto" w:fill="FFFFFF"/>
          <w:lang w:val="en-US" w:eastAsia="zh-CN" w:bidi="ar-SA"/>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bidi="ar-SA"/>
        </w:rPr>
        <w:t>年人员学历结构图</w:t>
      </w:r>
    </w:p>
    <w:p>
      <w:pPr>
        <w:spacing w:line="360" w:lineRule="auto"/>
        <w:ind w:left="0" w:leftChars="0" w:firstLine="0" w:firstLineChars="0"/>
        <w:jc w:val="center"/>
        <w:rPr>
          <w:rFonts w:hint="eastAsia" w:ascii="Times New Roman" w:hAnsi="Times New Roman" w:eastAsia="宋体" w:cs="Times New Roman"/>
          <w:sz w:val="24"/>
          <w:szCs w:val="24"/>
          <w:lang w:val="en-US" w:eastAsia="zh-CN"/>
        </w:rPr>
      </w:pPr>
      <w:r>
        <w:drawing>
          <wp:inline distT="0" distB="0" distL="114300" distR="114300">
            <wp:extent cx="2184400" cy="1975485"/>
            <wp:effectExtent l="0" t="0" r="0" b="57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6"/>
                    <a:stretch>
                      <a:fillRect/>
                    </a:stretch>
                  </pic:blipFill>
                  <pic:spPr>
                    <a:xfrm>
                      <a:off x="0" y="0"/>
                      <a:ext cx="2184400" cy="1975485"/>
                    </a:xfrm>
                    <a:prstGeom prst="rect">
                      <a:avLst/>
                    </a:prstGeom>
                    <a:noFill/>
                    <a:ln>
                      <a:noFill/>
                    </a:ln>
                  </pic:spPr>
                </pic:pic>
              </a:graphicData>
            </a:graphic>
          </wp:inline>
        </w:drawing>
      </w:r>
    </w:p>
    <w:p>
      <w:pPr>
        <w:pStyle w:val="4"/>
        <w:spacing w:line="600" w:lineRule="exact"/>
        <w:ind w:firstLine="640"/>
        <w:rPr>
          <w:rFonts w:hint="default" w:ascii="Times New Roman" w:hAnsi="Times New Roman" w:eastAsia="仿宋_GB2312" w:cs="Times New Roman"/>
          <w:lang w:val="en-US" w:eastAsia="zh-CN"/>
        </w:rPr>
      </w:pPr>
      <w:bookmarkStart w:id="18" w:name="_Toc14177"/>
      <w:bookmarkStart w:id="19" w:name="_Toc8367"/>
      <w:bookmarkStart w:id="20" w:name="_Toc55586768"/>
      <w:r>
        <w:rPr>
          <w:rFonts w:hint="default" w:ascii="Times New Roman" w:hAnsi="Times New Roman" w:eastAsia="仿宋_GB2312" w:cs="Times New Roman"/>
          <w:lang w:val="en-US" w:eastAsia="zh-CN"/>
        </w:rPr>
        <w:t>3、部门职能</w:t>
      </w:r>
      <w:bookmarkEnd w:id="18"/>
      <w:bookmarkEnd w:id="19"/>
      <w:bookmarkEnd w:id="20"/>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根据党和国家的民族政策、法规和宗教政策、法规</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进行宣传教育，依法实施管理、监督，并检查执行情况。</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指导、监督、检查有关民族区域自治制度的建设和《中华人民共和国民族区域自治法》以及《阿坝藏族羌族自治州自治条例》的贯彻实施，配合有关部门研究提出民族工作方面的具体政策措施。</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依法保护我县公民宗教信仰自由，保护宗教团体和宗教活动场所的合法权益，保护宗教教职人员履行正常的教务活动，保护信教群众正常的宗教活动</w:t>
      </w:r>
      <w:r>
        <w:rPr>
          <w:rFonts w:hint="eastAsia" w:eastAsia="仿宋_GB2312" w:cs="Times New Roman"/>
          <w:color w:val="auto"/>
          <w:kern w:val="0"/>
          <w:sz w:val="32"/>
          <w:szCs w:val="32"/>
          <w:highlight w:val="none"/>
          <w:shd w:val="clear" w:color="auto" w:fill="FFFFFF"/>
          <w:lang w:val="en-US" w:eastAsia="zh-CN" w:bidi="ar-SA"/>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default" w:eastAsia="仿宋_GB2312" w:cs="Times New Roman"/>
          <w:color w:val="auto"/>
          <w:kern w:val="0"/>
          <w:sz w:val="32"/>
          <w:szCs w:val="32"/>
          <w:highlight w:val="none"/>
          <w:shd w:val="clear" w:color="auto" w:fill="FFFFFF"/>
          <w:lang w:val="en-US" w:eastAsia="zh-CN" w:bidi="ar-SA"/>
        </w:rPr>
        <w:t>协调民族关系，办好有关少数民族各项权利的事宜，加强民族团结进步教育，反对敌对势力的分裂活动，维护祖国统一和我县的稳定、团结、繁荣，组织承办民族团结进步表彰活动</w:t>
      </w:r>
      <w:r>
        <w:rPr>
          <w:rFonts w:hint="eastAsia" w:eastAsia="仿宋_GB2312" w:cs="Times New Roman"/>
          <w:color w:val="auto"/>
          <w:kern w:val="0"/>
          <w:sz w:val="32"/>
          <w:szCs w:val="32"/>
          <w:highlight w:val="none"/>
          <w:shd w:val="clear" w:color="auto" w:fill="FFFFFF"/>
          <w:lang w:val="en-US" w:eastAsia="zh-CN" w:bidi="ar-SA"/>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default" w:eastAsia="仿宋_GB2312" w:cs="Times New Roman"/>
          <w:color w:val="auto"/>
          <w:kern w:val="0"/>
          <w:sz w:val="32"/>
          <w:szCs w:val="32"/>
          <w:highlight w:val="none"/>
          <w:shd w:val="clear" w:color="auto" w:fill="FFFFFF"/>
          <w:lang w:val="en-US" w:eastAsia="zh-CN" w:bidi="ar-SA"/>
        </w:rPr>
        <w:t>对</w:t>
      </w:r>
      <w:r>
        <w:rPr>
          <w:rFonts w:hint="eastAsia" w:eastAsia="仿宋_GB2312" w:cs="Times New Roman"/>
          <w:color w:val="auto"/>
          <w:kern w:val="0"/>
          <w:sz w:val="32"/>
          <w:szCs w:val="32"/>
          <w:highlight w:val="none"/>
          <w:shd w:val="clear" w:color="auto" w:fill="FFFFFF"/>
          <w:lang w:val="en-US" w:eastAsia="zh-CN" w:bidi="ar-SA"/>
        </w:rPr>
        <w:t>全</w:t>
      </w:r>
      <w:r>
        <w:rPr>
          <w:rFonts w:hint="default" w:eastAsia="仿宋_GB2312" w:cs="Times New Roman"/>
          <w:color w:val="auto"/>
          <w:kern w:val="0"/>
          <w:sz w:val="32"/>
          <w:szCs w:val="32"/>
          <w:highlight w:val="none"/>
          <w:shd w:val="clear" w:color="auto" w:fill="FFFFFF"/>
          <w:lang w:val="en-US" w:eastAsia="zh-CN" w:bidi="ar-SA"/>
        </w:rPr>
        <w:t>县各种宗教和</w:t>
      </w:r>
      <w:r>
        <w:rPr>
          <w:rFonts w:hint="eastAsia" w:eastAsia="仿宋_GB2312" w:cs="Times New Roman"/>
          <w:color w:val="auto"/>
          <w:kern w:val="0"/>
          <w:sz w:val="32"/>
          <w:szCs w:val="32"/>
          <w:highlight w:val="none"/>
          <w:shd w:val="clear" w:color="auto" w:fill="FFFFFF"/>
          <w:lang w:val="en-US" w:eastAsia="zh-CN" w:bidi="ar-SA"/>
        </w:rPr>
        <w:t>宗</w:t>
      </w:r>
      <w:r>
        <w:rPr>
          <w:rFonts w:hint="default" w:eastAsia="仿宋_GB2312" w:cs="Times New Roman"/>
          <w:color w:val="auto"/>
          <w:kern w:val="0"/>
          <w:sz w:val="32"/>
          <w:szCs w:val="32"/>
          <w:highlight w:val="none"/>
          <w:shd w:val="clear" w:color="auto" w:fill="FFFFFF"/>
          <w:lang w:val="en-US" w:eastAsia="zh-CN" w:bidi="ar-SA"/>
        </w:rPr>
        <w:t>教活动</w:t>
      </w:r>
      <w:r>
        <w:rPr>
          <w:rFonts w:hint="eastAsia" w:eastAsia="仿宋_GB2312" w:cs="Times New Roman"/>
          <w:color w:val="auto"/>
          <w:kern w:val="0"/>
          <w:sz w:val="32"/>
          <w:szCs w:val="32"/>
          <w:highlight w:val="none"/>
          <w:shd w:val="clear" w:color="auto" w:fill="FFFFFF"/>
          <w:lang w:val="en-US" w:eastAsia="zh-CN" w:bidi="ar-SA"/>
        </w:rPr>
        <w:t>情况</w:t>
      </w:r>
      <w:r>
        <w:rPr>
          <w:rFonts w:hint="default" w:eastAsia="仿宋_GB2312" w:cs="Times New Roman"/>
          <w:color w:val="auto"/>
          <w:kern w:val="0"/>
          <w:sz w:val="32"/>
          <w:szCs w:val="32"/>
          <w:highlight w:val="none"/>
          <w:shd w:val="clear" w:color="auto" w:fill="FFFFFF"/>
          <w:lang w:val="en-US" w:eastAsia="zh-CN" w:bidi="ar-SA"/>
        </w:rPr>
        <w:t>进行</w:t>
      </w:r>
      <w:r>
        <w:rPr>
          <w:rFonts w:hint="eastAsia" w:eastAsia="仿宋_GB2312" w:cs="Times New Roman"/>
          <w:color w:val="auto"/>
          <w:kern w:val="0"/>
          <w:sz w:val="32"/>
          <w:szCs w:val="32"/>
          <w:highlight w:val="none"/>
          <w:shd w:val="clear" w:color="auto" w:fill="FFFFFF"/>
          <w:lang w:val="en-US" w:eastAsia="zh-CN" w:bidi="ar-SA"/>
        </w:rPr>
        <w:t>调查</w:t>
      </w:r>
      <w:r>
        <w:rPr>
          <w:rFonts w:hint="default" w:eastAsia="仿宋_GB2312" w:cs="Times New Roman"/>
          <w:color w:val="auto"/>
          <w:kern w:val="0"/>
          <w:sz w:val="32"/>
          <w:szCs w:val="32"/>
          <w:highlight w:val="none"/>
          <w:shd w:val="clear" w:color="auto" w:fill="FFFFFF"/>
          <w:lang w:val="en-US" w:eastAsia="zh-CN" w:bidi="ar-SA"/>
        </w:rPr>
        <w:t>研究、</w:t>
      </w:r>
      <w:r>
        <w:rPr>
          <w:rFonts w:hint="eastAsia" w:eastAsia="仿宋_GB2312" w:cs="Times New Roman"/>
          <w:color w:val="auto"/>
          <w:kern w:val="0"/>
          <w:sz w:val="32"/>
          <w:szCs w:val="32"/>
          <w:highlight w:val="none"/>
          <w:shd w:val="clear" w:color="auto" w:fill="FFFFFF"/>
          <w:lang w:val="en-US" w:eastAsia="zh-CN" w:bidi="ar-SA"/>
        </w:rPr>
        <w:t>掌握</w:t>
      </w:r>
      <w:r>
        <w:rPr>
          <w:rFonts w:hint="default" w:eastAsia="仿宋_GB2312" w:cs="Times New Roman"/>
          <w:color w:val="auto"/>
          <w:kern w:val="0"/>
          <w:sz w:val="32"/>
          <w:szCs w:val="32"/>
          <w:highlight w:val="none"/>
          <w:shd w:val="clear" w:color="auto" w:fill="FFFFFF"/>
          <w:lang w:val="en-US" w:eastAsia="zh-CN" w:bidi="ar-SA"/>
        </w:rPr>
        <w:t>动态和发展趋势，</w:t>
      </w:r>
      <w:r>
        <w:rPr>
          <w:rFonts w:hint="eastAsia" w:eastAsia="仿宋_GB2312" w:cs="Times New Roman"/>
          <w:color w:val="auto"/>
          <w:kern w:val="0"/>
          <w:sz w:val="32"/>
          <w:szCs w:val="32"/>
          <w:highlight w:val="none"/>
          <w:shd w:val="clear" w:color="auto" w:fill="FFFFFF"/>
          <w:lang w:val="en-US" w:eastAsia="zh-CN" w:bidi="ar-SA"/>
        </w:rPr>
        <w:t>及时向县政府报告</w:t>
      </w:r>
      <w:r>
        <w:rPr>
          <w:rFonts w:hint="default" w:eastAsia="仿宋_GB2312" w:cs="Times New Roman"/>
          <w:color w:val="auto"/>
          <w:kern w:val="0"/>
          <w:sz w:val="32"/>
          <w:szCs w:val="32"/>
          <w:highlight w:val="none"/>
          <w:shd w:val="clear" w:color="auto" w:fill="FFFFFF"/>
          <w:lang w:val="en-US" w:eastAsia="zh-CN" w:bidi="ar-SA"/>
        </w:rPr>
        <w:t>、</w:t>
      </w:r>
      <w:r>
        <w:rPr>
          <w:rFonts w:hint="eastAsia" w:eastAsia="仿宋_GB2312" w:cs="Times New Roman"/>
          <w:color w:val="auto"/>
          <w:kern w:val="0"/>
          <w:sz w:val="32"/>
          <w:szCs w:val="32"/>
          <w:highlight w:val="none"/>
          <w:shd w:val="clear" w:color="auto" w:fill="FFFFFF"/>
          <w:lang w:val="en-US" w:eastAsia="zh-CN" w:bidi="ar-SA"/>
        </w:rPr>
        <w:t>并提出处理问题的可靠依据。</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default" w:eastAsia="仿宋_GB2312" w:cs="Times New Roman"/>
          <w:color w:val="auto"/>
          <w:kern w:val="0"/>
          <w:sz w:val="32"/>
          <w:szCs w:val="32"/>
          <w:highlight w:val="none"/>
          <w:shd w:val="clear" w:color="auto" w:fill="FFFFFF"/>
          <w:lang w:val="en-US" w:eastAsia="zh-CN" w:bidi="ar-SA"/>
        </w:rPr>
        <w:t>协调组织、人事部门做好少数民族干部的培养、教育</w:t>
      </w:r>
      <w:r>
        <w:rPr>
          <w:rFonts w:hint="eastAsia" w:eastAsia="仿宋_GB2312" w:cs="Times New Roman"/>
          <w:color w:val="auto"/>
          <w:kern w:val="0"/>
          <w:sz w:val="32"/>
          <w:szCs w:val="32"/>
          <w:highlight w:val="none"/>
          <w:shd w:val="clear" w:color="auto" w:fill="FFFFFF"/>
          <w:lang w:val="en-US" w:eastAsia="zh-CN" w:bidi="ar-SA"/>
        </w:rPr>
        <w:t>、</w:t>
      </w:r>
      <w:r>
        <w:rPr>
          <w:rFonts w:hint="default" w:eastAsia="仿宋_GB2312" w:cs="Times New Roman"/>
          <w:color w:val="auto"/>
          <w:kern w:val="0"/>
          <w:sz w:val="32"/>
          <w:szCs w:val="32"/>
          <w:highlight w:val="none"/>
          <w:shd w:val="clear" w:color="auto" w:fill="FFFFFF"/>
          <w:lang w:val="en-US" w:eastAsia="zh-CN" w:bidi="ar-SA"/>
        </w:rPr>
        <w:t>使用工作，加强各类人才的培养，加强民族干部的联系</w:t>
      </w:r>
      <w:r>
        <w:rPr>
          <w:rFonts w:hint="eastAsia" w:eastAsia="仿宋_GB2312" w:cs="Times New Roman"/>
          <w:color w:val="auto"/>
          <w:kern w:val="0"/>
          <w:sz w:val="32"/>
          <w:szCs w:val="32"/>
          <w:highlight w:val="none"/>
          <w:shd w:val="clear" w:color="auto" w:fill="FFFFFF"/>
          <w:lang w:val="en-US" w:eastAsia="zh-CN" w:bidi="ar-SA"/>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default" w:eastAsia="仿宋_GB2312" w:cs="Times New Roman"/>
          <w:color w:val="auto"/>
          <w:kern w:val="0"/>
          <w:sz w:val="32"/>
          <w:szCs w:val="32"/>
          <w:highlight w:val="none"/>
          <w:shd w:val="clear" w:color="auto" w:fill="FFFFFF"/>
          <w:lang w:val="en-US" w:eastAsia="zh-CN" w:bidi="ar-SA"/>
        </w:rPr>
        <w:t>密切配合有关部门，坚决抵制、揭露、打击境外敌对势力，利用宗教对我县的渗透破坏活动，及时处理宗教方面的突发事件和影响社会政治稳定的问题，确保宗教工作的一方平安</w:t>
      </w:r>
      <w:r>
        <w:rPr>
          <w:rFonts w:hint="eastAsia" w:eastAsia="仿宋_GB2312" w:cs="Times New Roman"/>
          <w:color w:val="auto"/>
          <w:kern w:val="0"/>
          <w:sz w:val="32"/>
          <w:szCs w:val="32"/>
          <w:highlight w:val="none"/>
          <w:shd w:val="clear" w:color="auto" w:fill="FFFFFF"/>
          <w:lang w:val="en-US" w:eastAsia="zh-CN" w:bidi="ar-SA"/>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default" w:eastAsia="仿宋_GB2312" w:cs="Times New Roman"/>
          <w:color w:val="auto"/>
          <w:kern w:val="0"/>
          <w:sz w:val="32"/>
          <w:szCs w:val="32"/>
          <w:highlight w:val="none"/>
          <w:shd w:val="clear" w:color="auto" w:fill="FFFFFF"/>
          <w:lang w:val="en-US" w:eastAsia="zh-CN" w:bidi="ar-SA"/>
        </w:rPr>
        <w:t>参与研究制定我县发展民族教育、文化、科技、体育、卫生事业的政策和规划</w:t>
      </w:r>
      <w:r>
        <w:rPr>
          <w:rFonts w:hint="eastAsia" w:eastAsia="仿宋_GB2312" w:cs="Times New Roman"/>
          <w:color w:val="auto"/>
          <w:kern w:val="0"/>
          <w:sz w:val="32"/>
          <w:szCs w:val="32"/>
          <w:highlight w:val="none"/>
          <w:shd w:val="clear" w:color="auto" w:fill="FFFFFF"/>
          <w:lang w:val="en-US" w:eastAsia="zh-CN" w:bidi="ar-SA"/>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auto"/>
          <w:kern w:val="0"/>
          <w:sz w:val="32"/>
          <w:szCs w:val="32"/>
          <w:highlight w:val="none"/>
          <w:shd w:val="clear" w:color="auto" w:fill="FFFFFF"/>
          <w:lang w:val="en-US" w:eastAsia="zh-CN" w:bidi="ar-SA"/>
        </w:rPr>
      </w:pPr>
      <w:r>
        <w:rPr>
          <w:rFonts w:hint="default" w:eastAsia="仿宋_GB2312" w:cs="Times New Roman"/>
          <w:color w:val="auto"/>
          <w:kern w:val="0"/>
          <w:sz w:val="32"/>
          <w:szCs w:val="32"/>
          <w:highlight w:val="none"/>
          <w:shd w:val="clear" w:color="auto" w:fill="FFFFFF"/>
          <w:lang w:val="en-US" w:eastAsia="zh-CN" w:bidi="ar-SA"/>
        </w:rPr>
        <w:t>搞好宗教教职人员的培养提高。</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default" w:eastAsia="仿宋_GB2312" w:cs="Times New Roman"/>
          <w:color w:val="auto"/>
          <w:kern w:val="0"/>
          <w:sz w:val="32"/>
          <w:szCs w:val="32"/>
          <w:highlight w:val="none"/>
          <w:shd w:val="clear" w:color="auto" w:fill="FFFFFF"/>
          <w:lang w:val="en-US" w:eastAsia="zh-CN" w:bidi="ar-SA"/>
        </w:rPr>
        <w:t>管理我县少数民族语言文字工作，</w:t>
      </w:r>
      <w:r>
        <w:rPr>
          <w:rFonts w:hint="eastAsia" w:eastAsia="仿宋_GB2312" w:cs="Times New Roman"/>
          <w:color w:val="auto"/>
          <w:kern w:val="0"/>
          <w:sz w:val="32"/>
          <w:szCs w:val="32"/>
          <w:highlight w:val="none"/>
          <w:shd w:val="clear" w:color="auto" w:fill="FFFFFF"/>
          <w:lang w:val="en-US" w:eastAsia="zh-CN" w:bidi="ar-SA"/>
        </w:rPr>
        <w:t>掌握</w:t>
      </w:r>
      <w:r>
        <w:rPr>
          <w:rFonts w:hint="default" w:eastAsia="仿宋_GB2312" w:cs="Times New Roman"/>
          <w:color w:val="auto"/>
          <w:kern w:val="0"/>
          <w:sz w:val="32"/>
          <w:szCs w:val="32"/>
          <w:highlight w:val="none"/>
          <w:shd w:val="clear" w:color="auto" w:fill="FFFFFF"/>
          <w:lang w:val="en-US" w:eastAsia="zh-CN" w:bidi="ar-SA"/>
        </w:rPr>
        <w:t>民族古籍的</w:t>
      </w:r>
      <w:r>
        <w:rPr>
          <w:rFonts w:hint="eastAsia" w:eastAsia="仿宋_GB2312" w:cs="Times New Roman"/>
          <w:color w:val="auto"/>
          <w:kern w:val="0"/>
          <w:sz w:val="32"/>
          <w:szCs w:val="32"/>
          <w:highlight w:val="none"/>
          <w:shd w:val="clear" w:color="auto" w:fill="FFFFFF"/>
          <w:lang w:val="en-US" w:eastAsia="zh-CN" w:bidi="ar-SA"/>
        </w:rPr>
        <w:t>收集整理工作。</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default" w:eastAsia="仿宋_GB2312" w:cs="Times New Roman"/>
          <w:color w:val="auto"/>
          <w:kern w:val="0"/>
          <w:sz w:val="32"/>
          <w:szCs w:val="32"/>
          <w:highlight w:val="none"/>
          <w:shd w:val="clear" w:color="auto" w:fill="FFFFFF"/>
          <w:lang w:val="en-US" w:eastAsia="zh-CN" w:bidi="ar-SA"/>
        </w:rPr>
        <w:t>研究民族理论和民族宗教政策，组织协调对我县民族问题的综合调查研究</w:t>
      </w:r>
      <w:r>
        <w:rPr>
          <w:rFonts w:hint="eastAsia" w:eastAsia="仿宋_GB2312" w:cs="Times New Roman"/>
          <w:color w:val="auto"/>
          <w:kern w:val="0"/>
          <w:sz w:val="32"/>
          <w:szCs w:val="32"/>
          <w:highlight w:val="none"/>
          <w:shd w:val="clear" w:color="auto" w:fill="FFFFFF"/>
          <w:lang w:val="en-US" w:eastAsia="zh-CN" w:bidi="ar-SA"/>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协同有关部门开展有关少数民族的对外宣传工作，掌握涉外动态，研究对策措施，配合有关部门打击，制止各种非法宗教活动和印制、贩卖违法宗教刊物及用品，加强精神文明建设，净化社会环境。</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承办县政府交代的其他事项。</w:t>
      </w:r>
    </w:p>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_GB2312" w:cs="Times New Roman"/>
          <w:color w:val="auto"/>
          <w:sz w:val="32"/>
          <w:highlight w:val="none"/>
          <w:lang w:val="en-US"/>
        </w:rPr>
      </w:pPr>
      <w:bookmarkStart w:id="21" w:name="_Toc26516"/>
      <w:bookmarkStart w:id="22" w:name="_Toc5275"/>
      <w:r>
        <w:rPr>
          <w:rFonts w:hint="default" w:ascii="Times New Roman" w:hAnsi="Times New Roman" w:eastAsia="楷体_GB2312" w:cs="Times New Roman"/>
          <w:color w:val="auto"/>
          <w:sz w:val="32"/>
          <w:highlight w:val="none"/>
          <w:lang w:val="en-US" w:eastAsia="zh-CN"/>
        </w:rPr>
        <w:t>（二）部门预算</w:t>
      </w:r>
      <w:bookmarkEnd w:id="21"/>
      <w:bookmarkEnd w:id="22"/>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23" w:name="_Toc7402"/>
      <w:bookmarkStart w:id="24" w:name="_Toc55586770"/>
      <w:bookmarkStart w:id="25" w:name="_Toc25937"/>
      <w:r>
        <w:rPr>
          <w:rFonts w:hint="default" w:ascii="Times New Roman" w:hAnsi="Times New Roman" w:eastAsia="仿宋_GB2312" w:cs="Times New Roman"/>
        </w:rPr>
        <w:t>1、</w:t>
      </w:r>
      <w:r>
        <w:rPr>
          <w:rFonts w:hint="default" w:ascii="Times New Roman" w:hAnsi="Times New Roman" w:eastAsia="仿宋_GB2312" w:cs="Times New Roman"/>
          <w:b/>
          <w:bCs/>
          <w:color w:val="000000"/>
          <w:kern w:val="0"/>
          <w:sz w:val="32"/>
          <w:szCs w:val="32"/>
          <w:highlight w:val="none"/>
          <w:lang w:val="en-US" w:eastAsia="zh-CN" w:bidi="ar"/>
        </w:rPr>
        <w:t>近三年</w:t>
      </w:r>
      <w:r>
        <w:rPr>
          <w:rFonts w:hint="eastAsia" w:eastAsia="仿宋_GB2312" w:cs="Times New Roman"/>
          <w:highlight w:val="none"/>
          <w:lang w:eastAsia="zh-CN"/>
        </w:rPr>
        <w:t>阿坝县民族宗教局</w:t>
      </w:r>
      <w:r>
        <w:rPr>
          <w:rFonts w:hint="default" w:ascii="Times New Roman" w:hAnsi="Times New Roman" w:eastAsia="仿宋_GB2312" w:cs="Times New Roman"/>
          <w:highlight w:val="none"/>
        </w:rPr>
        <w:t>整体支出预算及使用情况</w:t>
      </w:r>
      <w:bookmarkEnd w:id="23"/>
      <w:bookmarkEnd w:id="24"/>
      <w:bookmarkEnd w:id="25"/>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阿坝县民族宗教局</w:t>
      </w:r>
      <w:r>
        <w:rPr>
          <w:rFonts w:hint="default" w:ascii="Times New Roman" w:hAnsi="Times New Roman" w:eastAsia="仿宋_GB2312" w:cs="Times New Roman"/>
          <w:color w:val="000000"/>
          <w:kern w:val="0"/>
          <w:sz w:val="32"/>
          <w:szCs w:val="32"/>
          <w:highlight w:val="none"/>
          <w:lang w:val="en-US" w:eastAsia="zh-CN" w:bidi="ar"/>
        </w:rPr>
        <w:t>近三年部门整体运行资金需求</w:t>
      </w:r>
      <w:r>
        <w:rPr>
          <w:rFonts w:hint="eastAsia" w:eastAsia="仿宋_GB2312" w:cs="Times New Roman"/>
          <w:color w:val="000000"/>
          <w:kern w:val="0"/>
          <w:sz w:val="32"/>
          <w:szCs w:val="32"/>
          <w:highlight w:val="none"/>
          <w:lang w:val="en-US" w:eastAsia="zh-CN" w:bidi="ar"/>
        </w:rPr>
        <w:t>总体</w:t>
      </w:r>
      <w:r>
        <w:rPr>
          <w:rFonts w:hint="default" w:ascii="Times New Roman" w:hAnsi="Times New Roman" w:eastAsia="仿宋_GB2312" w:cs="Times New Roman"/>
          <w:color w:val="000000"/>
          <w:kern w:val="0"/>
          <w:sz w:val="32"/>
          <w:szCs w:val="32"/>
          <w:highlight w:val="none"/>
          <w:lang w:val="en-US" w:eastAsia="zh-CN" w:bidi="ar"/>
        </w:rPr>
        <w:t>呈</w:t>
      </w:r>
      <w:r>
        <w:rPr>
          <w:rFonts w:hint="eastAsia" w:eastAsia="仿宋_GB2312" w:cs="Times New Roman"/>
          <w:color w:val="000000"/>
          <w:kern w:val="0"/>
          <w:sz w:val="32"/>
          <w:szCs w:val="32"/>
          <w:highlight w:val="none"/>
          <w:lang w:val="en-US" w:eastAsia="zh-CN" w:bidi="ar"/>
        </w:rPr>
        <w:t>下降</w:t>
      </w:r>
      <w:r>
        <w:rPr>
          <w:rFonts w:hint="default" w:ascii="Times New Roman" w:hAnsi="Times New Roman" w:eastAsia="仿宋_GB2312" w:cs="Times New Roman"/>
          <w:color w:val="000000"/>
          <w:kern w:val="0"/>
          <w:sz w:val="32"/>
          <w:szCs w:val="32"/>
          <w:highlight w:val="none"/>
          <w:lang w:val="en-US" w:eastAsia="zh-CN" w:bidi="ar"/>
        </w:rPr>
        <w:t>趋势，预算数年均</w:t>
      </w:r>
      <w:r>
        <w:rPr>
          <w:rFonts w:hint="eastAsia" w:eastAsia="仿宋_GB2312" w:cs="Times New Roman"/>
          <w:color w:val="000000"/>
          <w:kern w:val="0"/>
          <w:sz w:val="32"/>
          <w:szCs w:val="32"/>
          <w:highlight w:val="none"/>
          <w:lang w:val="en-US" w:eastAsia="zh-CN" w:bidi="ar"/>
        </w:rPr>
        <w:t>减少</w:t>
      </w:r>
      <w:r>
        <w:rPr>
          <w:rFonts w:hint="default" w:ascii="Times New Roman" w:hAnsi="Times New Roman" w:eastAsia="仿宋_GB2312" w:cs="Times New Roman"/>
          <w:color w:val="000000"/>
          <w:kern w:val="0"/>
          <w:sz w:val="32"/>
          <w:szCs w:val="32"/>
          <w:highlight w:val="none"/>
          <w:lang w:val="en-US" w:eastAsia="zh-CN" w:bidi="ar"/>
        </w:rPr>
        <w:t>率为</w:t>
      </w:r>
      <w:r>
        <w:rPr>
          <w:rFonts w:hint="eastAsia" w:eastAsia="仿宋_GB2312" w:cs="Times New Roman"/>
          <w:color w:val="000000"/>
          <w:kern w:val="0"/>
          <w:sz w:val="32"/>
          <w:szCs w:val="32"/>
          <w:highlight w:val="none"/>
          <w:lang w:val="en-US" w:eastAsia="zh-CN" w:bidi="ar"/>
        </w:rPr>
        <w:t>22.41</w:t>
      </w:r>
      <w:r>
        <w:rPr>
          <w:rFonts w:hint="default" w:ascii="Times New Roman" w:hAnsi="Times New Roman" w:eastAsia="仿宋_GB2312" w:cs="Times New Roman"/>
          <w:color w:val="000000"/>
          <w:kern w:val="0"/>
          <w:sz w:val="32"/>
          <w:szCs w:val="32"/>
          <w:highlight w:val="none"/>
          <w:lang w:val="en-US" w:eastAsia="zh-CN" w:bidi="ar"/>
        </w:rPr>
        <w:t>%，支出数年均</w:t>
      </w:r>
      <w:r>
        <w:rPr>
          <w:rFonts w:hint="eastAsia" w:eastAsia="仿宋_GB2312" w:cs="Times New Roman"/>
          <w:color w:val="000000"/>
          <w:kern w:val="0"/>
          <w:sz w:val="32"/>
          <w:szCs w:val="32"/>
          <w:highlight w:val="none"/>
          <w:lang w:val="en-US" w:eastAsia="zh-CN" w:bidi="ar"/>
        </w:rPr>
        <w:t>减少</w:t>
      </w:r>
      <w:r>
        <w:rPr>
          <w:rFonts w:hint="default" w:ascii="Times New Roman" w:hAnsi="Times New Roman" w:eastAsia="仿宋_GB2312" w:cs="Times New Roman"/>
          <w:color w:val="000000"/>
          <w:kern w:val="0"/>
          <w:sz w:val="32"/>
          <w:szCs w:val="32"/>
          <w:highlight w:val="none"/>
          <w:lang w:val="en-US" w:eastAsia="zh-CN" w:bidi="ar"/>
        </w:rPr>
        <w:t>率为</w:t>
      </w:r>
      <w:r>
        <w:rPr>
          <w:rFonts w:hint="eastAsia" w:eastAsia="仿宋_GB2312" w:cs="Times New Roman"/>
          <w:color w:val="000000"/>
          <w:kern w:val="0"/>
          <w:sz w:val="32"/>
          <w:szCs w:val="32"/>
          <w:highlight w:val="none"/>
          <w:lang w:val="en-US" w:eastAsia="zh-CN" w:bidi="ar"/>
        </w:rPr>
        <w:t>22.41</w:t>
      </w:r>
      <w:r>
        <w:rPr>
          <w:rFonts w:hint="default" w:ascii="Times New Roman" w:hAnsi="Times New Roman" w:eastAsia="仿宋_GB2312" w:cs="Times New Roman"/>
          <w:color w:val="000000"/>
          <w:kern w:val="0"/>
          <w:sz w:val="32"/>
          <w:szCs w:val="32"/>
          <w:highlight w:val="none"/>
          <w:lang w:val="en-US" w:eastAsia="zh-CN" w:bidi="ar"/>
        </w:rPr>
        <w:t>%，预算执行率年平均为</w:t>
      </w:r>
      <w:r>
        <w:rPr>
          <w:rFonts w:hint="eastAsia" w:eastAsia="仿宋_GB2312" w:cs="Times New Roman"/>
          <w:color w:val="000000"/>
          <w:kern w:val="0"/>
          <w:sz w:val="32"/>
          <w:szCs w:val="32"/>
          <w:highlight w:val="none"/>
          <w:lang w:val="en-US" w:eastAsia="zh-CN" w:bidi="ar"/>
        </w:rPr>
        <w:t>100</w:t>
      </w:r>
      <w:r>
        <w:rPr>
          <w:rFonts w:hint="default" w:ascii="Times New Roman" w:hAnsi="Times New Roman"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2020-2022年阿坝县民族宗教局</w:t>
      </w:r>
      <w:r>
        <w:rPr>
          <w:rFonts w:hint="default" w:ascii="Times New Roman" w:hAnsi="Times New Roman" w:eastAsia="仿宋_GB2312" w:cs="Times New Roman"/>
          <w:color w:val="000000"/>
          <w:kern w:val="0"/>
          <w:sz w:val="32"/>
          <w:szCs w:val="32"/>
          <w:highlight w:val="none"/>
          <w:lang w:val="en-US" w:eastAsia="zh-CN" w:bidi="ar"/>
        </w:rPr>
        <w:t>整体支出基本支出及项目支出的预算执行情况变化如下：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722" w:firstLineChars="300"/>
        <w:jc w:val="center"/>
        <w:textAlignment w:val="auto"/>
        <w:rPr>
          <w:rFonts w:hint="default" w:ascii="Times New Roman" w:hAnsi="Times New Roman" w:eastAsia="仿宋_GB2312" w:cs="Times New Roman"/>
          <w:kern w:val="0"/>
          <w:sz w:val="32"/>
          <w:szCs w:val="32"/>
          <w:highlight w:val="none"/>
          <w:shd w:val="clear" w:color="auto" w:fill="FFFFFF"/>
        </w:rPr>
      </w:pPr>
      <w:r>
        <w:rPr>
          <w:rFonts w:hint="default" w:ascii="Times New Roman" w:hAnsi="Times New Roman" w:eastAsia="仿宋_GB2312" w:cs="Times New Roman"/>
          <w:b/>
          <w:bCs/>
          <w:color w:val="000000"/>
          <w:kern w:val="0"/>
          <w:highlight w:val="none"/>
          <w:shd w:val="clear" w:color="auto" w:fill="FFFFFF"/>
        </w:rPr>
        <w:t>表</w:t>
      </w:r>
      <w:r>
        <w:rPr>
          <w:rFonts w:hint="default" w:ascii="Times New Roman" w:hAnsi="Times New Roman" w:eastAsia="仿宋_GB2312" w:cs="Times New Roman"/>
          <w:b/>
          <w:bCs/>
          <w:color w:val="000000"/>
          <w:kern w:val="0"/>
          <w:highlight w:val="none"/>
          <w:shd w:val="clear" w:color="auto" w:fill="FFFFFF"/>
          <w:lang w:val="en-US" w:eastAsia="zh-CN"/>
        </w:rPr>
        <w:t xml:space="preserve">2 </w:t>
      </w:r>
      <w:r>
        <w:rPr>
          <w:rFonts w:hint="eastAsia" w:eastAsia="仿宋_GB2312" w:cs="Times New Roman"/>
          <w:b/>
          <w:bCs/>
          <w:color w:val="000000"/>
          <w:kern w:val="0"/>
          <w:highlight w:val="none"/>
          <w:shd w:val="clear" w:color="auto" w:fill="FFFFFF"/>
          <w:lang w:eastAsia="zh-CN"/>
        </w:rPr>
        <w:t>20</w:t>
      </w:r>
      <w:r>
        <w:rPr>
          <w:rFonts w:hint="eastAsia" w:eastAsia="仿宋_GB2312" w:cs="Times New Roman"/>
          <w:b/>
          <w:bCs/>
          <w:color w:val="000000"/>
          <w:kern w:val="0"/>
          <w:highlight w:val="none"/>
          <w:shd w:val="clear" w:color="auto" w:fill="FFFFFF"/>
          <w:lang w:val="en-US" w:eastAsia="zh-CN"/>
        </w:rPr>
        <w:t>20</w:t>
      </w:r>
      <w:r>
        <w:rPr>
          <w:rFonts w:hint="eastAsia" w:eastAsia="仿宋_GB2312" w:cs="Times New Roman"/>
          <w:b/>
          <w:bCs/>
          <w:color w:val="000000"/>
          <w:kern w:val="0"/>
          <w:highlight w:val="none"/>
          <w:shd w:val="clear" w:color="auto" w:fill="FFFFFF"/>
          <w:lang w:eastAsia="zh-CN"/>
        </w:rPr>
        <w:t>-2022年部门整体支出</w:t>
      </w:r>
      <w:r>
        <w:rPr>
          <w:rFonts w:hint="default" w:ascii="Times New Roman" w:hAnsi="Times New Roman" w:eastAsia="仿宋_GB2312" w:cs="Times New Roman"/>
          <w:b/>
          <w:bCs/>
          <w:color w:val="000000"/>
          <w:kern w:val="0"/>
          <w:highlight w:val="none"/>
          <w:shd w:val="clear" w:color="auto" w:fill="FFFFFF"/>
        </w:rPr>
        <w:t>预算及执行情况</w:t>
      </w:r>
    </w:p>
    <w:tbl>
      <w:tblPr>
        <w:tblStyle w:val="40"/>
        <w:tblW w:w="4997" w:type="pct"/>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490"/>
        <w:gridCol w:w="2632"/>
        <w:gridCol w:w="2504"/>
        <w:gridCol w:w="2371"/>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5" w:hRule="atLeast"/>
          <w:tblHeader/>
        </w:trPr>
        <w:tc>
          <w:tcPr>
            <w:tcW w:w="828"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年份</w:t>
            </w:r>
          </w:p>
        </w:tc>
        <w:tc>
          <w:tcPr>
            <w:tcW w:w="1462"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预算安排（</w:t>
            </w:r>
            <w:r>
              <w:rPr>
                <w:rFonts w:hint="default" w:ascii="Times New Roman" w:hAnsi="Times New Roman" w:eastAsia="仿宋_GB2312" w:cs="Times New Roman"/>
                <w:b/>
                <w:bCs/>
                <w:color w:val="000000"/>
                <w:kern w:val="0"/>
                <w:sz w:val="24"/>
                <w:szCs w:val="24"/>
                <w:highlight w:val="none"/>
                <w:shd w:val="clear" w:color="auto" w:fill="FFFFFF"/>
                <w:lang w:val="en-US" w:eastAsia="zh-CN"/>
              </w:rPr>
              <w:t>万</w:t>
            </w:r>
            <w:r>
              <w:rPr>
                <w:rFonts w:hint="default" w:ascii="Times New Roman" w:hAnsi="Times New Roman" w:eastAsia="仿宋_GB2312" w:cs="Times New Roman"/>
                <w:b/>
                <w:bCs/>
                <w:color w:val="000000"/>
                <w:kern w:val="0"/>
                <w:sz w:val="24"/>
                <w:szCs w:val="24"/>
                <w:highlight w:val="none"/>
                <w:shd w:val="clear" w:color="auto" w:fill="FFFFFF"/>
              </w:rPr>
              <w:t>元）</w:t>
            </w:r>
          </w:p>
        </w:tc>
        <w:tc>
          <w:tcPr>
            <w:tcW w:w="1391"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实际支出（</w:t>
            </w:r>
            <w:r>
              <w:rPr>
                <w:rFonts w:hint="default" w:ascii="Times New Roman" w:hAnsi="Times New Roman" w:eastAsia="仿宋_GB2312" w:cs="Times New Roman"/>
                <w:b/>
                <w:bCs/>
                <w:color w:val="000000"/>
                <w:kern w:val="0"/>
                <w:sz w:val="24"/>
                <w:szCs w:val="24"/>
                <w:highlight w:val="none"/>
                <w:shd w:val="clear" w:color="auto" w:fill="FFFFFF"/>
                <w:lang w:val="en-US" w:eastAsia="zh-CN"/>
              </w:rPr>
              <w:t>万</w:t>
            </w:r>
            <w:r>
              <w:rPr>
                <w:rFonts w:hint="default" w:ascii="Times New Roman" w:hAnsi="Times New Roman" w:eastAsia="仿宋_GB2312" w:cs="Times New Roman"/>
                <w:b/>
                <w:bCs/>
                <w:color w:val="000000"/>
                <w:kern w:val="0"/>
                <w:sz w:val="24"/>
                <w:szCs w:val="24"/>
                <w:highlight w:val="none"/>
                <w:shd w:val="clear" w:color="auto" w:fill="FFFFFF"/>
              </w:rPr>
              <w:t>元）</w:t>
            </w:r>
          </w:p>
        </w:tc>
        <w:tc>
          <w:tcPr>
            <w:tcW w:w="1317"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预算执行率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03" w:hRule="atLeast"/>
        </w:trPr>
        <w:tc>
          <w:tcPr>
            <w:tcW w:w="828"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shd w:val="clear" w:color="auto" w:fill="FFFFFF"/>
              </w:rPr>
              <w:t>20</w:t>
            </w:r>
            <w:r>
              <w:rPr>
                <w:rFonts w:hint="eastAsia" w:eastAsia="仿宋_GB2312" w:cs="Times New Roman"/>
                <w:color w:val="000000"/>
                <w:kern w:val="0"/>
                <w:sz w:val="24"/>
                <w:szCs w:val="24"/>
                <w:highlight w:val="none"/>
                <w:shd w:val="clear" w:color="auto" w:fill="FFFFFF"/>
                <w:lang w:val="en-US" w:eastAsia="zh-CN"/>
              </w:rPr>
              <w:t>20</w:t>
            </w:r>
            <w:r>
              <w:rPr>
                <w:rFonts w:hint="default" w:ascii="Times New Roman" w:hAnsi="Times New Roman" w:eastAsia="仿宋_GB2312" w:cs="Times New Roman"/>
                <w:color w:val="000000"/>
                <w:kern w:val="0"/>
                <w:sz w:val="24"/>
                <w:szCs w:val="24"/>
                <w:highlight w:val="none"/>
                <w:shd w:val="clear" w:color="auto" w:fill="FFFFFF"/>
              </w:rPr>
              <w:t>年</w:t>
            </w:r>
          </w:p>
        </w:tc>
        <w:tc>
          <w:tcPr>
            <w:tcW w:w="2632" w:type="dxa"/>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1,238.63</w:t>
            </w:r>
          </w:p>
        </w:tc>
        <w:tc>
          <w:tcPr>
            <w:tcW w:w="2504" w:type="dxa"/>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1,238.63</w:t>
            </w:r>
          </w:p>
        </w:tc>
        <w:tc>
          <w:tcPr>
            <w:tcW w:w="2371" w:type="dxa"/>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cs="Times New Roman"/>
                <w:i w:val="0"/>
                <w:iCs w:val="0"/>
                <w:color w:val="000000"/>
                <w:kern w:val="0"/>
                <w:sz w:val="24"/>
                <w:szCs w:val="24"/>
                <w:u w:val="none"/>
                <w:lang w:val="en-US" w:eastAsia="zh-CN" w:bidi="ar"/>
              </w:rPr>
              <w:t>100</w:t>
            </w:r>
            <w:r>
              <w:rPr>
                <w:rFonts w:hint="default" w:ascii="Times New Roman" w:hAnsi="Times New Roman" w:eastAsia="宋体" w:cs="Times New Roman"/>
                <w:i w:val="0"/>
                <w:iCs w:val="0"/>
                <w:color w:val="000000"/>
                <w:kern w:val="0"/>
                <w:sz w:val="24"/>
                <w:szCs w:val="24"/>
                <w:u w:val="none"/>
                <w:lang w:val="en-US" w:eastAsia="zh-CN" w:bidi="ar"/>
              </w:rPr>
              <w:t>%</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79" w:hRule="atLeast"/>
        </w:trPr>
        <w:tc>
          <w:tcPr>
            <w:tcW w:w="828"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shd w:val="clear" w:color="auto" w:fill="FFFFFF"/>
              </w:rPr>
              <w:t>20</w:t>
            </w:r>
            <w:r>
              <w:rPr>
                <w:rFonts w:hint="eastAsia" w:eastAsia="仿宋_GB2312" w:cs="Times New Roman"/>
                <w:color w:val="000000"/>
                <w:kern w:val="0"/>
                <w:sz w:val="24"/>
                <w:szCs w:val="24"/>
                <w:highlight w:val="none"/>
                <w:shd w:val="clear" w:color="auto" w:fill="FFFFFF"/>
                <w:lang w:val="en-US" w:eastAsia="zh-CN"/>
              </w:rPr>
              <w:t>21</w:t>
            </w:r>
            <w:r>
              <w:rPr>
                <w:rFonts w:hint="default" w:ascii="Times New Roman" w:hAnsi="Times New Roman" w:eastAsia="仿宋_GB2312" w:cs="Times New Roman"/>
                <w:color w:val="000000"/>
                <w:kern w:val="0"/>
                <w:sz w:val="24"/>
                <w:szCs w:val="24"/>
                <w:highlight w:val="none"/>
                <w:shd w:val="clear" w:color="auto" w:fill="FFFFFF"/>
              </w:rPr>
              <w:t>年</w:t>
            </w:r>
          </w:p>
        </w:tc>
        <w:tc>
          <w:tcPr>
            <w:tcW w:w="1462" w:type="pct"/>
            <w:vAlign w:val="bottom"/>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1,256.38</w:t>
            </w:r>
          </w:p>
        </w:tc>
        <w:tc>
          <w:tcPr>
            <w:tcW w:w="1391"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1,256.38</w:t>
            </w:r>
          </w:p>
        </w:tc>
        <w:tc>
          <w:tcPr>
            <w:tcW w:w="2371" w:type="dxa"/>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cs="Times New Roman"/>
                <w:i w:val="0"/>
                <w:iCs w:val="0"/>
                <w:color w:val="000000"/>
                <w:kern w:val="0"/>
                <w:sz w:val="24"/>
                <w:szCs w:val="24"/>
                <w:u w:val="none"/>
                <w:lang w:val="en-US" w:eastAsia="zh-CN" w:bidi="ar"/>
              </w:rPr>
              <w:t>100</w:t>
            </w:r>
            <w:r>
              <w:rPr>
                <w:rFonts w:hint="default" w:ascii="Times New Roman" w:hAnsi="Times New Roman" w:eastAsia="宋体" w:cs="Times New Roman"/>
                <w:i w:val="0"/>
                <w:iCs w:val="0"/>
                <w:color w:val="000000"/>
                <w:kern w:val="0"/>
                <w:sz w:val="24"/>
                <w:szCs w:val="24"/>
                <w:u w:val="none"/>
                <w:lang w:val="en-US" w:eastAsia="zh-CN" w:bidi="ar"/>
              </w:rPr>
              <w:t>%</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1" w:hRule="atLeast"/>
        </w:trPr>
        <w:tc>
          <w:tcPr>
            <w:tcW w:w="828"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rPr>
            </w:pPr>
            <w:r>
              <w:rPr>
                <w:rFonts w:hint="eastAsia" w:eastAsia="仿宋_GB2312" w:cs="Times New Roman"/>
                <w:color w:val="000000"/>
                <w:kern w:val="0"/>
                <w:sz w:val="24"/>
                <w:szCs w:val="24"/>
                <w:highlight w:val="none"/>
                <w:shd w:val="clear" w:color="auto" w:fill="FFFFFF"/>
                <w:lang w:eastAsia="zh-CN"/>
              </w:rPr>
              <w:t>2022</w:t>
            </w:r>
            <w:r>
              <w:rPr>
                <w:rFonts w:hint="default" w:ascii="Times New Roman" w:hAnsi="Times New Roman" w:eastAsia="仿宋_GB2312" w:cs="Times New Roman"/>
                <w:color w:val="000000"/>
                <w:kern w:val="0"/>
                <w:sz w:val="24"/>
                <w:szCs w:val="24"/>
                <w:highlight w:val="none"/>
                <w:shd w:val="clear" w:color="auto" w:fill="FFFFFF"/>
              </w:rPr>
              <w:t>年</w:t>
            </w:r>
          </w:p>
        </w:tc>
        <w:tc>
          <w:tcPr>
            <w:tcW w:w="1462"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675.22</w:t>
            </w:r>
          </w:p>
        </w:tc>
        <w:tc>
          <w:tcPr>
            <w:tcW w:w="1391"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675.22</w:t>
            </w:r>
          </w:p>
        </w:tc>
        <w:tc>
          <w:tcPr>
            <w:tcW w:w="2371" w:type="dxa"/>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cs="Times New Roman"/>
                <w:i w:val="0"/>
                <w:iCs w:val="0"/>
                <w:color w:val="000000"/>
                <w:kern w:val="0"/>
                <w:sz w:val="24"/>
                <w:szCs w:val="24"/>
                <w:u w:val="none"/>
                <w:lang w:val="en-US" w:eastAsia="zh-CN" w:bidi="ar"/>
              </w:rPr>
              <w:t>100</w:t>
            </w:r>
            <w:r>
              <w:rPr>
                <w:rFonts w:hint="default" w:ascii="Times New Roman" w:hAnsi="Times New Roman" w:eastAsia="宋体" w:cs="Times New Roman"/>
                <w:i w:val="0"/>
                <w:iCs w:val="0"/>
                <w:color w:val="000000"/>
                <w:kern w:val="0"/>
                <w:sz w:val="24"/>
                <w:szCs w:val="24"/>
                <w:u w:val="none"/>
                <w:lang w:val="en-US" w:eastAsia="zh-CN" w:bidi="ar"/>
              </w:rPr>
              <w:t>%</w:t>
            </w:r>
          </w:p>
        </w:tc>
      </w:tr>
    </w:tbl>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default" w:ascii="Times New Roman" w:hAnsi="Times New Roman" w:eastAsia="仿宋_GB2312" w:cs="Times New Roman"/>
          <w:b/>
          <w:bCs/>
          <w:color w:val="000000"/>
          <w:kern w:val="0"/>
          <w:shd w:val="clear" w:color="auto" w:fill="FFFFFF"/>
        </w:rPr>
      </w:pPr>
      <w:r>
        <w:rPr>
          <w:rFonts w:hint="default" w:ascii="Times New Roman" w:hAnsi="Times New Roman" w:eastAsia="仿宋_GB2312" w:cs="Times New Roman"/>
          <w:b/>
          <w:bCs/>
          <w:color w:val="000000"/>
          <w:kern w:val="0"/>
          <w:shd w:val="clear" w:color="auto" w:fill="FFFFFF"/>
          <w:lang w:val="en-US" w:eastAsia="zh-CN"/>
        </w:rPr>
        <w:t xml:space="preserve">图2 </w:t>
      </w:r>
      <w:r>
        <w:rPr>
          <w:rFonts w:hint="eastAsia" w:eastAsia="仿宋_GB2312" w:cs="Times New Roman"/>
          <w:b/>
          <w:bCs/>
          <w:color w:val="000000"/>
          <w:kern w:val="0"/>
          <w:shd w:val="clear" w:color="auto" w:fill="FFFFFF"/>
          <w:lang w:eastAsia="zh-CN"/>
        </w:rPr>
        <w:t>20</w:t>
      </w:r>
      <w:r>
        <w:rPr>
          <w:rFonts w:hint="eastAsia" w:eastAsia="仿宋_GB2312" w:cs="Times New Roman"/>
          <w:b/>
          <w:bCs/>
          <w:color w:val="000000"/>
          <w:kern w:val="0"/>
          <w:shd w:val="clear" w:color="auto" w:fill="FFFFFF"/>
          <w:lang w:val="en-US" w:eastAsia="zh-CN"/>
        </w:rPr>
        <w:t>20</w:t>
      </w:r>
      <w:r>
        <w:rPr>
          <w:rFonts w:hint="eastAsia" w:eastAsia="仿宋_GB2312" w:cs="Times New Roman"/>
          <w:b/>
          <w:bCs/>
          <w:color w:val="000000"/>
          <w:kern w:val="0"/>
          <w:shd w:val="clear" w:color="auto" w:fill="FFFFFF"/>
          <w:lang w:eastAsia="zh-CN"/>
        </w:rPr>
        <w:t>-2022年</w:t>
      </w:r>
      <w:r>
        <w:rPr>
          <w:rFonts w:hint="default" w:ascii="Times New Roman" w:hAnsi="Times New Roman" w:eastAsia="仿宋_GB2312" w:cs="Times New Roman"/>
          <w:b/>
          <w:bCs/>
          <w:color w:val="000000"/>
          <w:kern w:val="0"/>
          <w:shd w:val="clear" w:color="auto" w:fill="FFFFFF"/>
        </w:rPr>
        <w:t>预算及执行情况图</w:t>
      </w:r>
    </w:p>
    <w:p>
      <w:pPr>
        <w:pStyle w:val="15"/>
        <w:ind w:left="0" w:leftChars="0" w:firstLine="0" w:firstLineChars="0"/>
        <w:jc w:val="center"/>
        <w:rPr>
          <w:rFonts w:hint="eastAsia" w:eastAsia="宋体"/>
          <w:lang w:eastAsia="zh-CN"/>
        </w:rPr>
      </w:pPr>
      <w:r>
        <w:drawing>
          <wp:inline distT="0" distB="0" distL="114300" distR="114300">
            <wp:extent cx="4616450" cy="2235200"/>
            <wp:effectExtent l="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7"/>
                    <a:stretch>
                      <a:fillRect/>
                    </a:stretch>
                  </pic:blipFill>
                  <pic:spPr>
                    <a:xfrm>
                      <a:off x="0" y="0"/>
                      <a:ext cx="4616450" cy="2235200"/>
                    </a:xfrm>
                    <a:prstGeom prst="rect">
                      <a:avLst/>
                    </a:prstGeom>
                    <a:noFill/>
                    <a:ln>
                      <a:noFill/>
                    </a:ln>
                  </pic:spPr>
                </pic:pic>
              </a:graphicData>
            </a:graphic>
          </wp:inline>
        </w:drawing>
      </w:r>
    </w:p>
    <w:p>
      <w:pPr>
        <w:pStyle w:val="4"/>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highlight w:val="none"/>
        </w:rPr>
      </w:pPr>
      <w:bookmarkStart w:id="26" w:name="_Toc55586771"/>
      <w:bookmarkStart w:id="27" w:name="_Toc817"/>
      <w:bookmarkStart w:id="28" w:name="_Toc21130"/>
      <w:r>
        <w:rPr>
          <w:rFonts w:hint="default" w:ascii="Times New Roman" w:hAnsi="Times New Roman" w:eastAsia="仿宋_GB2312" w:cs="Times New Roman"/>
          <w:highlight w:val="none"/>
        </w:rPr>
        <w:t>2、</w:t>
      </w:r>
      <w:r>
        <w:rPr>
          <w:rFonts w:hint="eastAsia" w:eastAsia="仿宋_GB2312" w:cs="Times New Roman"/>
          <w:highlight w:val="none"/>
          <w:lang w:eastAsia="zh-CN"/>
        </w:rPr>
        <w:t>2022</w:t>
      </w:r>
      <w:r>
        <w:rPr>
          <w:rFonts w:hint="default" w:ascii="Times New Roman" w:hAnsi="Times New Roman" w:eastAsia="仿宋_GB2312" w:cs="Times New Roman"/>
          <w:highlight w:val="none"/>
        </w:rPr>
        <w:t>年</w:t>
      </w:r>
      <w:r>
        <w:rPr>
          <w:rFonts w:hint="eastAsia" w:eastAsia="仿宋_GB2312" w:cs="Times New Roman"/>
          <w:highlight w:val="none"/>
          <w:lang w:eastAsia="zh-CN"/>
        </w:rPr>
        <w:t>阿坝县民族宗教局</w:t>
      </w:r>
      <w:r>
        <w:rPr>
          <w:rFonts w:hint="default" w:ascii="Times New Roman" w:hAnsi="Times New Roman" w:eastAsia="仿宋_GB2312" w:cs="Times New Roman"/>
          <w:highlight w:val="none"/>
        </w:rPr>
        <w:t>预算及支出情况</w:t>
      </w:r>
      <w:bookmarkEnd w:id="26"/>
      <w:bookmarkEnd w:id="27"/>
      <w:bookmarkEnd w:id="28"/>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（1）预算资金来源</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2022</w:t>
      </w:r>
      <w:r>
        <w:rPr>
          <w:rFonts w:hint="default" w:ascii="Times New Roman" w:hAnsi="Times New Roman" w:eastAsia="仿宋_GB2312" w:cs="Times New Roman"/>
          <w:color w:val="auto"/>
          <w:kern w:val="0"/>
          <w:sz w:val="32"/>
          <w:szCs w:val="32"/>
          <w:highlight w:val="none"/>
          <w:shd w:val="clear" w:color="auto" w:fill="FFFFFF"/>
          <w:lang w:val="en-US" w:eastAsia="zh-CN" w:bidi="ar-SA"/>
        </w:rPr>
        <w:t>年</w:t>
      </w:r>
      <w:r>
        <w:rPr>
          <w:rFonts w:hint="eastAsia" w:eastAsia="仿宋_GB2312" w:cs="Times New Roman"/>
          <w:color w:val="auto"/>
          <w:kern w:val="0"/>
          <w:sz w:val="32"/>
          <w:szCs w:val="32"/>
          <w:highlight w:val="none"/>
          <w:shd w:val="clear" w:color="auto" w:fill="FFFFFF"/>
          <w:lang w:val="en-US" w:eastAsia="zh-CN" w:bidi="ar-SA"/>
        </w:rPr>
        <w:t>阿坝县民族宗教局</w:t>
      </w:r>
      <w:r>
        <w:rPr>
          <w:rFonts w:hint="default" w:ascii="Times New Roman" w:hAnsi="Times New Roman" w:eastAsia="仿宋_GB2312" w:cs="Times New Roman"/>
          <w:color w:val="auto"/>
          <w:kern w:val="0"/>
          <w:sz w:val="32"/>
          <w:szCs w:val="32"/>
          <w:highlight w:val="none"/>
          <w:shd w:val="clear" w:color="auto" w:fill="FFFFFF"/>
          <w:lang w:val="en-US" w:eastAsia="zh-CN" w:bidi="ar-SA"/>
        </w:rPr>
        <w:t>年初预算数为</w:t>
      </w:r>
      <w:r>
        <w:rPr>
          <w:rFonts w:hint="eastAsia" w:eastAsia="仿宋_GB2312" w:cs="Times New Roman"/>
          <w:color w:val="auto"/>
          <w:kern w:val="0"/>
          <w:sz w:val="32"/>
          <w:szCs w:val="32"/>
          <w:highlight w:val="none"/>
          <w:shd w:val="clear" w:color="auto" w:fill="FFFFFF"/>
          <w:lang w:val="en-US" w:eastAsia="zh-CN" w:bidi="ar-SA"/>
        </w:rPr>
        <w:t>379.73</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万元，资金来源于财政拨款。</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（2）预算调整</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2022</w:t>
      </w:r>
      <w:r>
        <w:rPr>
          <w:rFonts w:hint="default" w:ascii="Times New Roman" w:hAnsi="Times New Roman" w:eastAsia="仿宋_GB2312" w:cs="Times New Roman"/>
          <w:color w:val="auto"/>
          <w:kern w:val="0"/>
          <w:sz w:val="32"/>
          <w:szCs w:val="32"/>
          <w:highlight w:val="none"/>
          <w:shd w:val="clear" w:color="auto" w:fill="FFFFFF"/>
          <w:lang w:val="en-US" w:eastAsia="zh-CN" w:bidi="ar-SA"/>
        </w:rPr>
        <w:t>年</w:t>
      </w:r>
      <w:r>
        <w:rPr>
          <w:rFonts w:hint="eastAsia" w:eastAsia="仿宋_GB2312" w:cs="Times New Roman"/>
          <w:color w:val="auto"/>
          <w:kern w:val="0"/>
          <w:sz w:val="32"/>
          <w:szCs w:val="32"/>
          <w:highlight w:val="none"/>
          <w:shd w:val="clear" w:color="auto" w:fill="FFFFFF"/>
          <w:lang w:val="en-US" w:eastAsia="zh-CN" w:bidi="ar-SA"/>
        </w:rPr>
        <w:t>阿坝县民族宗教局</w:t>
      </w:r>
      <w:r>
        <w:rPr>
          <w:rFonts w:hint="default" w:ascii="Times New Roman" w:hAnsi="Times New Roman" w:eastAsia="仿宋_GB2312" w:cs="Times New Roman"/>
          <w:color w:val="auto"/>
          <w:kern w:val="0"/>
          <w:sz w:val="32"/>
          <w:szCs w:val="32"/>
          <w:highlight w:val="none"/>
          <w:shd w:val="clear" w:color="auto" w:fill="FFFFFF"/>
          <w:lang w:val="en-US" w:eastAsia="zh-CN" w:bidi="ar-SA"/>
        </w:rPr>
        <w:t>执行过程中预算调整</w:t>
      </w:r>
      <w:r>
        <w:rPr>
          <w:rFonts w:hint="eastAsia" w:eastAsia="仿宋_GB2312" w:cs="Times New Roman"/>
          <w:color w:val="auto"/>
          <w:kern w:val="0"/>
          <w:sz w:val="32"/>
          <w:szCs w:val="32"/>
          <w:highlight w:val="none"/>
          <w:shd w:val="clear" w:color="auto" w:fill="FFFFFF"/>
          <w:lang w:val="en-US" w:eastAsia="zh-CN" w:bidi="ar-SA"/>
        </w:rPr>
        <w:t>增加295.49</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万元。其中基本支出</w:t>
      </w:r>
      <w:r>
        <w:rPr>
          <w:rFonts w:hint="eastAsia" w:eastAsia="仿宋_GB2312" w:cs="Times New Roman"/>
          <w:color w:val="auto"/>
          <w:kern w:val="0"/>
          <w:sz w:val="32"/>
          <w:szCs w:val="32"/>
          <w:highlight w:val="none"/>
          <w:shd w:val="clear" w:color="auto" w:fill="FFFFFF"/>
          <w:lang w:val="en-US" w:eastAsia="zh-CN" w:bidi="ar-SA"/>
        </w:rPr>
        <w:t>增加174.48</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万元，项目支出</w:t>
      </w:r>
      <w:r>
        <w:rPr>
          <w:rFonts w:hint="eastAsia" w:eastAsia="仿宋_GB2312" w:cs="Times New Roman"/>
          <w:color w:val="auto"/>
          <w:kern w:val="0"/>
          <w:sz w:val="32"/>
          <w:szCs w:val="32"/>
          <w:highlight w:val="none"/>
          <w:shd w:val="clear" w:color="auto" w:fill="FFFFFF"/>
          <w:lang w:val="en-US" w:eastAsia="zh-CN" w:bidi="ar-SA"/>
        </w:rPr>
        <w:t>增加121.01</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w:t>
      </w:r>
    </w:p>
    <w:p>
      <w:pPr>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default" w:ascii="Times New Roman" w:hAnsi="Times New Roman" w:eastAsia="仿宋_GB2312" w:cs="Times New Roman"/>
          <w:b/>
          <w:bCs/>
          <w:color w:val="000000"/>
          <w:kern w:val="0"/>
          <w:highlight w:val="none"/>
          <w:lang w:val="en-US" w:eastAsia="zh-CN" w:bidi="ar"/>
        </w:rPr>
        <w:t>3</w:t>
      </w:r>
      <w:r>
        <w:rPr>
          <w:rFonts w:hint="default" w:ascii="Times New Roman" w:hAnsi="Times New Roman" w:eastAsia="仿宋_GB2312" w:cs="Times New Roman"/>
          <w:b/>
          <w:bCs/>
          <w:color w:val="000000"/>
          <w:kern w:val="0"/>
          <w:highlight w:val="none"/>
          <w:lang w:bidi="ar"/>
        </w:rPr>
        <w:t xml:space="preserve"> 预算调整表</w:t>
      </w:r>
    </w:p>
    <w:tbl>
      <w:tblPr>
        <w:tblStyle w:val="40"/>
        <w:tblW w:w="8931"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189"/>
        <w:gridCol w:w="1917"/>
        <w:gridCol w:w="1929"/>
        <w:gridCol w:w="1929"/>
        <w:gridCol w:w="1967"/>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57" w:hRule="atLeast"/>
          <w:tblHeader/>
        </w:trPr>
        <w:tc>
          <w:tcPr>
            <w:tcW w:w="118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color w:val="000000"/>
                <w:kern w:val="0"/>
                <w:highlight w:val="none"/>
                <w:lang w:bidi="ar"/>
              </w:rPr>
              <w:t>项目</w:t>
            </w:r>
          </w:p>
        </w:tc>
        <w:tc>
          <w:tcPr>
            <w:tcW w:w="1917"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年初预算数</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2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调整数</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2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调整后预算</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67"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调整后占比（%）</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94" w:hRule="atLeast"/>
        </w:trPr>
        <w:tc>
          <w:tcPr>
            <w:tcW w:w="1189" w:type="dxa"/>
            <w:shd w:val="clear" w:color="auto" w:fill="auto"/>
            <w:vAlign w:val="center"/>
          </w:tcPr>
          <w:p>
            <w:pPr>
              <w:spacing w:line="240" w:lineRule="auto"/>
              <w:ind w:firstLine="0" w:firstLineChars="0"/>
              <w:jc w:val="center"/>
              <w:rPr>
                <w:rFonts w:hint="default" w:ascii="Times New Roman" w:hAnsi="Times New Roman" w:eastAsia="仿宋_GB2312" w:cs="Times New Roman"/>
                <w:b/>
                <w:color w:val="000000"/>
                <w:kern w:val="0"/>
                <w:highlight w:val="none"/>
              </w:rPr>
            </w:pPr>
            <w:r>
              <w:rPr>
                <w:rFonts w:hint="default" w:ascii="Times New Roman" w:hAnsi="Times New Roman" w:eastAsia="仿宋_GB2312" w:cs="Times New Roman"/>
                <w:color w:val="000000"/>
                <w:kern w:val="0"/>
                <w:highlight w:val="none"/>
                <w:lang w:bidi="ar"/>
              </w:rPr>
              <w:t>基本支出</w:t>
            </w:r>
          </w:p>
        </w:tc>
        <w:tc>
          <w:tcPr>
            <w:tcW w:w="1917" w:type="dxa"/>
            <w:shd w:val="clear" w:color="auto" w:fill="auto"/>
            <w:vAlign w:val="center"/>
          </w:tcPr>
          <w:p>
            <w:pPr>
              <w:spacing w:line="240" w:lineRule="auto"/>
              <w:ind w:firstLine="0" w:firstLineChars="0"/>
              <w:jc w:val="center"/>
              <w:rPr>
                <w:rFonts w:hint="default" w:ascii="Times New Roman" w:hAnsi="Times New Roman"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302.94</w:t>
            </w:r>
          </w:p>
        </w:tc>
        <w:tc>
          <w:tcPr>
            <w:tcW w:w="1929"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174.48</w:t>
            </w:r>
          </w:p>
        </w:tc>
        <w:tc>
          <w:tcPr>
            <w:tcW w:w="1929"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477.42</w:t>
            </w:r>
          </w:p>
        </w:tc>
        <w:tc>
          <w:tcPr>
            <w:tcW w:w="1967"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70.71%</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45" w:hRule="atLeast"/>
        </w:trPr>
        <w:tc>
          <w:tcPr>
            <w:tcW w:w="1189" w:type="dxa"/>
            <w:shd w:val="clear" w:color="auto" w:fill="auto"/>
            <w:vAlign w:val="center"/>
          </w:tcPr>
          <w:p>
            <w:pPr>
              <w:spacing w:line="240" w:lineRule="auto"/>
              <w:ind w:firstLine="0" w:firstLineChars="0"/>
              <w:jc w:val="center"/>
              <w:rPr>
                <w:rFonts w:hint="default" w:ascii="Times New Roman" w:hAnsi="Times New Roman" w:eastAsia="仿宋_GB2312" w:cs="Times New Roman"/>
                <w:b/>
                <w:color w:val="000000"/>
                <w:kern w:val="0"/>
                <w:highlight w:val="none"/>
              </w:rPr>
            </w:pPr>
            <w:r>
              <w:rPr>
                <w:rFonts w:hint="default" w:ascii="Times New Roman" w:hAnsi="Times New Roman" w:eastAsia="仿宋_GB2312" w:cs="Times New Roman"/>
                <w:color w:val="000000"/>
                <w:kern w:val="0"/>
                <w:highlight w:val="none"/>
                <w:lang w:bidi="ar"/>
              </w:rPr>
              <w:t>项目支出</w:t>
            </w:r>
          </w:p>
        </w:tc>
        <w:tc>
          <w:tcPr>
            <w:tcW w:w="1917" w:type="dxa"/>
            <w:shd w:val="clear" w:color="auto" w:fill="auto"/>
            <w:vAlign w:val="center"/>
          </w:tcPr>
          <w:p>
            <w:pPr>
              <w:spacing w:line="240" w:lineRule="auto"/>
              <w:ind w:firstLine="0" w:firstLineChars="0"/>
              <w:jc w:val="center"/>
              <w:rPr>
                <w:rFonts w:hint="default" w:ascii="Times New Roman" w:hAnsi="Times New Roman"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76.79</w:t>
            </w:r>
          </w:p>
        </w:tc>
        <w:tc>
          <w:tcPr>
            <w:tcW w:w="1929"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121.01</w:t>
            </w:r>
          </w:p>
        </w:tc>
        <w:tc>
          <w:tcPr>
            <w:tcW w:w="1929"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 xml:space="preserve">197.80 </w:t>
            </w:r>
          </w:p>
        </w:tc>
        <w:tc>
          <w:tcPr>
            <w:tcW w:w="1967"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29.29%</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（3）实际</w:t>
      </w:r>
      <w:r>
        <w:rPr>
          <w:rFonts w:hint="default" w:ascii="Times New Roman" w:hAnsi="Times New Roman" w:eastAsia="仿宋_GB2312" w:cs="Times New Roman"/>
          <w:color w:val="auto"/>
          <w:kern w:val="0"/>
          <w:sz w:val="32"/>
          <w:szCs w:val="32"/>
          <w:highlight w:val="none"/>
          <w:shd w:val="clear" w:color="auto" w:fill="FFFFFF"/>
          <w:lang w:val="en-US" w:eastAsia="zh-CN" w:bidi="ar-SA"/>
        </w:rPr>
        <w:t>资金</w:t>
      </w:r>
      <w:r>
        <w:rPr>
          <w:rFonts w:hint="default" w:ascii="Times New Roman" w:hAnsi="Times New Roman" w:eastAsia="仿宋_GB2312" w:cs="Times New Roman"/>
          <w:color w:val="000000"/>
          <w:kern w:val="0"/>
          <w:sz w:val="32"/>
          <w:szCs w:val="32"/>
          <w:highlight w:val="none"/>
          <w:lang w:val="en-US" w:eastAsia="zh-CN" w:bidi="ar"/>
        </w:rPr>
        <w:t>支出情况</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2022</w:t>
      </w:r>
      <w:r>
        <w:rPr>
          <w:rFonts w:hint="default" w:ascii="Times New Roman" w:hAnsi="Times New Roman" w:eastAsia="仿宋_GB2312" w:cs="Times New Roman"/>
          <w:color w:val="auto"/>
          <w:kern w:val="0"/>
          <w:sz w:val="32"/>
          <w:szCs w:val="32"/>
          <w:highlight w:val="none"/>
          <w:shd w:val="clear" w:color="auto" w:fill="FFFFFF"/>
          <w:lang w:val="en-US" w:eastAsia="zh-CN" w:bidi="ar-SA"/>
        </w:rPr>
        <w:t>年</w:t>
      </w:r>
      <w:r>
        <w:rPr>
          <w:rFonts w:hint="eastAsia" w:eastAsia="仿宋_GB2312" w:cs="Times New Roman"/>
          <w:color w:val="auto"/>
          <w:kern w:val="0"/>
          <w:sz w:val="32"/>
          <w:szCs w:val="32"/>
          <w:highlight w:val="none"/>
          <w:shd w:val="clear" w:color="auto" w:fill="FFFFFF"/>
          <w:lang w:val="en-US" w:eastAsia="zh-CN" w:bidi="ar-SA"/>
        </w:rPr>
        <w:t>阿坝县民族宗教局</w:t>
      </w:r>
      <w:r>
        <w:rPr>
          <w:rFonts w:hint="default" w:ascii="Times New Roman" w:hAnsi="Times New Roman" w:eastAsia="仿宋_GB2312" w:cs="Times New Roman"/>
          <w:color w:val="auto"/>
          <w:kern w:val="0"/>
          <w:sz w:val="32"/>
          <w:szCs w:val="32"/>
          <w:highlight w:val="none"/>
          <w:shd w:val="clear" w:color="auto" w:fill="FFFFFF"/>
          <w:lang w:val="en-US" w:eastAsia="zh-CN" w:bidi="ar-SA"/>
        </w:rPr>
        <w:t>整体支出调整后预算为</w:t>
      </w:r>
      <w:r>
        <w:rPr>
          <w:rFonts w:hint="eastAsia" w:eastAsia="仿宋_GB2312" w:cs="Times New Roman"/>
          <w:color w:val="auto"/>
          <w:kern w:val="0"/>
          <w:sz w:val="32"/>
          <w:szCs w:val="32"/>
          <w:highlight w:val="none"/>
          <w:shd w:val="clear" w:color="auto" w:fill="FFFFFF"/>
          <w:lang w:val="en-US" w:eastAsia="zh-CN" w:bidi="ar-SA"/>
        </w:rPr>
        <w:t>675.22</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万元，实际支出为</w:t>
      </w:r>
      <w:r>
        <w:rPr>
          <w:rFonts w:hint="eastAsia" w:eastAsia="仿宋_GB2312" w:cs="Times New Roman"/>
          <w:color w:val="auto"/>
          <w:kern w:val="0"/>
          <w:sz w:val="32"/>
          <w:szCs w:val="32"/>
          <w:highlight w:val="none"/>
          <w:shd w:val="clear" w:color="auto" w:fill="FFFFFF"/>
          <w:lang w:val="en-US" w:eastAsia="zh-CN" w:bidi="ar-SA"/>
        </w:rPr>
        <w:t>675.22</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万元，预算执行率为</w:t>
      </w:r>
      <w:r>
        <w:rPr>
          <w:rFonts w:hint="eastAsia" w:ascii="Times New Roman" w:hAnsi="Times New Roman" w:eastAsia="仿宋_GB2312" w:cs="Times New Roman"/>
          <w:color w:val="auto"/>
          <w:kern w:val="0"/>
          <w:sz w:val="32"/>
          <w:szCs w:val="32"/>
          <w:highlight w:val="none"/>
          <w:shd w:val="clear" w:color="auto" w:fill="FFFFFF"/>
          <w:lang w:val="en-US" w:eastAsia="zh-CN" w:bidi="ar-SA"/>
        </w:rPr>
        <w:t>100</w:t>
      </w:r>
      <w:r>
        <w:rPr>
          <w:rFonts w:hint="default" w:ascii="Times New Roman" w:hAnsi="Times New Roman" w:eastAsia="仿宋_GB2312" w:cs="Times New Roman"/>
          <w:color w:val="auto"/>
          <w:kern w:val="0"/>
          <w:sz w:val="32"/>
          <w:szCs w:val="32"/>
          <w:highlight w:val="none"/>
          <w:shd w:val="clear" w:color="auto" w:fill="FFFFFF"/>
          <w:lang w:val="en-US" w:eastAsia="zh-CN" w:bidi="ar-SA"/>
        </w:rPr>
        <w:t>%。</w:t>
      </w:r>
    </w:p>
    <w:p>
      <w:pPr>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表4</w:t>
      </w:r>
      <w:r>
        <w:rPr>
          <w:rFonts w:hint="default" w:ascii="Times New Roman" w:hAnsi="Times New Roman" w:eastAsia="仿宋_GB2312" w:cs="Times New Roman"/>
          <w:b/>
          <w:bCs/>
          <w:color w:val="000000"/>
          <w:kern w:val="0"/>
          <w:highlight w:val="none"/>
          <w:lang w:bidi="ar"/>
        </w:rPr>
        <w:t xml:space="preserve"> </w:t>
      </w:r>
      <w:r>
        <w:rPr>
          <w:rFonts w:hint="eastAsia" w:eastAsia="仿宋_GB2312" w:cs="Times New Roman"/>
          <w:b/>
          <w:bCs/>
          <w:color w:val="000000"/>
          <w:kern w:val="0"/>
          <w:highlight w:val="none"/>
          <w:lang w:eastAsia="zh-CN" w:bidi="ar"/>
        </w:rPr>
        <w:t>2022</w:t>
      </w:r>
      <w:r>
        <w:rPr>
          <w:rFonts w:hint="default" w:ascii="Times New Roman" w:hAnsi="Times New Roman" w:eastAsia="仿宋_GB2312" w:cs="Times New Roman"/>
          <w:b/>
          <w:bCs/>
          <w:color w:val="000000"/>
          <w:kern w:val="0"/>
          <w:highlight w:val="none"/>
          <w:lang w:bidi="ar"/>
        </w:rPr>
        <w:t>年实际资金支出情况表</w:t>
      </w:r>
    </w:p>
    <w:tbl>
      <w:tblPr>
        <w:tblStyle w:val="40"/>
        <w:tblW w:w="4919"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599"/>
        <w:gridCol w:w="2444"/>
        <w:gridCol w:w="2385"/>
        <w:gridCol w:w="2428"/>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33" w:hRule="atLeast"/>
          <w:tblHeader/>
          <w:jc w:val="center"/>
        </w:trPr>
        <w:tc>
          <w:tcPr>
            <w:tcW w:w="903"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项目</w:t>
            </w:r>
          </w:p>
        </w:tc>
        <w:tc>
          <w:tcPr>
            <w:tcW w:w="1379"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调整后预算（</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346"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实际支出数（</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370"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预算执行率（%）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12" w:hRule="atLeast"/>
          <w:jc w:val="center"/>
        </w:trPr>
        <w:tc>
          <w:tcPr>
            <w:tcW w:w="903" w:type="pct"/>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bidi="ar"/>
              </w:rPr>
            </w:pPr>
            <w:r>
              <w:rPr>
                <w:rFonts w:hint="default" w:ascii="Times New Roman" w:hAnsi="Times New Roman" w:eastAsia="仿宋_GB2312" w:cs="Times New Roman"/>
                <w:b w:val="0"/>
                <w:bCs w:val="0"/>
                <w:color w:val="000000"/>
                <w:kern w:val="0"/>
                <w:highlight w:val="none"/>
                <w:lang w:bidi="ar"/>
              </w:rPr>
              <w:t>基本支出</w:t>
            </w:r>
          </w:p>
        </w:tc>
        <w:tc>
          <w:tcPr>
            <w:tcW w:w="2444"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477.72</w:t>
            </w:r>
          </w:p>
        </w:tc>
        <w:tc>
          <w:tcPr>
            <w:tcW w:w="2385"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477.72</w:t>
            </w:r>
          </w:p>
        </w:tc>
        <w:tc>
          <w:tcPr>
            <w:tcW w:w="1370" w:type="pct"/>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49" w:hRule="atLeast"/>
          <w:jc w:val="center"/>
        </w:trPr>
        <w:tc>
          <w:tcPr>
            <w:tcW w:w="903" w:type="pct"/>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bidi="ar"/>
              </w:rPr>
            </w:pPr>
            <w:r>
              <w:rPr>
                <w:rFonts w:hint="default" w:ascii="Times New Roman" w:hAnsi="Times New Roman" w:eastAsia="仿宋_GB2312" w:cs="Times New Roman"/>
                <w:b w:val="0"/>
                <w:bCs w:val="0"/>
                <w:color w:val="000000"/>
                <w:kern w:val="0"/>
                <w:highlight w:val="none"/>
                <w:lang w:bidi="ar"/>
              </w:rPr>
              <w:t>项目支出</w:t>
            </w:r>
          </w:p>
        </w:tc>
        <w:tc>
          <w:tcPr>
            <w:tcW w:w="2444"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197.80</w:t>
            </w:r>
          </w:p>
        </w:tc>
        <w:tc>
          <w:tcPr>
            <w:tcW w:w="2385"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197.80</w:t>
            </w:r>
          </w:p>
        </w:tc>
        <w:tc>
          <w:tcPr>
            <w:tcW w:w="1370" w:type="pct"/>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bl>
    <w:p>
      <w:pPr>
        <w:pStyle w:val="66"/>
        <w:spacing w:before="156" w:after="156" w:line="600" w:lineRule="exact"/>
        <w:ind w:firstLine="640"/>
        <w:rPr>
          <w:rFonts w:hint="default" w:ascii="Times New Roman" w:hAnsi="Times New Roman" w:eastAsia="楷体_GB2312" w:cs="Times New Roman"/>
          <w:color w:val="auto"/>
          <w:sz w:val="32"/>
          <w:highlight w:val="none"/>
          <w:lang w:val="en-US" w:eastAsia="zh-CN"/>
        </w:rPr>
      </w:pPr>
      <w:bookmarkStart w:id="29" w:name="_Toc25409"/>
      <w:bookmarkStart w:id="30" w:name="_Toc4210"/>
      <w:bookmarkStart w:id="31" w:name="_Toc17589"/>
      <w:r>
        <w:rPr>
          <w:rFonts w:hint="default" w:ascii="Times New Roman" w:hAnsi="Times New Roman" w:eastAsia="楷体_GB2312" w:cs="Times New Roman"/>
          <w:color w:val="auto"/>
          <w:sz w:val="32"/>
          <w:highlight w:val="none"/>
          <w:lang w:val="en-US" w:eastAsia="zh-CN"/>
        </w:rPr>
        <w:t>（三）部门固定资产</w:t>
      </w:r>
      <w:bookmarkEnd w:id="29"/>
      <w:bookmarkEnd w:id="30"/>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截至</w:t>
      </w:r>
      <w:r>
        <w:rPr>
          <w:rFonts w:hint="eastAsia" w:eastAsia="仿宋_GB2312" w:cs="Times New Roman"/>
          <w:color w:val="000000"/>
          <w:kern w:val="0"/>
          <w:sz w:val="32"/>
          <w:szCs w:val="32"/>
          <w:highlight w:val="none"/>
          <w:lang w:val="en-US" w:eastAsia="zh-CN" w:bidi="ar"/>
        </w:rPr>
        <w:t>2022</w:t>
      </w:r>
      <w:r>
        <w:rPr>
          <w:rFonts w:hint="default" w:ascii="Times New Roman" w:hAnsi="Times New Roman" w:eastAsia="仿宋_GB2312" w:cs="Times New Roman"/>
          <w:color w:val="000000"/>
          <w:kern w:val="0"/>
          <w:sz w:val="32"/>
          <w:szCs w:val="32"/>
          <w:highlight w:val="none"/>
          <w:lang w:val="en-US" w:eastAsia="zh-CN" w:bidi="ar"/>
        </w:rPr>
        <w:t>年12月31日，</w:t>
      </w:r>
      <w:r>
        <w:rPr>
          <w:rFonts w:hint="eastAsia" w:eastAsia="仿宋_GB2312" w:cs="Times New Roman"/>
          <w:color w:val="000000"/>
          <w:kern w:val="0"/>
          <w:sz w:val="32"/>
          <w:szCs w:val="32"/>
          <w:highlight w:val="none"/>
          <w:lang w:val="en-US" w:eastAsia="zh-CN" w:bidi="ar"/>
        </w:rPr>
        <w:t>阿坝县民族宗教局</w:t>
      </w:r>
      <w:r>
        <w:rPr>
          <w:rFonts w:hint="default" w:ascii="Times New Roman" w:hAnsi="Times New Roman" w:eastAsia="仿宋_GB2312" w:cs="Times New Roman"/>
          <w:color w:val="000000"/>
          <w:kern w:val="0"/>
          <w:sz w:val="32"/>
          <w:szCs w:val="32"/>
          <w:highlight w:val="none"/>
          <w:lang w:val="en-US" w:eastAsia="zh-CN" w:bidi="ar"/>
        </w:rPr>
        <w:t>固定资产系统记载数为</w:t>
      </w:r>
      <w:r>
        <w:rPr>
          <w:rFonts w:hint="eastAsia" w:eastAsia="仿宋_GB2312" w:cs="Times New Roman"/>
          <w:color w:val="000000"/>
          <w:kern w:val="0"/>
          <w:sz w:val="32"/>
          <w:szCs w:val="32"/>
          <w:highlight w:val="none"/>
          <w:lang w:val="en-US" w:eastAsia="zh-CN" w:bidi="ar"/>
        </w:rPr>
        <w:t>55.68</w:t>
      </w:r>
      <w:r>
        <w:rPr>
          <w:rFonts w:hint="default" w:ascii="Times New Roman" w:hAnsi="Times New Roman" w:eastAsia="仿宋_GB2312" w:cs="Times New Roman"/>
          <w:color w:val="000000"/>
          <w:kern w:val="0"/>
          <w:sz w:val="32"/>
          <w:szCs w:val="32"/>
          <w:highlight w:val="none"/>
          <w:lang w:val="en-US" w:eastAsia="zh-CN" w:bidi="ar"/>
        </w:rPr>
        <w:t>万元，固定资产账簿记载数据为</w:t>
      </w:r>
      <w:r>
        <w:rPr>
          <w:rFonts w:hint="eastAsia" w:eastAsia="仿宋_GB2312" w:cs="Times New Roman"/>
          <w:color w:val="000000"/>
          <w:kern w:val="0"/>
          <w:sz w:val="32"/>
          <w:szCs w:val="32"/>
          <w:highlight w:val="none"/>
          <w:lang w:val="en-US" w:eastAsia="zh-CN" w:bidi="ar"/>
        </w:rPr>
        <w:t>55.68</w:t>
      </w:r>
      <w:r>
        <w:rPr>
          <w:rFonts w:hint="default" w:ascii="Times New Roman" w:hAnsi="Times New Roman" w:eastAsia="仿宋_GB2312" w:cs="Times New Roman"/>
          <w:color w:val="000000"/>
          <w:kern w:val="0"/>
          <w:sz w:val="32"/>
          <w:szCs w:val="32"/>
          <w:highlight w:val="none"/>
          <w:lang w:val="en-US" w:eastAsia="zh-CN" w:bidi="ar"/>
        </w:rPr>
        <w:t>万元，固定资产系统记载数与固定资产账簿记载数一致</w:t>
      </w:r>
      <w:r>
        <w:rPr>
          <w:rFonts w:hint="eastAsia" w:eastAsia="仿宋_GB2312" w:cs="Times New Roman"/>
          <w:color w:val="000000"/>
          <w:kern w:val="0"/>
          <w:sz w:val="32"/>
          <w:szCs w:val="32"/>
          <w:highlight w:val="none"/>
          <w:lang w:val="en-US" w:eastAsia="zh-CN" w:bidi="ar"/>
        </w:rPr>
        <w:t>。</w:t>
      </w:r>
    </w:p>
    <w:p>
      <w:pPr>
        <w:keepNext w:val="0"/>
        <w:keepLines w:val="0"/>
        <w:pageBreakBefore w:val="0"/>
        <w:widowControl w:val="0"/>
        <w:kinsoku/>
        <w:wordWrap/>
        <w:overflowPunct/>
        <w:topLinePunct w:val="0"/>
        <w:autoSpaceDE/>
        <w:autoSpaceDN/>
        <w:bidi w:val="0"/>
        <w:adjustRightInd/>
        <w:spacing w:line="600" w:lineRule="exact"/>
        <w:ind w:firstLine="480"/>
        <w:jc w:val="center"/>
        <w:textAlignment w:val="auto"/>
        <w:rPr>
          <w:rFonts w:hint="default" w:ascii="Times New Roman" w:hAnsi="Times New Roman" w:eastAsia="仿宋_GB2312" w:cs="Times New Roman"/>
          <w:b/>
          <w:bCs/>
          <w:color w:val="000000"/>
          <w:kern w:val="0"/>
          <w:highlight w:val="none"/>
          <w:shd w:val="clear" w:color="auto" w:fill="FFFFFF"/>
        </w:rPr>
      </w:pPr>
      <w:r>
        <w:rPr>
          <w:rFonts w:hint="default" w:ascii="Times New Roman" w:hAnsi="Times New Roman" w:eastAsia="仿宋_GB2312" w:cs="Times New Roman"/>
          <w:b/>
          <w:bCs/>
          <w:color w:val="000000"/>
          <w:kern w:val="0"/>
          <w:highlight w:val="none"/>
          <w:shd w:val="clear" w:color="auto" w:fill="FFFFFF"/>
        </w:rPr>
        <w:t>表</w:t>
      </w:r>
      <w:r>
        <w:rPr>
          <w:rFonts w:hint="default" w:ascii="Times New Roman" w:hAnsi="Times New Roman" w:eastAsia="仿宋_GB2312" w:cs="Times New Roman"/>
          <w:b/>
          <w:bCs/>
          <w:color w:val="000000"/>
          <w:kern w:val="0"/>
          <w:highlight w:val="none"/>
          <w:shd w:val="clear" w:color="auto" w:fill="FFFFFF"/>
          <w:lang w:val="en-US" w:eastAsia="zh-CN"/>
        </w:rPr>
        <w:t xml:space="preserve">5 </w:t>
      </w:r>
      <w:r>
        <w:rPr>
          <w:rFonts w:hint="eastAsia" w:eastAsia="仿宋_GB2312" w:cs="Times New Roman"/>
          <w:b/>
          <w:bCs/>
          <w:color w:val="000000"/>
          <w:kern w:val="0"/>
          <w:highlight w:val="none"/>
          <w:shd w:val="clear" w:color="auto" w:fill="FFFFFF"/>
          <w:lang w:val="en-US" w:eastAsia="zh-CN"/>
        </w:rPr>
        <w:t xml:space="preserve"> </w:t>
      </w:r>
      <w:r>
        <w:rPr>
          <w:rFonts w:hint="eastAsia" w:eastAsia="仿宋_GB2312" w:cs="Times New Roman"/>
          <w:b/>
          <w:bCs/>
          <w:color w:val="000000"/>
          <w:kern w:val="0"/>
          <w:highlight w:val="none"/>
          <w:shd w:val="clear" w:color="auto" w:fill="FFFFFF"/>
          <w:lang w:eastAsia="zh-CN"/>
        </w:rPr>
        <w:t>2022</w:t>
      </w:r>
      <w:r>
        <w:rPr>
          <w:rFonts w:hint="default" w:ascii="Times New Roman" w:hAnsi="Times New Roman" w:eastAsia="仿宋_GB2312" w:cs="Times New Roman"/>
          <w:b/>
          <w:bCs/>
          <w:color w:val="000000"/>
          <w:kern w:val="0"/>
          <w:highlight w:val="none"/>
          <w:shd w:val="clear" w:color="auto" w:fill="FFFFFF"/>
        </w:rPr>
        <w:t>年固定资产增减变动情况表</w:t>
      </w:r>
    </w:p>
    <w:tbl>
      <w:tblPr>
        <w:tblStyle w:val="40"/>
        <w:tblW w:w="9126"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313"/>
        <w:gridCol w:w="1600"/>
        <w:gridCol w:w="1687"/>
        <w:gridCol w:w="1838"/>
        <w:gridCol w:w="1688"/>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9" w:hRule="atLeast"/>
          <w:tblHeader/>
        </w:trPr>
        <w:tc>
          <w:tcPr>
            <w:tcW w:w="2313"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类别</w:t>
            </w:r>
          </w:p>
        </w:tc>
        <w:tc>
          <w:tcPr>
            <w:tcW w:w="1600"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期初数</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687"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本期增加</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838"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本期减少</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688"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期末数</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97" w:hRule="atLeast"/>
        </w:trPr>
        <w:tc>
          <w:tcPr>
            <w:tcW w:w="2313" w:type="dxa"/>
            <w:vAlign w:val="center"/>
          </w:tcPr>
          <w:p>
            <w:pPr>
              <w:spacing w:line="240" w:lineRule="auto"/>
              <w:ind w:right="120" w:firstLine="0" w:firstLineChars="0"/>
              <w:jc w:val="center"/>
              <w:rPr>
                <w:rFonts w:hint="default" w:ascii="Times New Roman" w:hAnsi="Times New Roman" w:eastAsia="仿宋_GB2312" w:cs="Times New Roman"/>
                <w:bCs/>
                <w:color w:val="000000"/>
                <w:kern w:val="0"/>
                <w:highlight w:val="none"/>
              </w:rPr>
            </w:pPr>
            <w:r>
              <w:rPr>
                <w:rFonts w:hint="default" w:ascii="Times New Roman" w:hAnsi="Times New Roman" w:eastAsia="仿宋_GB2312" w:cs="Times New Roman"/>
                <w:bCs/>
                <w:color w:val="000000"/>
                <w:kern w:val="0"/>
                <w:highlight w:val="none"/>
              </w:rPr>
              <w:t>固定资产系统数据</w:t>
            </w:r>
          </w:p>
        </w:tc>
        <w:tc>
          <w:tcPr>
            <w:tcW w:w="1600" w:type="dxa"/>
            <w:vAlign w:val="center"/>
          </w:tcPr>
          <w:p>
            <w:pPr>
              <w:spacing w:line="240" w:lineRule="auto"/>
              <w:ind w:firstLine="0" w:firstLineChars="0"/>
              <w:jc w:val="center"/>
              <w:rPr>
                <w:rFonts w:hint="default" w:ascii="Times New Roman" w:hAnsi="Times New Roman" w:eastAsia="宋体"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55.68</w:t>
            </w:r>
          </w:p>
        </w:tc>
        <w:tc>
          <w:tcPr>
            <w:tcW w:w="1687" w:type="dxa"/>
            <w:vAlign w:val="center"/>
          </w:tcPr>
          <w:p>
            <w:pPr>
              <w:spacing w:line="240" w:lineRule="auto"/>
              <w:ind w:firstLine="0" w:firstLineChars="0"/>
              <w:jc w:val="center"/>
              <w:rPr>
                <w:rFonts w:hint="default" w:ascii="Times New Roman" w:hAnsi="Times New Roman" w:eastAsia="宋体"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w:t>
            </w:r>
          </w:p>
        </w:tc>
        <w:tc>
          <w:tcPr>
            <w:tcW w:w="1838" w:type="dxa"/>
            <w:vAlign w:val="center"/>
          </w:tcPr>
          <w:p>
            <w:pPr>
              <w:spacing w:line="240" w:lineRule="auto"/>
              <w:ind w:firstLine="0" w:firstLineChars="0"/>
              <w:jc w:val="center"/>
              <w:rPr>
                <w:rFonts w:hint="default" w:ascii="Times New Roman" w:hAnsi="Times New Roman" w:eastAsia="宋体"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w:t>
            </w:r>
          </w:p>
        </w:tc>
        <w:tc>
          <w:tcPr>
            <w:tcW w:w="1688" w:type="dxa"/>
            <w:vAlign w:val="center"/>
          </w:tcPr>
          <w:p>
            <w:pPr>
              <w:spacing w:line="240" w:lineRule="auto"/>
              <w:ind w:firstLine="0" w:firstLineChars="0"/>
              <w:jc w:val="center"/>
              <w:rPr>
                <w:rFonts w:hint="default" w:ascii="Times New Roman" w:hAnsi="Times New Roman" w:eastAsia="宋体"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55.68</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97" w:hRule="atLeast"/>
        </w:trPr>
        <w:tc>
          <w:tcPr>
            <w:tcW w:w="2313" w:type="dxa"/>
            <w:vAlign w:val="center"/>
          </w:tcPr>
          <w:p>
            <w:pPr>
              <w:spacing w:line="240" w:lineRule="auto"/>
              <w:ind w:right="120" w:firstLine="0" w:firstLineChars="0"/>
              <w:jc w:val="center"/>
              <w:rPr>
                <w:rFonts w:hint="default" w:ascii="Times New Roman" w:hAnsi="Times New Roman" w:eastAsia="仿宋_GB2312" w:cs="Times New Roman"/>
                <w:bCs/>
                <w:color w:val="000000"/>
                <w:kern w:val="0"/>
                <w:highlight w:val="none"/>
              </w:rPr>
            </w:pPr>
            <w:r>
              <w:rPr>
                <w:rFonts w:hint="default" w:ascii="Times New Roman" w:hAnsi="Times New Roman" w:eastAsia="仿宋_GB2312" w:cs="Times New Roman"/>
                <w:bCs/>
                <w:color w:val="000000"/>
                <w:kern w:val="0"/>
                <w:highlight w:val="none"/>
              </w:rPr>
              <w:t>总账数据</w:t>
            </w:r>
          </w:p>
        </w:tc>
        <w:tc>
          <w:tcPr>
            <w:tcW w:w="1600" w:type="dxa"/>
            <w:vAlign w:val="center"/>
          </w:tcPr>
          <w:p>
            <w:pPr>
              <w:spacing w:line="240" w:lineRule="auto"/>
              <w:ind w:firstLine="0" w:firstLineChars="0"/>
              <w:jc w:val="center"/>
              <w:rPr>
                <w:rFonts w:hint="default"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55.68</w:t>
            </w:r>
          </w:p>
        </w:tc>
        <w:tc>
          <w:tcPr>
            <w:tcW w:w="1687" w:type="dxa"/>
            <w:vAlign w:val="center"/>
          </w:tcPr>
          <w:p>
            <w:pPr>
              <w:spacing w:line="240" w:lineRule="auto"/>
              <w:ind w:firstLine="0" w:firstLineChars="0"/>
              <w:jc w:val="center"/>
              <w:rPr>
                <w:rFonts w:hint="default"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w:t>
            </w:r>
          </w:p>
        </w:tc>
        <w:tc>
          <w:tcPr>
            <w:tcW w:w="1838" w:type="dxa"/>
            <w:vAlign w:val="center"/>
          </w:tcPr>
          <w:p>
            <w:pPr>
              <w:spacing w:line="240" w:lineRule="auto"/>
              <w:ind w:firstLine="0" w:firstLineChars="0"/>
              <w:jc w:val="center"/>
              <w:rPr>
                <w:rFonts w:hint="default"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w:t>
            </w:r>
          </w:p>
        </w:tc>
        <w:tc>
          <w:tcPr>
            <w:tcW w:w="1688" w:type="dxa"/>
            <w:vAlign w:val="center"/>
          </w:tcPr>
          <w:p>
            <w:pPr>
              <w:spacing w:line="240" w:lineRule="auto"/>
              <w:ind w:firstLine="0" w:firstLineChars="0"/>
              <w:jc w:val="center"/>
              <w:rPr>
                <w:rFonts w:hint="default"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55.68</w:t>
            </w:r>
          </w:p>
        </w:tc>
      </w:tr>
    </w:tbl>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_GB2312" w:cs="Times New Roman"/>
          <w:color w:val="auto"/>
          <w:sz w:val="32"/>
        </w:rPr>
      </w:pPr>
      <w:bookmarkStart w:id="32" w:name="_Toc12128"/>
      <w:bookmarkStart w:id="33" w:name="_Toc17638"/>
      <w:r>
        <w:rPr>
          <w:rFonts w:hint="default" w:ascii="Times New Roman" w:hAnsi="Times New Roman" w:eastAsia="楷体_GB2312" w:cs="Times New Roman"/>
          <w:color w:val="auto"/>
          <w:sz w:val="32"/>
        </w:rPr>
        <w:t>（四）部门管理</w:t>
      </w:r>
      <w:bookmarkEnd w:id="31"/>
      <w:bookmarkEnd w:id="32"/>
      <w:bookmarkEnd w:id="33"/>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rPr>
      </w:pPr>
      <w:bookmarkStart w:id="34" w:name="_Toc55586776"/>
      <w:bookmarkStart w:id="35" w:name="_Toc10675"/>
      <w:bookmarkStart w:id="36" w:name="_Toc19916"/>
      <w:bookmarkStart w:id="37" w:name="_Toc55586777"/>
      <w:r>
        <w:rPr>
          <w:rFonts w:hint="default" w:ascii="Times New Roman" w:hAnsi="Times New Roman" w:eastAsia="仿宋_GB2312" w:cs="Times New Roman"/>
        </w:rPr>
        <w:t>1、决策管理</w:t>
      </w:r>
      <w:bookmarkEnd w:id="34"/>
      <w:bookmarkEnd w:id="35"/>
      <w:bookmarkEnd w:id="36"/>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重大事项决策凡涉及本办改革、发展和稳定大局，关系工作人员切身利益的重大问题，均属于重大事项决策的范围，主要内容包括：党和国家的路线、方针、政策，上级有关会议和文件精神的学习、贯彻和落实</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机关建设、精神文明建设、工会活动、政治学习、业务培训、廉政建设等工作</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重大人身伤亡、责任事故、突发事件的处置</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工作人员违规、违纪的处理</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机关各项管理制度的制定和调整</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财务年度决算、预算的申报和调整</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工资待遇、医疗等涉及干部职工切身利益的重大事项</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领导班子成员认为应当集体研究决定的其他重要问题。大额度资金的使用年度预算经费和专项经费，未列入预算、单项支出在1万元以上</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含1万元</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的资金款项的支出，应提交主任办公会讨论研究决定。</w:t>
      </w:r>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rPr>
      </w:pPr>
      <w:bookmarkStart w:id="38" w:name="_Toc11783"/>
      <w:bookmarkStart w:id="39" w:name="_Toc29652"/>
      <w:r>
        <w:rPr>
          <w:rFonts w:hint="default" w:ascii="Times New Roman" w:hAnsi="Times New Roman" w:eastAsia="仿宋_GB2312" w:cs="Times New Roman"/>
        </w:rPr>
        <w:t>2、财务管理</w:t>
      </w:r>
      <w:bookmarkEnd w:id="37"/>
      <w:bookmarkEnd w:id="38"/>
      <w:bookmarkEnd w:id="39"/>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（1）预算</w:t>
      </w:r>
      <w:r>
        <w:rPr>
          <w:rFonts w:hint="default" w:ascii="Times New Roman" w:hAnsi="Times New Roman" w:eastAsia="仿宋_GB2312" w:cs="Times New Roman"/>
          <w:color w:val="auto"/>
          <w:kern w:val="0"/>
          <w:sz w:val="32"/>
          <w:szCs w:val="32"/>
          <w:highlight w:val="none"/>
          <w:shd w:val="clear" w:color="auto" w:fill="FFFFFF"/>
          <w:lang w:val="en-US" w:eastAsia="zh-CN" w:bidi="ar-SA"/>
        </w:rPr>
        <w:t>管理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严格遵循财政部门时间和程序流程安排，根据财政部门各项预算编订规定进行科学合理编制，充分考虑事业发展需求和预算年度收入增减因素，量入为出，量力而行，科学统筹安排各项资金。预算编订应遵循保障局本级正常运转所需的前提，包含人员工资、机关正常办公等基本性支出需求，既要贯彻勤俭节约原则，又要保障日常工作平稳有序开展。预算编订应充分考虑</w:t>
      </w:r>
      <w:r>
        <w:rPr>
          <w:rFonts w:hint="eastAsia" w:eastAsia="仿宋_GB2312" w:cs="Times New Roman"/>
          <w:color w:val="auto"/>
          <w:kern w:val="0"/>
          <w:sz w:val="32"/>
          <w:szCs w:val="32"/>
          <w:highlight w:val="none"/>
          <w:shd w:val="clear" w:color="auto" w:fill="FFFFFF"/>
          <w:lang w:val="en-US" w:eastAsia="zh-CN" w:bidi="ar-SA"/>
        </w:rPr>
        <w:t>阿坝县民族宗教局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事业发展需求和规划，由局机关各股所室和单位根据年度重点工作和</w:t>
      </w:r>
      <w:r>
        <w:rPr>
          <w:rFonts w:hint="eastAsia" w:ascii="Times New Roman" w:hAnsi="Times New Roman" w:eastAsia="仿宋_GB2312" w:cs="Times New Roman"/>
          <w:color w:val="auto"/>
          <w:kern w:val="0"/>
          <w:sz w:val="32"/>
          <w:szCs w:val="32"/>
          <w:highlight w:val="none"/>
          <w:shd w:val="clear" w:color="auto" w:fill="FFFFFF"/>
          <w:lang w:val="en-US" w:eastAsia="zh-CN" w:bidi="ar-SA"/>
        </w:rPr>
        <w:fldChar w:fldCharType="begin"/>
      </w:r>
      <w:r>
        <w:rPr>
          <w:rFonts w:hint="eastAsia" w:ascii="Times New Roman" w:hAnsi="Times New Roman" w:eastAsia="仿宋_GB2312" w:cs="Times New Roman"/>
          <w:color w:val="auto"/>
          <w:kern w:val="0"/>
          <w:sz w:val="32"/>
          <w:szCs w:val="32"/>
          <w:highlight w:val="none"/>
          <w:shd w:val="clear" w:color="auto" w:fill="FFFFFF"/>
          <w:lang w:val="en-US" w:eastAsia="zh-CN" w:bidi="ar-SA"/>
        </w:rPr>
        <w:instrText xml:space="preserve"> HYPERLINK "http://www.cnrencai.com/gongzuojihua/" \t "_blank" </w:instrText>
      </w:r>
      <w:r>
        <w:rPr>
          <w:rFonts w:hint="eastAsia" w:ascii="Times New Roman" w:hAnsi="Times New Roman" w:eastAsia="仿宋_GB2312" w:cs="Times New Roman"/>
          <w:color w:val="auto"/>
          <w:kern w:val="0"/>
          <w:sz w:val="32"/>
          <w:szCs w:val="32"/>
          <w:highlight w:val="none"/>
          <w:shd w:val="clear" w:color="auto" w:fill="FFFFFF"/>
          <w:lang w:val="en-US" w:eastAsia="zh-CN" w:bidi="ar-SA"/>
        </w:rPr>
        <w:fldChar w:fldCharType="separate"/>
      </w:r>
      <w:r>
        <w:rPr>
          <w:rFonts w:hint="eastAsia" w:ascii="Times New Roman" w:hAnsi="Times New Roman" w:eastAsia="仿宋_GB2312" w:cs="Times New Roman"/>
          <w:color w:val="auto"/>
          <w:kern w:val="0"/>
          <w:sz w:val="32"/>
          <w:szCs w:val="32"/>
          <w:highlight w:val="none"/>
          <w:shd w:val="clear" w:color="auto" w:fill="FFFFFF"/>
          <w:lang w:val="en-US" w:eastAsia="zh-CN" w:bidi="ar-SA"/>
        </w:rPr>
        <w:t>工作计划</w:t>
      </w:r>
      <w:r>
        <w:rPr>
          <w:rFonts w:hint="eastAsia" w:ascii="Times New Roman" w:hAnsi="Times New Roman" w:eastAsia="仿宋_GB2312" w:cs="Times New Roman"/>
          <w:color w:val="auto"/>
          <w:kern w:val="0"/>
          <w:sz w:val="32"/>
          <w:szCs w:val="32"/>
          <w:highlight w:val="none"/>
          <w:shd w:val="clear" w:color="auto" w:fill="FFFFFF"/>
          <w:lang w:val="en-US" w:eastAsia="zh-CN" w:bidi="ar-SA"/>
        </w:rPr>
        <w:fldChar w:fldCharType="end"/>
      </w:r>
      <w:r>
        <w:rPr>
          <w:rFonts w:hint="eastAsia" w:ascii="Times New Roman" w:hAnsi="Times New Roman" w:eastAsia="仿宋_GB2312" w:cs="Times New Roman"/>
          <w:color w:val="auto"/>
          <w:kern w:val="0"/>
          <w:sz w:val="32"/>
          <w:szCs w:val="32"/>
          <w:highlight w:val="none"/>
          <w:shd w:val="clear" w:color="auto" w:fill="FFFFFF"/>
          <w:lang w:val="en-US" w:eastAsia="zh-CN" w:bidi="ar-SA"/>
        </w:rPr>
        <w:t>，编制经常性项目资金申请书，具体列明资金使用方向、范围和具体安排，实现项目预算“立项有依据，绩效有目标、计算有标准”，确保预算项目切实可行</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同时编订预算年度内设备、设施、自动化办公设备更新的政府采购计划表，以备局本级总体预算编制所需。</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auto"/>
          <w:kern w:val="0"/>
          <w:sz w:val="32"/>
          <w:szCs w:val="32"/>
          <w:highlight w:val="none"/>
          <w:shd w:val="clear" w:color="auto" w:fill="FFFFFF"/>
          <w:lang w:val="en-US" w:eastAsia="zh-CN" w:bidi="ar-SA"/>
        </w:rPr>
        <w:t>收支</w:t>
      </w:r>
      <w:r>
        <w:rPr>
          <w:rFonts w:hint="default" w:ascii="Times New Roman" w:hAnsi="Times New Roman" w:eastAsia="仿宋_GB2312" w:cs="Times New Roman"/>
          <w:color w:val="000000"/>
          <w:kern w:val="0"/>
          <w:sz w:val="32"/>
          <w:szCs w:val="32"/>
          <w:highlight w:val="none"/>
          <w:lang w:val="en-US" w:eastAsia="zh-CN" w:bidi="ar"/>
        </w:rPr>
        <w:t>管理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统一专户。在经营活动期间所发生的一切收入，其中属于国库收入的资金先统一缴入财政预算外资金管理中心，通过财政结算后转入</w:t>
      </w:r>
      <w:r>
        <w:rPr>
          <w:rFonts w:hint="eastAsia" w:eastAsia="仿宋_GB2312" w:cs="Times New Roman"/>
          <w:color w:val="auto"/>
          <w:kern w:val="0"/>
          <w:sz w:val="32"/>
          <w:szCs w:val="32"/>
          <w:highlight w:val="none"/>
          <w:shd w:val="clear" w:color="auto" w:fill="FFFFFF"/>
          <w:lang w:val="en-US" w:eastAsia="zh-CN" w:bidi="ar-SA"/>
        </w:rPr>
        <w:t>阿坝县民族宗教局存款账户；</w:t>
      </w:r>
      <w:r>
        <w:rPr>
          <w:rFonts w:hint="eastAsia" w:ascii="Times New Roman" w:hAnsi="Times New Roman" w:eastAsia="仿宋_GB2312" w:cs="Times New Roman"/>
          <w:color w:val="auto"/>
          <w:kern w:val="0"/>
          <w:sz w:val="32"/>
          <w:szCs w:val="32"/>
          <w:highlight w:val="none"/>
          <w:shd w:val="clear" w:color="auto" w:fill="FFFFFF"/>
          <w:lang w:val="en-US" w:eastAsia="zh-CN" w:bidi="ar-SA"/>
        </w:rPr>
        <w:t>其他资金专户收入，要及时缴入单位账户，</w:t>
      </w:r>
      <w:r>
        <w:rPr>
          <w:rFonts w:hint="eastAsia" w:eastAsia="仿宋_GB2312" w:cs="Times New Roman"/>
          <w:color w:val="auto"/>
          <w:kern w:val="0"/>
          <w:sz w:val="32"/>
          <w:szCs w:val="32"/>
          <w:highlight w:val="none"/>
          <w:shd w:val="clear" w:color="auto" w:fill="FFFFFF"/>
          <w:lang w:val="en-US" w:eastAsia="zh-CN" w:bidi="ar-SA"/>
        </w:rPr>
        <w:t>不得在账外</w:t>
      </w:r>
      <w:r>
        <w:rPr>
          <w:rFonts w:hint="eastAsia" w:ascii="Times New Roman" w:hAnsi="Times New Roman" w:eastAsia="仿宋_GB2312" w:cs="Times New Roman"/>
          <w:color w:val="auto"/>
          <w:kern w:val="0"/>
          <w:sz w:val="32"/>
          <w:szCs w:val="32"/>
          <w:highlight w:val="none"/>
          <w:shd w:val="clear" w:color="auto" w:fill="FFFFFF"/>
          <w:lang w:val="en-US" w:eastAsia="zh-CN" w:bidi="ar-SA"/>
        </w:rPr>
        <w:t>私存和私设小金库。规范管理。局所管理的各部门必须建立健全收支管理制度</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严禁任何股所室外购票据。对当日的收入款项应当日入库，不得坐支。局基本经费支出主要由办公费、差旅费、招待费、交通费、会议费支出等组成。局财务室应根据县财政核定的年度经费预算编制局年度基本经费支出分月计划，并在保证局机关正常公务活动下严格按计划控制基本经费支出。其中招待费全年支出必须控制在单位纪检部门与财政部门下达的支出控制范围内。</w:t>
      </w:r>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40" w:name="_Toc55586778"/>
      <w:bookmarkStart w:id="41" w:name="_Toc20288"/>
      <w:bookmarkStart w:id="42" w:name="_Toc28372"/>
      <w:r>
        <w:rPr>
          <w:rFonts w:hint="default" w:ascii="Times New Roman" w:hAnsi="Times New Roman" w:eastAsia="仿宋_GB2312" w:cs="Times New Roman"/>
          <w:highlight w:val="none"/>
        </w:rPr>
        <w:t>3、资产管理</w:t>
      </w:r>
      <w:bookmarkEnd w:id="40"/>
      <w:bookmarkEnd w:id="41"/>
      <w:bookmarkEnd w:id="42"/>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阿坝县民族宗教局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建立了《资产管理内部控制制度》，制度规定建立资产卡片和资产台账等，如实反映单位资产状况，便于及时调用、查询等。资产处置经过适当审批，资产处置方式合理，处置过程合法合规，处置价格经过恰当评估，防止国有资产流失。</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阿坝县民族宗教局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应当按照“先审核新增资产配置计划，再编制配置预算”的要求，加强新增资产配置。严格按照财政局审核后的新增资产配置计划，编制新增资产配置预算。未经审核或审核未通过，不得编制新增资产配置预算。</w:t>
      </w:r>
      <w:r>
        <w:rPr>
          <w:rFonts w:hint="eastAsia" w:eastAsia="仿宋_GB2312" w:cs="Times New Roman"/>
          <w:color w:val="auto"/>
          <w:kern w:val="0"/>
          <w:sz w:val="32"/>
          <w:szCs w:val="32"/>
          <w:highlight w:val="none"/>
          <w:shd w:val="clear" w:color="auto" w:fill="FFFFFF"/>
          <w:lang w:val="en-US" w:eastAsia="zh-CN" w:bidi="ar-SA"/>
        </w:rPr>
        <w:t>阿坝县民族宗教局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购置纳入政府采购范围的资产，应当按照政府采购的规定执行。</w:t>
      </w:r>
      <w:r>
        <w:rPr>
          <w:rFonts w:hint="eastAsia" w:eastAsia="仿宋_GB2312" w:cs="Times New Roman"/>
          <w:color w:val="auto"/>
          <w:kern w:val="0"/>
          <w:sz w:val="32"/>
          <w:szCs w:val="32"/>
          <w:highlight w:val="none"/>
          <w:shd w:val="clear" w:color="auto" w:fill="FFFFFF"/>
          <w:lang w:val="en-US" w:eastAsia="zh-CN" w:bidi="ar-SA"/>
        </w:rPr>
        <w:t>阿坝县民族宗教局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购置有规定配备标准的资产，除国家另有规定外，应当按下列程序报批：由办公室审核资产存量，提出拟购置资产的品目、数量，测算经费额度，经办公室审核同意后报同级财政部门审批，并按照同级财政部门要求提交相关材料；经同级财政部门审批同意，</w:t>
      </w:r>
      <w:r>
        <w:rPr>
          <w:rFonts w:hint="eastAsia" w:eastAsia="仿宋_GB2312" w:cs="Times New Roman"/>
          <w:color w:val="auto"/>
          <w:kern w:val="0"/>
          <w:sz w:val="32"/>
          <w:szCs w:val="32"/>
          <w:highlight w:val="none"/>
          <w:shd w:val="clear" w:color="auto" w:fill="FFFFFF"/>
          <w:lang w:val="en-US" w:eastAsia="zh-CN" w:bidi="ar-SA"/>
        </w:rPr>
        <w:t>阿坝县民族宗教局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可以将资产购置项目列入单位年度部门预算，并在编制年度部门预算时将批复文件和相关材料一并报同级财政部门，作为审批部门预算的依据。未经批准，不得列入部门预算，也不得列入单位经费支出。</w:t>
      </w:r>
      <w:r>
        <w:rPr>
          <w:rFonts w:hint="eastAsia" w:eastAsia="仿宋_GB2312" w:cs="Times New Roman"/>
          <w:color w:val="auto"/>
          <w:kern w:val="0"/>
          <w:sz w:val="32"/>
          <w:szCs w:val="32"/>
          <w:highlight w:val="none"/>
          <w:shd w:val="clear" w:color="auto" w:fill="FFFFFF"/>
          <w:lang w:val="en-US" w:eastAsia="zh-CN" w:bidi="ar-SA"/>
        </w:rPr>
        <w:t>阿坝县民族宗教局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经批准召开重大会议、举办大型活动等需要购置资产的，由会议或者活动主办单位按照以上规定程序报批。</w:t>
      </w:r>
    </w:p>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 w:cs="Times New Roman"/>
          <w:color w:val="auto"/>
          <w:sz w:val="32"/>
          <w:highlight w:val="none"/>
          <w:lang w:val="en-US" w:eastAsia="zh-CN"/>
        </w:rPr>
      </w:pPr>
      <w:bookmarkStart w:id="43" w:name="_Toc19912"/>
      <w:bookmarkStart w:id="44" w:name="_Toc9113"/>
      <w:r>
        <w:rPr>
          <w:rFonts w:hint="default" w:ascii="Times New Roman" w:hAnsi="Times New Roman" w:eastAsia="楷体_GB2312" w:cs="Times New Roman"/>
          <w:color w:val="auto"/>
          <w:sz w:val="32"/>
          <w:highlight w:val="none"/>
        </w:rPr>
        <w:t>（五）</w:t>
      </w:r>
      <w:r>
        <w:rPr>
          <w:rFonts w:hint="eastAsia" w:ascii="Times New Roman" w:hAnsi="Times New Roman" w:eastAsia="楷体_GB2312" w:cs="Times New Roman"/>
          <w:color w:val="auto"/>
          <w:sz w:val="32"/>
          <w:highlight w:val="none"/>
          <w:lang w:eastAsia="zh-CN"/>
        </w:rPr>
        <w:t>阿坝县民族宗教局2022</w:t>
      </w:r>
      <w:r>
        <w:rPr>
          <w:rFonts w:hint="eastAsia" w:ascii="Times New Roman" w:hAnsi="Times New Roman" w:eastAsia="楷体_GB2312" w:cs="Times New Roman"/>
          <w:color w:val="auto"/>
          <w:sz w:val="32"/>
          <w:highlight w:val="none"/>
          <w:lang w:val="en-US" w:eastAsia="zh-CN"/>
        </w:rPr>
        <w:t>年</w:t>
      </w:r>
      <w:r>
        <w:rPr>
          <w:rFonts w:hint="default" w:ascii="Times New Roman" w:hAnsi="Times New Roman" w:eastAsia="楷体_GB2312" w:cs="Times New Roman"/>
          <w:color w:val="auto"/>
          <w:sz w:val="32"/>
          <w:highlight w:val="none"/>
        </w:rPr>
        <w:t>重点工作</w:t>
      </w:r>
      <w:bookmarkEnd w:id="43"/>
      <w:bookmarkEnd w:id="44"/>
    </w:p>
    <w:bookmarkEnd w:id="8"/>
    <w:bookmarkEnd w:id="9"/>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楷体_GB2312" w:cs="Times New Roman"/>
          <w:b/>
          <w:bCs/>
          <w:color w:val="auto"/>
          <w:kern w:val="2"/>
          <w:sz w:val="32"/>
          <w:szCs w:val="32"/>
          <w:highlight w:val="none"/>
          <w:lang w:val="en-US" w:eastAsia="zh-CN" w:bidi="ar-SA"/>
        </w:rPr>
      </w:pPr>
      <w:r>
        <w:rPr>
          <w:rFonts w:hint="eastAsia" w:eastAsia="楷体_GB2312" w:cs="Times New Roman"/>
          <w:b/>
          <w:bCs/>
          <w:color w:val="auto"/>
          <w:kern w:val="2"/>
          <w:sz w:val="32"/>
          <w:szCs w:val="32"/>
          <w:highlight w:val="none"/>
          <w:lang w:val="en-US" w:eastAsia="zh-CN" w:bidi="ar-SA"/>
        </w:rPr>
        <w:t>阿坝县民族宗教局2022</w:t>
      </w:r>
      <w:r>
        <w:rPr>
          <w:rFonts w:hint="eastAsia" w:ascii="Times New Roman" w:hAnsi="Times New Roman" w:eastAsia="楷体_GB2312" w:cs="Times New Roman"/>
          <w:b/>
          <w:bCs/>
          <w:color w:val="auto"/>
          <w:kern w:val="2"/>
          <w:sz w:val="32"/>
          <w:szCs w:val="32"/>
          <w:highlight w:val="none"/>
          <w:lang w:val="en-US" w:eastAsia="zh-CN" w:bidi="ar-SA"/>
        </w:rPr>
        <w:t>年重点工作：</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一是依法管理宗教事务，促进宗教关系和谐稳定。深入贯彻新时代党的治藏方略，紧紧牵住寺庙这个事关全县稳定的“牛鼻子”，高举“团结”“法治”两面旗帜，切实提升宗教事务依法规范管理实效。</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二是以铸牢中华民族共同体意识为主线，扎实推进</w:t>
      </w:r>
      <w:r>
        <w:rPr>
          <w:rFonts w:hint="eastAsia" w:eastAsia="仿宋_GB2312" w:cs="Times New Roman"/>
          <w:color w:val="auto"/>
          <w:kern w:val="0"/>
          <w:sz w:val="32"/>
          <w:szCs w:val="32"/>
          <w:highlight w:val="none"/>
          <w:shd w:val="clear" w:color="auto" w:fill="FFFFFF"/>
          <w:lang w:val="en-US" w:eastAsia="zh-CN" w:bidi="ar-SA"/>
        </w:rPr>
        <w:t>民族团结创建</w:t>
      </w:r>
      <w:r>
        <w:rPr>
          <w:rFonts w:hint="eastAsia" w:ascii="Times New Roman" w:hAnsi="Times New Roman" w:eastAsia="仿宋_GB2312" w:cs="Times New Roman"/>
          <w:color w:val="auto"/>
          <w:kern w:val="0"/>
          <w:sz w:val="32"/>
          <w:szCs w:val="32"/>
          <w:highlight w:val="none"/>
          <w:shd w:val="clear" w:color="auto" w:fill="FFFFFF"/>
          <w:lang w:val="en-US" w:eastAsia="zh-CN" w:bidi="ar-SA"/>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三是扎实有序推进民委两资工作，确保项目落实落地。跨年项目有序完工，由查理乡政府实施的神座村乡村旅游综合服务设施建设项目和神座村藏红花茶厂建设项目已全面完成竣工验收</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2022年项目推进有序，由少数民族发展资金补助397万元实施的5个项目验收工作及600万项目前期启动工作顺利完成，并完成相关系统</w:t>
      </w:r>
      <w:r>
        <w:rPr>
          <w:rFonts w:hint="eastAsia" w:eastAsia="仿宋_GB2312" w:cs="Times New Roman"/>
          <w:color w:val="auto"/>
          <w:kern w:val="0"/>
          <w:sz w:val="32"/>
          <w:szCs w:val="32"/>
          <w:highlight w:val="none"/>
          <w:shd w:val="clear" w:color="auto" w:fill="FFFFFF"/>
          <w:lang w:val="en-US" w:eastAsia="zh-CN" w:bidi="ar-SA"/>
        </w:rPr>
        <w:t>报</w:t>
      </w:r>
      <w:r>
        <w:rPr>
          <w:rFonts w:hint="eastAsia" w:ascii="Times New Roman" w:hAnsi="Times New Roman" w:eastAsia="仿宋_GB2312" w:cs="Times New Roman"/>
          <w:color w:val="auto"/>
          <w:kern w:val="0"/>
          <w:sz w:val="32"/>
          <w:szCs w:val="32"/>
          <w:highlight w:val="none"/>
          <w:shd w:val="clear" w:color="auto" w:fill="FFFFFF"/>
          <w:lang w:val="en-US" w:eastAsia="zh-CN" w:bidi="ar-SA"/>
        </w:rPr>
        <w:t>备</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2023年项目申报工作开展有力，全力做好2023年民团结进步示范村及少数民族特色村寨建设项目评审工作。近期将参加省民宗委组织的专家评审工作。</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四是统筹推动新时代古籍普查工作，保护传承好宝贵民族文化遗产。年初成立由县人民政府副县长任组长的藏文古籍工作领导小组，强化对古籍工作的组织领导。制定《阿坝县藏文古籍普查工作方案》，明确普查登记范围、普查登记对象、普查登记内容、工作时间节点的责任等，为今后更好的加强古籍抢救保护、整理研究和出版利用提供有力保障</w:t>
      </w:r>
      <w:r>
        <w:rPr>
          <w:rFonts w:hint="eastAsia" w:eastAsia="仿宋_GB2312" w:cs="Times New Roman"/>
          <w:color w:val="auto"/>
          <w:kern w:val="0"/>
          <w:sz w:val="32"/>
          <w:szCs w:val="32"/>
          <w:highlight w:val="none"/>
          <w:shd w:val="clear" w:color="auto" w:fill="FFFFFF"/>
          <w:lang w:val="en-US" w:eastAsia="zh-CN" w:bidi="ar-SA"/>
        </w:rPr>
        <w:t>。</w:t>
      </w:r>
    </w:p>
    <w:p>
      <w:pPr>
        <w:pStyle w:val="2"/>
        <w:keepNext w:val="0"/>
        <w:keepLines w:val="0"/>
        <w:pageBreakBefore w:val="0"/>
        <w:widowControl w:val="0"/>
        <w:kinsoku/>
        <w:wordWrap/>
        <w:overflowPunct/>
        <w:topLinePunct w:val="0"/>
        <w:autoSpaceDE/>
        <w:autoSpaceDN/>
        <w:bidi w:val="0"/>
        <w:adjustRightInd/>
        <w:spacing w:before="156" w:after="156" w:line="600" w:lineRule="exact"/>
        <w:ind w:firstLine="602"/>
        <w:textAlignment w:val="auto"/>
        <w:rPr>
          <w:rFonts w:hint="default" w:ascii="Times New Roman" w:hAnsi="Times New Roman" w:cs="Times New Roman"/>
          <w:sz w:val="30"/>
          <w:szCs w:val="30"/>
        </w:rPr>
      </w:pPr>
      <w:bookmarkStart w:id="45" w:name="_Toc15918"/>
      <w:bookmarkStart w:id="46" w:name="_Toc29636"/>
      <w:r>
        <w:rPr>
          <w:rFonts w:hint="default" w:ascii="Times New Roman" w:hAnsi="Times New Roman" w:cs="Times New Roman"/>
          <w:sz w:val="30"/>
          <w:szCs w:val="30"/>
        </w:rPr>
        <w:t>二、评价思路和实施过程</w:t>
      </w:r>
      <w:bookmarkEnd w:id="45"/>
      <w:bookmarkEnd w:id="46"/>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本次评价对象是</w:t>
      </w:r>
      <w:r>
        <w:rPr>
          <w:rFonts w:hint="eastAsia" w:eastAsia="仿宋_GB2312" w:cs="Times New Roman"/>
          <w:color w:val="000000"/>
          <w:kern w:val="0"/>
          <w:sz w:val="32"/>
          <w:szCs w:val="32"/>
          <w:highlight w:val="none"/>
          <w:lang w:val="en-US" w:eastAsia="zh-CN" w:bidi="ar"/>
        </w:rPr>
        <w:t>阿坝县民族宗教局</w:t>
      </w:r>
      <w:r>
        <w:rPr>
          <w:rFonts w:hint="default" w:ascii="Times New Roman" w:hAnsi="Times New Roman" w:eastAsia="仿宋_GB2312" w:cs="Times New Roman"/>
          <w:color w:val="000000"/>
          <w:kern w:val="0"/>
          <w:sz w:val="32"/>
          <w:szCs w:val="32"/>
          <w:highlight w:val="none"/>
          <w:lang w:val="en-US" w:eastAsia="zh-CN" w:bidi="ar"/>
        </w:rPr>
        <w:t>。在获取</w:t>
      </w:r>
      <w:r>
        <w:rPr>
          <w:rFonts w:hint="eastAsia" w:eastAsia="仿宋_GB2312" w:cs="Times New Roman"/>
          <w:color w:val="000000"/>
          <w:kern w:val="0"/>
          <w:sz w:val="32"/>
          <w:szCs w:val="32"/>
          <w:highlight w:val="none"/>
          <w:lang w:val="en-US" w:eastAsia="zh-CN" w:bidi="ar"/>
        </w:rPr>
        <w:t>阿坝县民族宗教局</w:t>
      </w:r>
      <w:r>
        <w:rPr>
          <w:rFonts w:hint="default" w:ascii="Times New Roman" w:hAnsi="Times New Roman" w:eastAsia="仿宋_GB2312" w:cs="Times New Roman"/>
          <w:color w:val="000000"/>
          <w:kern w:val="0"/>
          <w:sz w:val="32"/>
          <w:szCs w:val="32"/>
          <w:highlight w:val="none"/>
          <w:lang w:val="en-US" w:eastAsia="zh-CN" w:bidi="ar"/>
        </w:rPr>
        <w:t>三定方案、职责、工作计划、财务基础数据等基础资料的基础上，形成以指标体系、社会调研为核心的工作方案。收集全部所需资料，通过对相关资料的分析，利用指标体系对</w:t>
      </w:r>
      <w:r>
        <w:rPr>
          <w:rFonts w:hint="eastAsia" w:eastAsia="仿宋_GB2312" w:cs="Times New Roman"/>
          <w:color w:val="000000"/>
          <w:kern w:val="0"/>
          <w:sz w:val="32"/>
          <w:szCs w:val="32"/>
          <w:highlight w:val="none"/>
          <w:lang w:val="en-US" w:eastAsia="zh-CN" w:bidi="ar"/>
        </w:rPr>
        <w:t>2022年阿坝县民族宗教局</w:t>
      </w:r>
      <w:r>
        <w:rPr>
          <w:rFonts w:hint="default" w:ascii="Times New Roman" w:hAnsi="Times New Roman" w:eastAsia="仿宋_GB2312" w:cs="Times New Roman"/>
          <w:color w:val="000000"/>
          <w:kern w:val="0"/>
          <w:sz w:val="32"/>
          <w:szCs w:val="32"/>
          <w:highlight w:val="none"/>
          <w:lang w:val="en-US" w:eastAsia="zh-CN" w:bidi="ar"/>
        </w:rPr>
        <w:t>整体支出情况进行绩效评价。</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rPr>
      </w:pPr>
      <w:bookmarkStart w:id="47" w:name="_Toc7980"/>
      <w:bookmarkStart w:id="48" w:name="_Toc1338"/>
      <w:bookmarkStart w:id="49" w:name="_Toc27989"/>
      <w:bookmarkStart w:id="50" w:name="_Toc1159"/>
      <w:bookmarkStart w:id="51" w:name="_Toc32353"/>
      <w:r>
        <w:rPr>
          <w:rFonts w:hint="default" w:ascii="Times New Roman" w:hAnsi="Times New Roman" w:eastAsia="楷体_GB2312" w:cs="Times New Roman"/>
          <w:color w:val="auto"/>
          <w:sz w:val="32"/>
        </w:rPr>
        <w:t>（一）评价目的</w:t>
      </w:r>
      <w:bookmarkEnd w:id="47"/>
      <w:bookmarkEnd w:id="48"/>
      <w:bookmarkEnd w:id="49"/>
      <w:bookmarkEnd w:id="50"/>
      <w:bookmarkEnd w:id="51"/>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shd w:val="clear" w:color="auto" w:fill="FFFFFF"/>
        </w:rPr>
        <w:t>分析部门</w:t>
      </w:r>
      <w:r>
        <w:rPr>
          <w:rFonts w:hint="default" w:ascii="Times New Roman" w:hAnsi="Times New Roman" w:eastAsia="仿宋_GB2312" w:cs="Times New Roman"/>
          <w:color w:val="000000"/>
          <w:kern w:val="0"/>
          <w:sz w:val="32"/>
          <w:szCs w:val="32"/>
          <w:highlight w:val="none"/>
          <w:lang w:val="en-US" w:eastAsia="zh-CN" w:bidi="ar"/>
        </w:rPr>
        <w:t>资源</w:t>
      </w:r>
      <w:r>
        <w:rPr>
          <w:rFonts w:hint="default" w:ascii="Times New Roman" w:hAnsi="Times New Roman" w:eastAsia="仿宋_GB2312" w:cs="Times New Roman"/>
          <w:color w:val="auto"/>
          <w:kern w:val="0"/>
          <w:sz w:val="32"/>
          <w:szCs w:val="32"/>
          <w:highlight w:val="none"/>
          <w:shd w:val="clear" w:color="auto" w:fill="FFFFFF"/>
          <w:lang w:val="en-US" w:eastAsia="zh-CN" w:bidi="ar-SA"/>
        </w:rPr>
        <w:t>配置</w:t>
      </w:r>
      <w:r>
        <w:rPr>
          <w:rFonts w:hint="default" w:ascii="Times New Roman" w:hAnsi="Times New Roman" w:eastAsia="仿宋_GB2312" w:cs="Times New Roman"/>
          <w:color w:val="000000"/>
          <w:kern w:val="0"/>
          <w:sz w:val="32"/>
          <w:szCs w:val="32"/>
          <w:highlight w:val="none"/>
          <w:lang w:val="en-US" w:eastAsia="zh-CN" w:bidi="ar"/>
        </w:rPr>
        <w:t>的合理性、目标计划完成与履职情况，总结经验做法，找出资金使用和管理中的薄弱环节，提出改进建议，提高财政资金的使用效率。</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rPr>
      </w:pPr>
      <w:bookmarkStart w:id="52" w:name="_Toc10108"/>
      <w:bookmarkStart w:id="53" w:name="_Toc22691"/>
      <w:bookmarkStart w:id="54" w:name="_Toc25711"/>
      <w:bookmarkStart w:id="55" w:name="_Toc21451"/>
      <w:bookmarkStart w:id="56" w:name="_Toc26468"/>
      <w:bookmarkStart w:id="57" w:name="_Toc6928"/>
      <w:r>
        <w:rPr>
          <w:rFonts w:hint="default" w:ascii="Times New Roman" w:hAnsi="Times New Roman" w:eastAsia="楷体_GB2312" w:cs="Times New Roman"/>
          <w:color w:val="auto"/>
          <w:sz w:val="32"/>
        </w:rPr>
        <w:t>（二）</w:t>
      </w:r>
      <w:bookmarkEnd w:id="52"/>
      <w:bookmarkEnd w:id="53"/>
      <w:bookmarkEnd w:id="54"/>
      <w:r>
        <w:rPr>
          <w:rFonts w:hint="default" w:ascii="Times New Roman" w:hAnsi="Times New Roman" w:eastAsia="楷体_GB2312" w:cs="Times New Roman"/>
          <w:color w:val="auto"/>
          <w:sz w:val="32"/>
        </w:rPr>
        <w:t>评价方法</w:t>
      </w:r>
      <w:bookmarkEnd w:id="55"/>
      <w:bookmarkEnd w:id="56"/>
      <w:bookmarkEnd w:id="57"/>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（1）对比法</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000000"/>
          <w:kern w:val="0"/>
          <w:sz w:val="32"/>
          <w:szCs w:val="32"/>
          <w:highlight w:val="none"/>
          <w:lang w:val="en-US" w:eastAsia="zh-CN" w:bidi="ar"/>
        </w:rPr>
        <w:t>是指通过对绩效目标与实际</w:t>
      </w:r>
      <w:r>
        <w:rPr>
          <w:rFonts w:hint="eastAsia" w:eastAsia="仿宋_GB2312" w:cs="Times New Roman"/>
          <w:color w:val="000000"/>
          <w:kern w:val="0"/>
          <w:sz w:val="32"/>
          <w:szCs w:val="32"/>
          <w:highlight w:val="none"/>
          <w:lang w:val="en-US" w:eastAsia="zh-CN" w:bidi="ar"/>
        </w:rPr>
        <w:t>完成结果</w:t>
      </w:r>
      <w:r>
        <w:rPr>
          <w:rFonts w:hint="default" w:ascii="Times New Roman" w:hAnsi="Times New Roman" w:eastAsia="仿宋_GB2312" w:cs="Times New Roman"/>
          <w:color w:val="000000"/>
          <w:kern w:val="0"/>
          <w:sz w:val="32"/>
          <w:szCs w:val="32"/>
          <w:highlight w:val="none"/>
          <w:lang w:val="en-US" w:eastAsia="zh-CN" w:bidi="ar"/>
        </w:rPr>
        <w:t>的对比，对绩效指标完成情况进行比较，综合分析绩效目标实现程度。项目小组根据收集的</w:t>
      </w:r>
      <w:r>
        <w:rPr>
          <w:rFonts w:hint="eastAsia" w:eastAsia="仿宋_GB2312" w:cs="Times New Roman"/>
          <w:color w:val="000000"/>
          <w:kern w:val="0"/>
          <w:sz w:val="32"/>
          <w:szCs w:val="32"/>
          <w:highlight w:val="none"/>
          <w:lang w:val="en-US" w:eastAsia="zh-CN" w:bidi="ar"/>
        </w:rPr>
        <w:t>部门预算执行</w:t>
      </w:r>
      <w:r>
        <w:rPr>
          <w:rFonts w:hint="default" w:ascii="Times New Roman" w:hAnsi="Times New Roman" w:eastAsia="仿宋_GB2312" w:cs="Times New Roman"/>
          <w:color w:val="000000"/>
          <w:kern w:val="0"/>
          <w:sz w:val="32"/>
          <w:szCs w:val="32"/>
          <w:highlight w:val="none"/>
          <w:lang w:val="en-US" w:eastAsia="zh-CN" w:bidi="ar"/>
        </w:rPr>
        <w:t>相关资料，结合</w:t>
      </w:r>
      <w:r>
        <w:rPr>
          <w:rFonts w:hint="eastAsia" w:eastAsia="仿宋_GB2312" w:cs="Times New Roman"/>
          <w:color w:val="000000"/>
          <w:kern w:val="0"/>
          <w:sz w:val="32"/>
          <w:szCs w:val="32"/>
          <w:highlight w:val="none"/>
          <w:lang w:val="en-US" w:eastAsia="zh-CN" w:bidi="ar"/>
        </w:rPr>
        <w:t>现场查看</w:t>
      </w:r>
      <w:r>
        <w:rPr>
          <w:rFonts w:hint="default" w:ascii="Times New Roman" w:hAnsi="Times New Roman" w:eastAsia="仿宋_GB2312" w:cs="Times New Roman"/>
          <w:color w:val="000000"/>
          <w:kern w:val="0"/>
          <w:sz w:val="32"/>
          <w:szCs w:val="32"/>
          <w:highlight w:val="none"/>
          <w:lang w:val="en-US" w:eastAsia="zh-CN" w:bidi="ar"/>
        </w:rPr>
        <w:t>，了解</w:t>
      </w:r>
      <w:r>
        <w:rPr>
          <w:rFonts w:hint="eastAsia" w:eastAsia="仿宋_GB2312" w:cs="Times New Roman"/>
          <w:color w:val="000000"/>
          <w:kern w:val="0"/>
          <w:sz w:val="32"/>
          <w:szCs w:val="32"/>
          <w:highlight w:val="none"/>
          <w:lang w:val="en-US" w:eastAsia="zh-CN" w:bidi="ar"/>
        </w:rPr>
        <w:t>部门预算执行</w:t>
      </w:r>
      <w:r>
        <w:rPr>
          <w:rFonts w:hint="default" w:ascii="Times New Roman" w:hAnsi="Times New Roman" w:eastAsia="仿宋_GB2312" w:cs="Times New Roman"/>
          <w:color w:val="000000"/>
          <w:kern w:val="0"/>
          <w:sz w:val="32"/>
          <w:szCs w:val="32"/>
          <w:highlight w:val="none"/>
          <w:lang w:val="en-US" w:eastAsia="zh-CN" w:bidi="ar"/>
        </w:rPr>
        <w:t>实际情况，与绩效目标进行对比，评价绩效目标的实现程度；同时项目小组将收集</w:t>
      </w:r>
      <w:r>
        <w:rPr>
          <w:rFonts w:hint="eastAsia" w:eastAsia="仿宋_GB2312" w:cs="Times New Roman"/>
          <w:color w:val="000000"/>
          <w:kern w:val="0"/>
          <w:sz w:val="32"/>
          <w:szCs w:val="32"/>
          <w:highlight w:val="none"/>
          <w:lang w:val="en-US" w:eastAsia="zh-CN" w:bidi="ar"/>
        </w:rPr>
        <w:t>部门预算</w:t>
      </w:r>
      <w:r>
        <w:rPr>
          <w:rFonts w:hint="default" w:ascii="Times New Roman" w:hAnsi="Times New Roman" w:eastAsia="仿宋_GB2312" w:cs="Times New Roman"/>
          <w:color w:val="000000"/>
          <w:kern w:val="0"/>
          <w:sz w:val="32"/>
          <w:szCs w:val="32"/>
          <w:highlight w:val="none"/>
          <w:lang w:val="en-US" w:eastAsia="zh-CN" w:bidi="ar"/>
        </w:rPr>
        <w:t>三年的</w:t>
      </w:r>
      <w:r>
        <w:rPr>
          <w:rFonts w:hint="eastAsia" w:eastAsia="仿宋_GB2312" w:cs="Times New Roman"/>
          <w:color w:val="000000"/>
          <w:kern w:val="0"/>
          <w:sz w:val="32"/>
          <w:szCs w:val="32"/>
          <w:highlight w:val="none"/>
          <w:lang w:val="en-US" w:eastAsia="zh-CN" w:bidi="ar"/>
        </w:rPr>
        <w:t>执行</w:t>
      </w:r>
      <w:r>
        <w:rPr>
          <w:rFonts w:hint="default" w:ascii="Times New Roman" w:hAnsi="Times New Roman" w:eastAsia="仿宋_GB2312" w:cs="Times New Roman"/>
          <w:color w:val="000000"/>
          <w:kern w:val="0"/>
          <w:sz w:val="32"/>
          <w:szCs w:val="32"/>
          <w:highlight w:val="none"/>
          <w:lang w:val="en-US" w:eastAsia="zh-CN" w:bidi="ar"/>
        </w:rPr>
        <w:t>数据，分析其完成情况并进行比较，评价其目标实现程度</w:t>
      </w:r>
      <w:r>
        <w:rPr>
          <w:rFonts w:hint="default" w:ascii="Times New Roman" w:hAnsi="Times New Roman" w:eastAsia="仿宋_GB2312" w:cs="Times New Roman"/>
          <w:color w:val="auto"/>
          <w:kern w:val="0"/>
          <w:sz w:val="32"/>
          <w:szCs w:val="32"/>
          <w:highlight w:val="none"/>
          <w:shd w:val="clear" w:color="auto" w:fill="FFFFFF"/>
          <w:lang w:val="en-US" w:eastAsia="zh-CN" w:bidi="ar-SA"/>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（2）数据采集法</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000000"/>
          <w:kern w:val="0"/>
          <w:sz w:val="32"/>
          <w:szCs w:val="32"/>
          <w:highlight w:val="none"/>
          <w:lang w:val="en-US" w:eastAsia="zh-CN" w:bidi="ar"/>
        </w:rPr>
        <w:t>是指采用各种专业（或专门）指标的计算方法，通过</w:t>
      </w:r>
      <w:r>
        <w:rPr>
          <w:rFonts w:hint="eastAsia" w:eastAsia="仿宋_GB2312" w:cs="Times New Roman"/>
          <w:color w:val="000000"/>
          <w:kern w:val="0"/>
          <w:sz w:val="32"/>
          <w:szCs w:val="32"/>
          <w:highlight w:val="none"/>
          <w:lang w:val="en-US" w:eastAsia="zh-CN" w:bidi="ar"/>
        </w:rPr>
        <w:t>部门预算资金</w:t>
      </w:r>
      <w:r>
        <w:rPr>
          <w:rFonts w:hint="default" w:ascii="Times New Roman" w:hAnsi="Times New Roman" w:eastAsia="仿宋_GB2312" w:cs="Times New Roman"/>
          <w:color w:val="000000"/>
          <w:kern w:val="0"/>
          <w:sz w:val="32"/>
          <w:szCs w:val="32"/>
          <w:highlight w:val="none"/>
          <w:lang w:val="en-US" w:eastAsia="zh-CN" w:bidi="ar"/>
        </w:rPr>
        <w:t>支出的相关数据，采用统计或核算等方式计算实际完成或达到的结果，评价绩效目标实现程度。项目小组根据相关文件依据，设计符合项目特点的评价指标体系，然后采集数据按照计算公式进行计算分析，并根据计算结果分析</w:t>
      </w:r>
      <w:r>
        <w:rPr>
          <w:rFonts w:hint="eastAsia" w:eastAsia="仿宋_GB2312" w:cs="Times New Roman"/>
          <w:color w:val="000000"/>
          <w:kern w:val="0"/>
          <w:sz w:val="32"/>
          <w:szCs w:val="32"/>
          <w:highlight w:val="none"/>
          <w:lang w:val="en-US" w:eastAsia="zh-CN" w:bidi="ar"/>
        </w:rPr>
        <w:t>部门整体</w:t>
      </w:r>
      <w:r>
        <w:rPr>
          <w:rFonts w:hint="default" w:ascii="Times New Roman" w:hAnsi="Times New Roman" w:eastAsia="仿宋_GB2312" w:cs="Times New Roman"/>
          <w:color w:val="000000"/>
          <w:kern w:val="0"/>
          <w:sz w:val="32"/>
          <w:szCs w:val="32"/>
          <w:highlight w:val="none"/>
          <w:lang w:val="en-US" w:eastAsia="zh-CN" w:bidi="ar"/>
        </w:rPr>
        <w:t>绩效目标实现程度</w:t>
      </w:r>
      <w:r>
        <w:rPr>
          <w:rFonts w:hint="default" w:ascii="Times New Roman" w:hAnsi="Times New Roman" w:eastAsia="仿宋_GB2312" w:cs="Times New Roman"/>
          <w:color w:val="auto"/>
          <w:kern w:val="0"/>
          <w:sz w:val="32"/>
          <w:szCs w:val="32"/>
          <w:highlight w:val="none"/>
          <w:shd w:val="clear" w:color="auto" w:fill="FFFFFF"/>
          <w:lang w:val="en-US" w:eastAsia="zh-CN" w:bidi="ar-SA"/>
        </w:rPr>
        <w:t>。</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rPr>
      </w:pPr>
      <w:bookmarkStart w:id="58" w:name="_Toc1098"/>
      <w:bookmarkStart w:id="59" w:name="_Toc29947"/>
      <w:bookmarkStart w:id="60" w:name="_Toc26602"/>
      <w:r>
        <w:rPr>
          <w:rFonts w:hint="default" w:ascii="Times New Roman" w:hAnsi="Times New Roman" w:eastAsia="楷体_GB2312" w:cs="Times New Roman"/>
          <w:color w:val="auto"/>
          <w:sz w:val="32"/>
        </w:rPr>
        <w:t>（三）数据采集方法及过程</w:t>
      </w:r>
      <w:bookmarkEnd w:id="58"/>
      <w:bookmarkEnd w:id="59"/>
      <w:bookmarkEnd w:id="60"/>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本次绩效评价数据包括定性和定量两种数据，定性数据主要通过实地考察方式来采集，定量数据的采集主要通过实地采集数据。</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p>
    <w:p>
      <w:pPr>
        <w:pStyle w:val="2"/>
        <w:pageBreakBefore w:val="0"/>
        <w:widowControl w:val="0"/>
        <w:kinsoku/>
        <w:wordWrap/>
        <w:overflowPunct/>
        <w:topLinePunct w:val="0"/>
        <w:autoSpaceDE/>
        <w:autoSpaceDN/>
        <w:bidi w:val="0"/>
        <w:adjustRightInd/>
        <w:spacing w:before="156" w:after="156" w:line="600" w:lineRule="exact"/>
        <w:ind w:firstLine="602"/>
        <w:textAlignment w:val="auto"/>
        <w:rPr>
          <w:rFonts w:hint="default" w:ascii="Times New Roman" w:hAnsi="Times New Roman" w:cs="Times New Roman"/>
          <w:sz w:val="30"/>
          <w:szCs w:val="30"/>
        </w:rPr>
      </w:pPr>
      <w:bookmarkStart w:id="61" w:name="_Toc19065"/>
      <w:bookmarkStart w:id="62" w:name="_Toc6126"/>
      <w:bookmarkStart w:id="63" w:name="_Toc28440"/>
      <w:r>
        <w:rPr>
          <w:rFonts w:hint="default" w:ascii="Times New Roman" w:hAnsi="Times New Roman" w:cs="Times New Roman"/>
          <w:sz w:val="30"/>
          <w:szCs w:val="30"/>
        </w:rPr>
        <w:t>三、评价结论及绩效分析</w:t>
      </w:r>
      <w:bookmarkEnd w:id="61"/>
      <w:bookmarkEnd w:id="62"/>
      <w:bookmarkEnd w:id="63"/>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rPr>
      </w:pPr>
      <w:bookmarkStart w:id="64" w:name="_Toc29756"/>
      <w:bookmarkStart w:id="65" w:name="_Toc10966"/>
      <w:r>
        <w:rPr>
          <w:rFonts w:hint="default" w:ascii="Times New Roman" w:hAnsi="Times New Roman" w:eastAsia="楷体_GB2312" w:cs="Times New Roman"/>
          <w:color w:val="auto"/>
          <w:sz w:val="32"/>
        </w:rPr>
        <w:t>（一）评价结论</w:t>
      </w:r>
      <w:bookmarkEnd w:id="64"/>
      <w:bookmarkEnd w:id="65"/>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bookmarkStart w:id="66" w:name="_Toc22480"/>
      <w:r>
        <w:rPr>
          <w:rFonts w:hint="default" w:ascii="Times New Roman" w:hAnsi="Times New Roman" w:eastAsia="仿宋_GB2312" w:cs="Times New Roman"/>
          <w:color w:val="auto"/>
          <w:kern w:val="0"/>
          <w:sz w:val="32"/>
          <w:szCs w:val="32"/>
          <w:highlight w:val="none"/>
          <w:lang w:val="en-US" w:eastAsia="zh-CN" w:bidi="ar"/>
        </w:rPr>
        <w:t>通过数据采集，对</w:t>
      </w:r>
      <w:r>
        <w:rPr>
          <w:rFonts w:hint="eastAsia" w:eastAsia="仿宋_GB2312" w:cs="Times New Roman"/>
          <w:color w:val="auto"/>
          <w:kern w:val="0"/>
          <w:sz w:val="32"/>
          <w:szCs w:val="32"/>
          <w:highlight w:val="none"/>
          <w:lang w:val="en-US" w:eastAsia="zh-CN" w:bidi="ar"/>
        </w:rPr>
        <w:t>2022年1月-2022年12月</w:t>
      </w:r>
      <w:r>
        <w:rPr>
          <w:rFonts w:hint="eastAsia" w:eastAsia="仿宋_GB2312" w:cs="Times New Roman"/>
          <w:color w:val="000000"/>
          <w:kern w:val="0"/>
          <w:sz w:val="32"/>
          <w:szCs w:val="32"/>
          <w:highlight w:val="none"/>
          <w:lang w:val="en-US" w:eastAsia="zh-CN" w:bidi="ar"/>
        </w:rPr>
        <w:t>阿坝县民族宗教局</w:t>
      </w:r>
      <w:r>
        <w:rPr>
          <w:rFonts w:hint="default" w:ascii="Times New Roman" w:hAnsi="Times New Roman" w:eastAsia="仿宋_GB2312" w:cs="Times New Roman"/>
          <w:color w:val="000000"/>
          <w:kern w:val="0"/>
          <w:sz w:val="32"/>
          <w:szCs w:val="32"/>
          <w:highlight w:val="none"/>
          <w:lang w:val="en-US" w:eastAsia="zh-CN" w:bidi="ar"/>
        </w:rPr>
        <w:t>部门整体支出绩效进行客观评价，得分</w:t>
      </w:r>
      <w:r>
        <w:rPr>
          <w:rFonts w:hint="eastAsia" w:eastAsia="仿宋_GB2312" w:cs="Times New Roman"/>
          <w:color w:val="000000"/>
          <w:kern w:val="0"/>
          <w:sz w:val="32"/>
          <w:szCs w:val="32"/>
          <w:highlight w:val="none"/>
          <w:lang w:val="en-US" w:eastAsia="zh-CN" w:bidi="ar"/>
        </w:rPr>
        <w:t>53.39</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，百分制换算</w:t>
      </w:r>
      <w:r>
        <w:rPr>
          <w:rFonts w:hint="default" w:ascii="Times New Roman" w:hAnsi="Times New Roman" w:eastAsia="仿宋_GB2312" w:cs="Times New Roman"/>
          <w:color w:val="auto"/>
          <w:kern w:val="0"/>
          <w:sz w:val="32"/>
          <w:szCs w:val="32"/>
          <w:highlight w:val="none"/>
          <w:shd w:val="clear" w:color="auto" w:fill="FFFFFF"/>
          <w:lang w:val="en-US" w:eastAsia="zh-CN" w:bidi="ar-SA"/>
        </w:rPr>
        <w:t>得分</w:t>
      </w:r>
      <w:r>
        <w:rPr>
          <w:rFonts w:hint="eastAsia" w:eastAsia="仿宋_GB2312" w:cs="Times New Roman"/>
          <w:color w:val="auto"/>
          <w:kern w:val="0"/>
          <w:sz w:val="32"/>
          <w:szCs w:val="32"/>
          <w:highlight w:val="none"/>
          <w:shd w:val="clear" w:color="auto" w:fill="FFFFFF"/>
          <w:lang w:val="en-US" w:eastAsia="zh-CN" w:bidi="ar-SA"/>
        </w:rPr>
        <w:t>70.25</w:t>
      </w:r>
      <w:r>
        <w:rPr>
          <w:rFonts w:hint="default" w:ascii="Times New Roman" w:hAnsi="Times New Roman" w:eastAsia="仿宋_GB2312" w:cs="Times New Roman"/>
          <w:color w:val="auto"/>
          <w:kern w:val="0"/>
          <w:sz w:val="32"/>
          <w:szCs w:val="32"/>
          <w:highlight w:val="none"/>
          <w:shd w:val="clear" w:color="auto" w:fill="FFFFFF"/>
          <w:lang w:val="en-US" w:eastAsia="zh-CN" w:bidi="ar-SA"/>
        </w:rPr>
        <w:t>分。</w:t>
      </w:r>
    </w:p>
    <w:p>
      <w:pPr>
        <w:widowControl/>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eastAsia="仿宋_GB2312" w:cs="Times New Roman"/>
          <w:b/>
          <w:bCs/>
          <w:color w:val="000000"/>
          <w:kern w:val="0"/>
          <w:highlight w:val="none"/>
          <w:lang w:val="en-US" w:eastAsia="zh-CN" w:bidi="ar"/>
        </w:rPr>
        <w:t>6</w:t>
      </w:r>
      <w:r>
        <w:rPr>
          <w:rFonts w:hint="default" w:ascii="Times New Roman" w:hAnsi="Times New Roman" w:eastAsia="仿宋_GB2312" w:cs="Times New Roman"/>
          <w:b/>
          <w:bCs/>
          <w:color w:val="000000"/>
          <w:kern w:val="0"/>
          <w:highlight w:val="none"/>
          <w:lang w:bidi="ar"/>
        </w:rPr>
        <w:t xml:space="preserve"> 部门整体支出汇总得分表</w:t>
      </w:r>
    </w:p>
    <w:tbl>
      <w:tblPr>
        <w:tblStyle w:val="41"/>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4"/>
        <w:gridCol w:w="1251"/>
        <w:gridCol w:w="1490"/>
        <w:gridCol w:w="194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67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指标</w:t>
            </w:r>
          </w:p>
        </w:tc>
        <w:tc>
          <w:tcPr>
            <w:tcW w:w="69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827"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评价权重</w:t>
            </w:r>
          </w:p>
        </w:tc>
        <w:tc>
          <w:tcPr>
            <w:tcW w:w="1080"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评价权重</w:t>
            </w:r>
            <w:r>
              <w:rPr>
                <w:rFonts w:hint="default" w:ascii="Times New Roman" w:hAnsi="Times New Roman" w:eastAsia="仿宋_GB2312" w:cs="Times New Roman"/>
                <w:b/>
                <w:bCs/>
                <w:color w:val="000000"/>
                <w:kern w:val="0"/>
                <w:highlight w:val="none"/>
                <w:lang w:bidi="ar"/>
              </w:rPr>
              <w:t>得分</w:t>
            </w:r>
          </w:p>
        </w:tc>
        <w:tc>
          <w:tcPr>
            <w:tcW w:w="721"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eastAsia" w:eastAsia="仿宋_GB2312" w:cs="Times New Roman"/>
                <w:color w:val="000000"/>
                <w:kern w:val="0"/>
                <w:highlight w:val="none"/>
                <w:lang w:val="en-US" w:eastAsia="zh-CN" w:bidi="ar"/>
              </w:rPr>
              <w:t>部门绩效管理</w:t>
            </w:r>
          </w:p>
        </w:tc>
        <w:tc>
          <w:tcPr>
            <w:tcW w:w="69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eastAsia" w:eastAsia="仿宋_GB2312" w:cs="Times New Roman"/>
                <w:color w:val="000000"/>
                <w:kern w:val="0"/>
                <w:highlight w:val="none"/>
                <w:lang w:val="en-US" w:eastAsia="zh-CN" w:bidi="ar"/>
              </w:rPr>
              <w:t>60</w:t>
            </w:r>
          </w:p>
        </w:tc>
        <w:tc>
          <w:tcPr>
            <w:tcW w:w="827"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44</w:t>
            </w:r>
          </w:p>
        </w:tc>
        <w:tc>
          <w:tcPr>
            <w:tcW w:w="1080" w:type="pc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35.59</w:t>
            </w:r>
          </w:p>
        </w:tc>
        <w:tc>
          <w:tcPr>
            <w:tcW w:w="721" w:type="pc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专项预算管理</w:t>
            </w:r>
          </w:p>
        </w:tc>
        <w:tc>
          <w:tcPr>
            <w:tcW w:w="695" w:type="pc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827"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1080"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15.80</w:t>
            </w:r>
          </w:p>
        </w:tc>
        <w:tc>
          <w:tcPr>
            <w:tcW w:w="721"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79.00%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绩效结果应用</w:t>
            </w:r>
          </w:p>
        </w:tc>
        <w:tc>
          <w:tcPr>
            <w:tcW w:w="69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w:t>
            </w:r>
            <w:r>
              <w:rPr>
                <w:rFonts w:hint="default" w:ascii="Times New Roman" w:hAnsi="Times New Roman" w:eastAsia="仿宋_GB2312" w:cs="Times New Roman"/>
                <w:color w:val="000000"/>
                <w:kern w:val="0"/>
                <w:highlight w:val="none"/>
                <w:lang w:val="en-US" w:eastAsia="zh-CN" w:bidi="ar"/>
              </w:rPr>
              <w:t>0</w:t>
            </w:r>
          </w:p>
        </w:tc>
        <w:tc>
          <w:tcPr>
            <w:tcW w:w="827"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080"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721"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自评质量</w:t>
            </w:r>
          </w:p>
        </w:tc>
        <w:tc>
          <w:tcPr>
            <w:tcW w:w="69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10</w:t>
            </w:r>
          </w:p>
        </w:tc>
        <w:tc>
          <w:tcPr>
            <w:tcW w:w="827"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w:t>
            </w:r>
          </w:p>
        </w:tc>
        <w:tc>
          <w:tcPr>
            <w:tcW w:w="1080"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0</w:t>
            </w:r>
          </w:p>
        </w:tc>
        <w:tc>
          <w:tcPr>
            <w:tcW w:w="721"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67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69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100</w:t>
            </w:r>
          </w:p>
        </w:tc>
        <w:tc>
          <w:tcPr>
            <w:tcW w:w="827"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76</w:t>
            </w:r>
          </w:p>
        </w:tc>
        <w:tc>
          <w:tcPr>
            <w:tcW w:w="1080"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53.39</w:t>
            </w:r>
          </w:p>
        </w:tc>
        <w:tc>
          <w:tcPr>
            <w:tcW w:w="721" w:type="pct"/>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8" w:type="pct"/>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百分制换算得分合计</w:t>
            </w:r>
          </w:p>
        </w:tc>
        <w:tc>
          <w:tcPr>
            <w:tcW w:w="1080"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70.25</w:t>
            </w:r>
          </w:p>
        </w:tc>
        <w:tc>
          <w:tcPr>
            <w:tcW w:w="721"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bidi="ar"/>
              </w:rPr>
            </w:pPr>
            <w:r>
              <w:rPr>
                <w:rFonts w:hint="eastAsia" w:eastAsia="仿宋_GB2312" w:cs="Times New Roman"/>
                <w:b/>
                <w:bCs/>
                <w:color w:val="000000"/>
                <w:kern w:val="0"/>
                <w:highlight w:val="none"/>
                <w:lang w:val="en-US" w:eastAsia="zh-CN" w:bidi="ar"/>
              </w:rPr>
              <w:t>70.25%</w:t>
            </w:r>
          </w:p>
        </w:tc>
      </w:tr>
    </w:tbl>
    <w:p>
      <w:pPr>
        <w:pStyle w:val="66"/>
        <w:pageBreakBefore w:val="0"/>
        <w:widowControl w:val="0"/>
        <w:kinsoku/>
        <w:wordWrap/>
        <w:overflowPunct/>
        <w:topLinePunct w:val="0"/>
        <w:autoSpaceDE/>
        <w:autoSpaceDN/>
        <w:bidi w:val="0"/>
        <w:adjustRightInd/>
        <w:snapToGrid/>
        <w:spacing w:before="156" w:after="156" w:line="600" w:lineRule="exact"/>
        <w:ind w:firstLine="640"/>
        <w:textAlignment w:val="auto"/>
        <w:rPr>
          <w:rFonts w:hint="default" w:ascii="Times New Roman" w:hAnsi="Times New Roman" w:eastAsia="楷体_GB2312" w:cs="Times New Roman"/>
          <w:color w:val="auto"/>
          <w:sz w:val="32"/>
        </w:rPr>
      </w:pPr>
      <w:bookmarkStart w:id="67" w:name="_Toc9433"/>
      <w:bookmarkStart w:id="68" w:name="_Toc5205"/>
      <w:r>
        <w:rPr>
          <w:rFonts w:hint="default" w:ascii="Times New Roman" w:hAnsi="Times New Roman" w:eastAsia="楷体_GB2312" w:cs="Times New Roman"/>
          <w:color w:val="auto"/>
          <w:sz w:val="32"/>
        </w:rPr>
        <w:t>（二）绩效分析</w:t>
      </w:r>
      <w:bookmarkEnd w:id="66"/>
      <w:bookmarkEnd w:id="67"/>
      <w:bookmarkEnd w:id="68"/>
    </w:p>
    <w:p>
      <w:pPr>
        <w:pStyle w:val="4"/>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rPr>
      </w:pPr>
      <w:bookmarkStart w:id="69" w:name="_Toc55586789"/>
      <w:bookmarkStart w:id="70" w:name="_Toc4104"/>
      <w:bookmarkStart w:id="71" w:name="_Toc24787"/>
      <w:r>
        <w:rPr>
          <w:rFonts w:hint="default" w:ascii="Times New Roman" w:hAnsi="Times New Roman" w:eastAsia="仿宋_GB2312" w:cs="Times New Roman"/>
        </w:rPr>
        <w:t>1、部门预算管理情况分析</w:t>
      </w:r>
      <w:bookmarkEnd w:id="69"/>
      <w:bookmarkEnd w:id="70"/>
      <w:bookmarkEnd w:id="71"/>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该指标权重为</w:t>
      </w:r>
      <w:r>
        <w:rPr>
          <w:rFonts w:hint="eastAsia" w:eastAsia="仿宋_GB2312" w:cs="Times New Roman"/>
          <w:color w:val="auto"/>
          <w:kern w:val="0"/>
          <w:sz w:val="32"/>
          <w:szCs w:val="32"/>
          <w:highlight w:val="none"/>
          <w:shd w:val="clear" w:color="auto" w:fill="FFFFFF"/>
          <w:lang w:val="en-US" w:eastAsia="zh-CN" w:bidi="ar-SA"/>
        </w:rPr>
        <w:t>60</w:t>
      </w:r>
      <w:r>
        <w:rPr>
          <w:rFonts w:hint="default" w:ascii="Times New Roman" w:hAnsi="Times New Roman" w:eastAsia="仿宋_GB2312" w:cs="Times New Roman"/>
          <w:color w:val="auto"/>
          <w:kern w:val="0"/>
          <w:sz w:val="32"/>
          <w:szCs w:val="32"/>
          <w:highlight w:val="none"/>
          <w:shd w:val="clear" w:color="auto" w:fill="FFFFFF"/>
          <w:lang w:val="en-US" w:eastAsia="zh-CN" w:bidi="ar-SA"/>
        </w:rPr>
        <w:t>分，评价权重</w:t>
      </w:r>
      <w:r>
        <w:rPr>
          <w:rFonts w:hint="eastAsia" w:eastAsia="仿宋_GB2312" w:cs="Times New Roman"/>
          <w:color w:val="auto"/>
          <w:kern w:val="0"/>
          <w:sz w:val="32"/>
          <w:szCs w:val="32"/>
          <w:highlight w:val="none"/>
          <w:shd w:val="clear" w:color="auto" w:fill="FFFFFF"/>
          <w:lang w:val="en-US" w:eastAsia="zh-CN" w:bidi="ar-SA"/>
        </w:rPr>
        <w:t>44</w:t>
      </w:r>
      <w:r>
        <w:rPr>
          <w:rFonts w:hint="default" w:ascii="Times New Roman" w:hAnsi="Times New Roman" w:eastAsia="仿宋_GB2312" w:cs="Times New Roman"/>
          <w:color w:val="auto"/>
          <w:kern w:val="0"/>
          <w:sz w:val="32"/>
          <w:szCs w:val="32"/>
          <w:highlight w:val="none"/>
          <w:shd w:val="clear" w:color="auto" w:fill="FFFFFF"/>
          <w:lang w:val="en-US" w:eastAsia="zh-CN" w:bidi="ar-SA"/>
        </w:rPr>
        <w:t>分，评价权重得分</w:t>
      </w:r>
      <w:r>
        <w:rPr>
          <w:rFonts w:hint="eastAsia" w:eastAsia="仿宋_GB2312" w:cs="Times New Roman"/>
          <w:color w:val="auto"/>
          <w:kern w:val="0"/>
          <w:sz w:val="32"/>
          <w:szCs w:val="32"/>
          <w:highlight w:val="none"/>
          <w:shd w:val="clear" w:color="auto" w:fill="FFFFFF"/>
          <w:lang w:val="en-US" w:eastAsia="zh-CN" w:bidi="ar-SA"/>
        </w:rPr>
        <w:t>35.59</w:t>
      </w:r>
      <w:r>
        <w:rPr>
          <w:rFonts w:hint="default" w:ascii="Times New Roman" w:hAnsi="Times New Roman" w:eastAsia="仿宋_GB2312" w:cs="Times New Roman"/>
          <w:color w:val="auto"/>
          <w:kern w:val="0"/>
          <w:sz w:val="32"/>
          <w:szCs w:val="32"/>
          <w:highlight w:val="none"/>
          <w:shd w:val="clear" w:color="auto" w:fill="FFFFFF"/>
          <w:lang w:val="en-US" w:eastAsia="zh-CN" w:bidi="ar-SA"/>
        </w:rPr>
        <w:t>分。用于考察评价部门绩效目标是否要素完整、细化量化并集体决策</w:t>
      </w:r>
      <w:r>
        <w:rPr>
          <w:rFonts w:hint="eastAsia" w:ascii="Times New Roman" w:hAnsi="Times New Roman" w:eastAsia="仿宋_GB2312" w:cs="Times New Roman"/>
          <w:color w:val="auto"/>
          <w:kern w:val="0"/>
          <w:sz w:val="32"/>
          <w:szCs w:val="32"/>
          <w:highlight w:val="none"/>
          <w:shd w:val="clear" w:color="auto" w:fill="FFFFFF"/>
          <w:lang w:val="en-US" w:eastAsia="zh-CN" w:bidi="ar-SA"/>
        </w:rPr>
        <w:t>情况；评价部门绩效目标实际实现程度与预期目标的偏离度；部门公用经费及非定额公用支出控制情况；评价部门在</w:t>
      </w:r>
      <w:r>
        <w:rPr>
          <w:rFonts w:hint="eastAsia" w:eastAsia="仿宋_GB2312" w:cs="Times New Roman"/>
          <w:color w:val="auto"/>
          <w:kern w:val="0"/>
          <w:sz w:val="32"/>
          <w:szCs w:val="32"/>
          <w:highlight w:val="none"/>
          <w:shd w:val="clear" w:color="auto" w:fill="FFFFFF"/>
          <w:lang w:val="en-US" w:eastAsia="zh-CN" w:bidi="ar-SA"/>
        </w:rPr>
        <w:t>2022</w:t>
      </w:r>
      <w:r>
        <w:rPr>
          <w:rFonts w:hint="eastAsia" w:ascii="Times New Roman" w:hAnsi="Times New Roman" w:eastAsia="仿宋_GB2312" w:cs="Times New Roman"/>
          <w:color w:val="auto"/>
          <w:kern w:val="0"/>
          <w:sz w:val="32"/>
          <w:szCs w:val="32"/>
          <w:highlight w:val="none"/>
          <w:shd w:val="clear" w:color="auto" w:fill="FFFFFF"/>
          <w:lang w:val="en-US" w:eastAsia="zh-CN" w:bidi="ar-SA"/>
        </w:rPr>
        <w:t>年6、9、11月的预算执行情况；评价部门预算项目年终预算执行情况；根据审计监督、财政检查结果反映部门上一年度部门预算管理是否合规</w:t>
      </w:r>
      <w:r>
        <w:rPr>
          <w:rFonts w:hint="default" w:ascii="Times New Roman" w:hAnsi="Times New Roman" w:eastAsia="仿宋_GB2312" w:cs="Times New Roman"/>
          <w:color w:val="auto"/>
          <w:kern w:val="0"/>
          <w:sz w:val="32"/>
          <w:szCs w:val="32"/>
          <w:highlight w:val="none"/>
          <w:shd w:val="clear" w:color="auto" w:fill="FFFFFF"/>
          <w:lang w:val="en-US" w:eastAsia="zh-CN" w:bidi="ar-SA"/>
        </w:rPr>
        <w:t>等。</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各分项指标得分和绩效分析如下：</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p>
    <w:p>
      <w:pPr>
        <w:widowControl/>
        <w:spacing w:line="600" w:lineRule="exact"/>
        <w:ind w:firstLine="48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default" w:ascii="Times New Roman" w:hAnsi="Times New Roman" w:eastAsia="仿宋_GB2312" w:cs="Times New Roman"/>
          <w:b/>
          <w:bCs/>
          <w:color w:val="000000"/>
          <w:kern w:val="0"/>
          <w:highlight w:val="none"/>
          <w:lang w:val="en-US" w:eastAsia="zh-CN" w:bidi="ar"/>
        </w:rPr>
        <w:t>7</w:t>
      </w:r>
      <w:r>
        <w:rPr>
          <w:rFonts w:hint="default" w:ascii="Times New Roman" w:hAnsi="Times New Roman" w:eastAsia="仿宋_GB2312" w:cs="Times New Roman"/>
          <w:b/>
          <w:bCs/>
          <w:color w:val="000000"/>
          <w:kern w:val="0"/>
          <w:highlight w:val="none"/>
          <w:lang w:bidi="ar"/>
        </w:rPr>
        <w:t xml:space="preserve"> </w:t>
      </w:r>
      <w:r>
        <w:rPr>
          <w:rFonts w:hint="default" w:ascii="Times New Roman" w:hAnsi="Times New Roman" w:eastAsia="仿宋_GB2312" w:cs="Times New Roman"/>
          <w:b/>
          <w:bCs/>
          <w:color w:val="000000"/>
          <w:kern w:val="0"/>
          <w:highlight w:val="none"/>
          <w:lang w:val="en-US" w:eastAsia="zh-CN" w:bidi="ar"/>
        </w:rPr>
        <w:t>部门预算管理</w:t>
      </w:r>
      <w:r>
        <w:rPr>
          <w:rFonts w:hint="default" w:ascii="Times New Roman" w:hAnsi="Times New Roman" w:eastAsia="仿宋_GB2312" w:cs="Times New Roman"/>
          <w:b/>
          <w:bCs/>
          <w:color w:val="000000"/>
          <w:kern w:val="0"/>
          <w:highlight w:val="none"/>
          <w:lang w:bidi="ar"/>
        </w:rPr>
        <w:t>情况得分表</w:t>
      </w:r>
    </w:p>
    <w:tbl>
      <w:tblPr>
        <w:tblStyle w:val="41"/>
        <w:tblW w:w="8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1"/>
        <w:gridCol w:w="1400"/>
        <w:gridCol w:w="1978"/>
        <w:gridCol w:w="855"/>
        <w:gridCol w:w="934"/>
        <w:gridCol w:w="1118"/>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1"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4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978"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85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9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1118"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评价权重</w:t>
            </w:r>
            <w:r>
              <w:rPr>
                <w:rFonts w:hint="default" w:ascii="Times New Roman" w:hAnsi="Times New Roman" w:eastAsia="仿宋_GB2312" w:cs="Times New Roman"/>
                <w:b/>
                <w:bCs/>
                <w:color w:val="000000"/>
                <w:kern w:val="0"/>
                <w:highlight w:val="none"/>
                <w:lang w:bidi="ar"/>
              </w:rPr>
              <w:t>得分</w:t>
            </w:r>
          </w:p>
        </w:tc>
        <w:tc>
          <w:tcPr>
            <w:tcW w:w="111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restar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r>
              <w:rPr>
                <w:rFonts w:hint="eastAsia" w:eastAsia="仿宋_GB2312" w:cs="Times New Roman"/>
                <w:color w:val="000000"/>
                <w:kern w:val="0"/>
                <w:highlight w:val="none"/>
                <w:lang w:val="en-US" w:eastAsia="zh-CN" w:bidi="ar"/>
              </w:rPr>
              <w:t>部门绩效管理</w:t>
            </w:r>
            <w:r>
              <w:rPr>
                <w:rFonts w:hint="default" w:ascii="Times New Roman" w:hAnsi="Times New Roman" w:eastAsia="仿宋_GB2312" w:cs="Times New Roman"/>
                <w:color w:val="000000"/>
                <w:kern w:val="0"/>
                <w:highlight w:val="none"/>
                <w:lang w:bidi="ar"/>
              </w:rPr>
              <w:t>（</w:t>
            </w:r>
            <w:r>
              <w:rPr>
                <w:rFonts w:hint="eastAsia" w:eastAsia="仿宋_GB2312" w:cs="Times New Roman"/>
                <w:color w:val="000000"/>
                <w:kern w:val="0"/>
                <w:highlight w:val="none"/>
                <w:lang w:val="en-US" w:eastAsia="zh-CN" w:bidi="ar"/>
              </w:rPr>
              <w:t>6</w:t>
            </w:r>
            <w:r>
              <w:rPr>
                <w:rFonts w:hint="default" w:ascii="Times New Roman" w:hAnsi="Times New Roman" w:eastAsia="仿宋_GB2312" w:cs="Times New Roman"/>
                <w:color w:val="000000"/>
                <w:kern w:val="0"/>
                <w:highlight w:val="none"/>
                <w:lang w:bidi="ar"/>
              </w:rPr>
              <w:t>0）</w:t>
            </w: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预算编制（24分）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目标制定</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111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目标实现</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编制准确</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2052" w:type="dxa"/>
            <w:gridSpan w:val="2"/>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c>
          <w:tcPr>
            <w:tcW w:w="1113"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预算执行（20分）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支出控制</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1118"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0</w:t>
            </w:r>
          </w:p>
        </w:tc>
        <w:tc>
          <w:tcPr>
            <w:tcW w:w="111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动态调整</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2052" w:type="dxa"/>
            <w:gridSpan w:val="2"/>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c>
          <w:tcPr>
            <w:tcW w:w="1113"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执行进度</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完成结果（16分）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预算完成</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7.59</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94.88%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违规记录</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9"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85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6</w:t>
            </w:r>
            <w:r>
              <w:rPr>
                <w:rFonts w:hint="default" w:ascii="Times New Roman" w:hAnsi="Times New Roman" w:eastAsia="仿宋_GB2312" w:cs="Times New Roman"/>
                <w:b/>
                <w:bCs/>
                <w:color w:val="000000"/>
                <w:kern w:val="0"/>
                <w:highlight w:val="none"/>
                <w:lang w:val="en-US" w:eastAsia="zh-CN" w:bidi="ar"/>
              </w:rPr>
              <w:t>0</w:t>
            </w:r>
          </w:p>
        </w:tc>
        <w:tc>
          <w:tcPr>
            <w:tcW w:w="9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44</w:t>
            </w:r>
          </w:p>
        </w:tc>
        <w:tc>
          <w:tcPr>
            <w:tcW w:w="1118"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35.59</w:t>
            </w:r>
          </w:p>
        </w:tc>
        <w:tc>
          <w:tcPr>
            <w:tcW w:w="111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80.89%</w:t>
            </w:r>
          </w:p>
        </w:tc>
      </w:tr>
    </w:tbl>
    <w:p>
      <w:pPr>
        <w:pStyle w:val="24"/>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shd w:val="clear" w:color="auto" w:fill="FFFFFF"/>
          <w:lang w:val="en-US" w:eastAsia="zh-CN"/>
        </w:rPr>
      </w:pPr>
      <w:r>
        <w:rPr>
          <w:rFonts w:hint="default" w:ascii="Times New Roman" w:hAnsi="Times New Roman" w:eastAsia="仿宋_GB2312" w:cs="Times New Roman"/>
          <w:b/>
          <w:bCs/>
          <w:kern w:val="0"/>
          <w:sz w:val="32"/>
          <w:szCs w:val="32"/>
          <w:shd w:val="clear" w:color="auto" w:fill="FFFFFF"/>
          <w:lang w:val="en-US" w:eastAsia="zh-CN"/>
        </w:rPr>
        <w:t>（1）</w:t>
      </w:r>
      <w:r>
        <w:rPr>
          <w:rFonts w:hint="eastAsia" w:eastAsia="仿宋_GB2312" w:cs="Times New Roman"/>
          <w:b/>
          <w:bCs/>
          <w:kern w:val="0"/>
          <w:sz w:val="32"/>
          <w:szCs w:val="32"/>
          <w:shd w:val="clear" w:color="auto" w:fill="FFFFFF"/>
          <w:lang w:val="en-US" w:eastAsia="zh-CN"/>
        </w:rPr>
        <w:t>预算编制</w:t>
      </w:r>
      <w:r>
        <w:rPr>
          <w:rFonts w:hint="default" w:ascii="Times New Roman" w:hAnsi="Times New Roman" w:eastAsia="仿宋_GB2312" w:cs="Times New Roman"/>
          <w:b/>
          <w:bCs/>
          <w:kern w:val="0"/>
          <w:sz w:val="32"/>
          <w:szCs w:val="32"/>
          <w:shd w:val="clear" w:color="auto" w:fill="FFFFFF"/>
          <w:lang w:val="en-US" w:eastAsia="zh-CN"/>
        </w:rPr>
        <w:t>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——目标制定指标分析（权重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b/>
          <w:bCs/>
          <w:color w:val="auto"/>
          <w:kern w:val="0"/>
          <w:sz w:val="32"/>
          <w:szCs w:val="32"/>
          <w:highlight w:val="none"/>
          <w:shd w:val="clear" w:color="auto" w:fill="FFFFFF"/>
          <w:lang w:val="en-US" w:eastAsia="zh-CN" w:bidi="ar-SA"/>
        </w:rPr>
      </w:pPr>
      <w:r>
        <w:rPr>
          <w:rFonts w:hint="eastAsia" w:eastAsia="仿宋_GB2312" w:cs="Times New Roman"/>
          <w:b/>
          <w:bCs/>
          <w:color w:val="auto"/>
          <w:kern w:val="0"/>
          <w:sz w:val="32"/>
          <w:szCs w:val="32"/>
          <w:highlight w:val="none"/>
          <w:shd w:val="clear" w:color="auto" w:fill="FFFFFF"/>
          <w:lang w:val="en-US" w:eastAsia="zh-CN" w:bidi="ar-SA"/>
        </w:rPr>
        <w:t>2022</w:t>
      </w:r>
      <w:r>
        <w:rPr>
          <w:rFonts w:hint="eastAsia" w:ascii="Times New Roman" w:hAnsi="Times New Roman" w:eastAsia="仿宋_GB2312" w:cs="Times New Roman"/>
          <w:b/>
          <w:bCs/>
          <w:color w:val="auto"/>
          <w:kern w:val="0"/>
          <w:sz w:val="32"/>
          <w:szCs w:val="32"/>
          <w:highlight w:val="none"/>
          <w:shd w:val="clear" w:color="auto" w:fill="FFFFFF"/>
          <w:lang w:val="en-US" w:eastAsia="zh-CN" w:bidi="ar-SA"/>
        </w:rPr>
        <w:t>年项目绩效目标设置情况：</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绩效目标编制要素方面，</w:t>
      </w:r>
      <w:r>
        <w:rPr>
          <w:rFonts w:hint="eastAsia" w:eastAsia="仿宋_GB2312" w:cs="Times New Roman"/>
          <w:color w:val="auto"/>
          <w:kern w:val="0"/>
          <w:sz w:val="32"/>
          <w:szCs w:val="32"/>
          <w:highlight w:val="none"/>
          <w:shd w:val="clear" w:color="auto" w:fill="FFFFFF"/>
          <w:lang w:val="en-US" w:eastAsia="zh-CN" w:bidi="ar-SA"/>
        </w:rPr>
        <w:t>阿坝县民族宗教局寺庙民管会生活补助项目绩效目标设置不全面，只设置了满意度指标</w:t>
      </w:r>
      <w:r>
        <w:rPr>
          <w:rFonts w:hint="eastAsia" w:ascii="Times New Roman" w:hAnsi="Times New Roman" w:eastAsia="仿宋_GB2312" w:cs="Times New Roman"/>
          <w:color w:val="auto"/>
          <w:kern w:val="0"/>
          <w:sz w:val="32"/>
          <w:szCs w:val="32"/>
          <w:highlight w:val="none"/>
          <w:shd w:val="clear" w:color="auto" w:fill="FFFFFF"/>
          <w:lang w:val="en-US" w:eastAsia="zh-CN" w:bidi="ar-SA"/>
        </w:rPr>
        <w:t>，</w:t>
      </w:r>
      <w:r>
        <w:rPr>
          <w:rFonts w:hint="eastAsia" w:eastAsia="仿宋_GB2312" w:cs="Times New Roman"/>
          <w:color w:val="auto"/>
          <w:kern w:val="0"/>
          <w:sz w:val="32"/>
          <w:szCs w:val="32"/>
          <w:highlight w:val="none"/>
          <w:shd w:val="clear" w:color="auto" w:fill="FFFFFF"/>
          <w:lang w:val="en-US" w:eastAsia="zh-CN" w:bidi="ar-SA"/>
        </w:rPr>
        <w:t>未设置数量、质量、时效、成本、社会效益指标，不</w:t>
      </w:r>
      <w:r>
        <w:rPr>
          <w:rFonts w:hint="eastAsia" w:ascii="Times New Roman" w:hAnsi="Times New Roman" w:eastAsia="仿宋_GB2312" w:cs="Times New Roman"/>
          <w:color w:val="auto"/>
          <w:kern w:val="0"/>
          <w:sz w:val="32"/>
          <w:szCs w:val="32"/>
          <w:highlight w:val="none"/>
          <w:shd w:val="clear" w:color="auto" w:fill="FFFFFF"/>
          <w:lang w:val="en-US" w:eastAsia="zh-CN" w:bidi="ar-SA"/>
        </w:rPr>
        <w:t>符合《四川省财政支出绩效评价管理办法》第十五条“绩效目标包括以下主要内容：（一）预期产出，包括提供的公共产品和服务的数量；（二）预期效果，包括经济效益、社会效益、环境效益和可持续影响等；（三）绩效指标，是对预期产出和预期效果的细化和量化，主要包括完成指标、效果指标和满意度指标等；（四）绩效指标值，是绩效指标的具体表现，通常用可衡量的标准、数值、比率等来表示，确定指标值时主要依据或参考历史标准、行业标准、计划标准等绩效标准；（五）其他需要编制的内容。”</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绩效指标细化量化方面，阿坝县民族宗教局寺庙民管会生活补助绩效目标未设置数量、质量、成本等指标，未细化量化。不符合《四川省财政支出绩效评价管理办法》“第十六条 绩效目标要符合以下要求：细化量化。绩效目标应当从数量、质量、成本、时效以及经济效益、社会效益、生态效益、可持续影响、满意度等方面进行细化，尽量进行定量表述。不能量化表述的，可采用定性表述，但应具有可衡量性。”的规定。</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default" w:ascii="Times New Roman" w:hAnsi="Times New Roman" w:eastAsia="仿宋_GB2312" w:cs="Times New Roman"/>
          <w:b/>
          <w:bCs/>
          <w:color w:val="000000"/>
          <w:kern w:val="0"/>
          <w:sz w:val="24"/>
          <w:szCs w:val="24"/>
          <w:highlight w:val="none"/>
          <w:lang w:val="en-US" w:eastAsia="zh-CN" w:bidi="ar"/>
        </w:rPr>
        <w:t>表8</w:t>
      </w:r>
      <w:r>
        <w:rPr>
          <w:rFonts w:hint="eastAsia" w:eastAsia="仿宋_GB2312" w:cs="Times New Roman"/>
          <w:b/>
          <w:bCs/>
          <w:color w:val="000000"/>
          <w:kern w:val="0"/>
          <w:sz w:val="24"/>
          <w:szCs w:val="24"/>
          <w:highlight w:val="none"/>
          <w:lang w:val="en-US" w:eastAsia="zh-CN" w:bidi="ar"/>
        </w:rPr>
        <w:t xml:space="preserve"> </w:t>
      </w:r>
      <w:r>
        <w:rPr>
          <w:rFonts w:hint="default" w:ascii="Times New Roman" w:hAnsi="Times New Roman" w:eastAsia="仿宋_GB2312" w:cs="Times New Roman"/>
          <w:b/>
          <w:bCs/>
          <w:color w:val="000000"/>
          <w:kern w:val="0"/>
          <w:sz w:val="24"/>
          <w:szCs w:val="24"/>
          <w:highlight w:val="none"/>
          <w:lang w:val="en-US" w:eastAsia="zh-CN" w:bidi="ar"/>
        </w:rPr>
        <w:t xml:space="preserve"> </w:t>
      </w:r>
      <w:r>
        <w:rPr>
          <w:rFonts w:hint="eastAsia" w:eastAsia="仿宋_GB2312" w:cs="Times New Roman"/>
          <w:b/>
          <w:bCs/>
          <w:color w:val="000000"/>
          <w:kern w:val="0"/>
          <w:sz w:val="24"/>
          <w:szCs w:val="24"/>
          <w:highlight w:val="none"/>
          <w:lang w:val="en-US" w:eastAsia="zh-CN" w:bidi="ar"/>
        </w:rPr>
        <w:t>寺庙民管会生活补助</w:t>
      </w:r>
      <w:r>
        <w:rPr>
          <w:rFonts w:hint="default" w:ascii="Times New Roman" w:hAnsi="Times New Roman" w:eastAsia="仿宋_GB2312" w:cs="Times New Roman"/>
          <w:b/>
          <w:bCs/>
          <w:color w:val="000000"/>
          <w:kern w:val="0"/>
          <w:sz w:val="24"/>
          <w:szCs w:val="24"/>
          <w:highlight w:val="none"/>
          <w:lang w:val="en-US" w:eastAsia="zh-CN" w:bidi="ar"/>
        </w:rPr>
        <w:t>绩效目标表</w:t>
      </w:r>
    </w:p>
    <w:tbl>
      <w:tblPr>
        <w:tblStyle w:val="40"/>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5"/>
        <w:gridCol w:w="2067"/>
        <w:gridCol w:w="1866"/>
        <w:gridCol w:w="2127"/>
        <w:gridCol w:w="16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36" w:type="pct"/>
            <w:tcBorders>
              <w:top w:val="single" w:color="000000" w:sz="4" w:space="0"/>
              <w:left w:val="single" w:color="000000" w:sz="4" w:space="0"/>
              <w:bottom w:val="single" w:color="auto"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一级</w:t>
            </w:r>
          </w:p>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指标</w:t>
            </w:r>
          </w:p>
        </w:tc>
        <w:tc>
          <w:tcPr>
            <w:tcW w:w="1148"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二级指标</w:t>
            </w:r>
          </w:p>
        </w:tc>
        <w:tc>
          <w:tcPr>
            <w:tcW w:w="1037"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三级指标</w:t>
            </w:r>
          </w:p>
        </w:tc>
        <w:tc>
          <w:tcPr>
            <w:tcW w:w="1182"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指标值（数字表述）</w:t>
            </w:r>
          </w:p>
        </w:tc>
        <w:tc>
          <w:tcPr>
            <w:tcW w:w="895"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全年实际完成值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73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1"/>
                <w:szCs w:val="21"/>
                <w:highlight w:val="none"/>
                <w:lang w:val="en-US" w:eastAsia="zh-CN" w:bidi="ar"/>
              </w:rPr>
            </w:pPr>
            <w:r>
              <w:rPr>
                <w:rFonts w:hint="eastAsia" w:ascii="Times New Roman" w:hAnsi="Times New Roman" w:eastAsia="仿宋_GB2312" w:cs="Times New Roman"/>
                <w:color w:val="000000"/>
                <w:kern w:val="0"/>
                <w:sz w:val="21"/>
                <w:szCs w:val="21"/>
                <w:highlight w:val="none"/>
                <w:lang w:val="en-US" w:eastAsia="zh-CN" w:bidi="ar"/>
              </w:rPr>
              <w:t>满意度指标</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1"/>
                <w:szCs w:val="21"/>
                <w:highlight w:val="none"/>
                <w:lang w:val="en-US" w:eastAsia="zh-CN" w:bidi="ar"/>
              </w:rPr>
            </w:pPr>
            <w:r>
              <w:rPr>
                <w:rFonts w:hint="eastAsia" w:ascii="Times New Roman" w:hAnsi="Times New Roman" w:eastAsia="仿宋_GB2312" w:cs="Times New Roman"/>
                <w:color w:val="000000"/>
                <w:kern w:val="0"/>
                <w:sz w:val="21"/>
                <w:szCs w:val="21"/>
                <w:highlight w:val="none"/>
                <w:lang w:val="en-US" w:eastAsia="zh-CN" w:bidi="ar"/>
              </w:rPr>
              <w:t>服务对象满意度指标</w:t>
            </w:r>
          </w:p>
        </w:tc>
        <w:tc>
          <w:tcPr>
            <w:tcW w:w="103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1"/>
                <w:szCs w:val="21"/>
                <w:highlight w:val="none"/>
                <w:lang w:val="en-US" w:eastAsia="zh-CN" w:bidi="ar"/>
              </w:rPr>
            </w:pPr>
            <w:r>
              <w:rPr>
                <w:rFonts w:hint="eastAsia" w:ascii="Times New Roman" w:hAnsi="Times New Roman" w:eastAsia="仿宋_GB2312" w:cs="Times New Roman"/>
                <w:color w:val="000000"/>
                <w:kern w:val="0"/>
                <w:sz w:val="21"/>
                <w:szCs w:val="21"/>
                <w:highlight w:val="none"/>
                <w:lang w:val="en-US" w:eastAsia="zh-CN" w:bidi="ar"/>
              </w:rPr>
              <w:t>服务对象满意度</w:t>
            </w:r>
          </w:p>
        </w:tc>
        <w:tc>
          <w:tcPr>
            <w:tcW w:w="11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≥90</w:t>
            </w:r>
            <w:r>
              <w:rPr>
                <w:rFonts w:hint="eastAsia" w:ascii="Times New Roman" w:hAnsi="Times New Roman" w:eastAsia="仿宋_GB2312" w:cs="Times New Roman"/>
                <w:color w:val="000000"/>
                <w:kern w:val="0"/>
                <w:sz w:val="21"/>
                <w:szCs w:val="21"/>
                <w:highlight w:val="none"/>
                <w:lang w:val="en-US" w:eastAsia="zh-CN" w:bidi="ar"/>
              </w:rPr>
              <w:t>%</w:t>
            </w:r>
          </w:p>
        </w:tc>
        <w:tc>
          <w:tcPr>
            <w:tcW w:w="8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≥90</w:t>
            </w:r>
            <w:r>
              <w:rPr>
                <w:rFonts w:hint="eastAsia" w:ascii="Times New Roman" w:hAnsi="Times New Roman" w:eastAsia="仿宋_GB2312" w:cs="Times New Roman"/>
                <w:color w:val="000000"/>
                <w:kern w:val="0"/>
                <w:sz w:val="21"/>
                <w:szCs w:val="21"/>
                <w:highlight w:val="none"/>
                <w:lang w:val="en-US" w:eastAsia="zh-CN" w:bidi="ar"/>
              </w:rPr>
              <w:t>%</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yellow"/>
          <w:lang w:val="en-US" w:eastAsia="zh-CN" w:bidi="ar"/>
        </w:rPr>
      </w:pPr>
      <w:r>
        <w:rPr>
          <w:rFonts w:hint="eastAsia" w:eastAsia="仿宋_GB2312" w:cs="Times New Roman"/>
          <w:color w:val="000000"/>
          <w:kern w:val="0"/>
          <w:sz w:val="32"/>
          <w:szCs w:val="32"/>
          <w:highlight w:val="none"/>
          <w:lang w:val="en-US" w:eastAsia="zh-CN" w:bidi="ar"/>
        </w:rPr>
        <w:t>综上所述，根据阿坝县民族宗教局</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预算项目支出绩效目标设置情况</w:t>
      </w:r>
      <w:r>
        <w:rPr>
          <w:rFonts w:hint="eastAsia" w:eastAsia="仿宋_GB2312" w:cs="Times New Roman"/>
          <w:color w:val="auto"/>
          <w:kern w:val="0"/>
          <w:sz w:val="32"/>
          <w:szCs w:val="32"/>
          <w:highlight w:val="none"/>
          <w:shd w:val="clear" w:color="auto" w:fill="FFFFFF"/>
          <w:lang w:val="en-US" w:eastAsia="zh-CN" w:bidi="ar-SA"/>
        </w:rPr>
        <w:t>，指标得分为1分</w:t>
      </w:r>
      <w:r>
        <w:rPr>
          <w:rFonts w:hint="eastAsia"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kern w:val="0"/>
          <w:sz w:val="32"/>
          <w:szCs w:val="32"/>
          <w:highlight w:val="none"/>
          <w:shd w:val="clear" w:color="auto" w:fill="FFFFFF"/>
          <w:lang w:val="en-US" w:eastAsia="zh-CN"/>
        </w:rPr>
        <w:t>——目标实现指标分析（权重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b/>
          <w:bCs/>
          <w:color w:val="auto"/>
          <w:kern w:val="0"/>
          <w:sz w:val="24"/>
          <w:szCs w:val="24"/>
          <w:highlight w:val="none"/>
          <w:lang w:val="en-US" w:eastAsia="zh-CN" w:bidi="ar"/>
        </w:rPr>
      </w:pPr>
      <w:r>
        <w:rPr>
          <w:rFonts w:hint="eastAsia" w:eastAsia="仿宋_GB2312" w:cs="Times New Roman"/>
          <w:color w:val="000000"/>
          <w:kern w:val="0"/>
          <w:sz w:val="32"/>
          <w:szCs w:val="32"/>
          <w:highlight w:val="none"/>
          <w:lang w:val="en-US" w:eastAsia="zh-CN" w:bidi="ar"/>
        </w:rPr>
        <w:t>2022年阿坝县民族宗教局编制部门整体绩效目标共计1个，目标实现程度如下：</w:t>
      </w:r>
    </w:p>
    <w:p>
      <w:pPr>
        <w:pStyle w:val="24"/>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b/>
          <w:bCs/>
          <w:color w:val="auto"/>
          <w:kern w:val="0"/>
          <w:sz w:val="24"/>
          <w:szCs w:val="24"/>
          <w:highlight w:val="none"/>
          <w:lang w:val="en-US" w:eastAsia="zh-CN" w:bidi="ar"/>
        </w:rPr>
        <w:t>表9  2022</w:t>
      </w:r>
      <w:r>
        <w:rPr>
          <w:rFonts w:hint="default" w:ascii="Times New Roman" w:hAnsi="Times New Roman" w:eastAsia="仿宋_GB2312" w:cs="Times New Roman"/>
          <w:b/>
          <w:bCs/>
          <w:color w:val="auto"/>
          <w:kern w:val="0"/>
          <w:sz w:val="24"/>
          <w:szCs w:val="24"/>
          <w:highlight w:val="none"/>
          <w:lang w:val="en-US" w:eastAsia="zh-CN" w:bidi="ar"/>
        </w:rPr>
        <w:t>年</w:t>
      </w:r>
      <w:r>
        <w:rPr>
          <w:rFonts w:hint="eastAsia" w:eastAsia="仿宋_GB2312" w:cs="Times New Roman"/>
          <w:b/>
          <w:bCs/>
          <w:color w:val="auto"/>
          <w:kern w:val="0"/>
          <w:sz w:val="24"/>
          <w:szCs w:val="24"/>
          <w:highlight w:val="none"/>
          <w:lang w:val="en-US" w:eastAsia="zh-CN" w:bidi="ar"/>
        </w:rPr>
        <w:t>预算项目绩效目标</w:t>
      </w:r>
      <w:r>
        <w:rPr>
          <w:rFonts w:hint="default" w:ascii="Times New Roman" w:hAnsi="Times New Roman" w:eastAsia="仿宋_GB2312" w:cs="Times New Roman"/>
          <w:b/>
          <w:bCs/>
          <w:color w:val="auto"/>
          <w:kern w:val="0"/>
          <w:sz w:val="24"/>
          <w:szCs w:val="24"/>
          <w:highlight w:val="none"/>
          <w:lang w:val="en-US" w:eastAsia="zh-CN" w:bidi="ar"/>
        </w:rPr>
        <w:t>完成情况统计表</w:t>
      </w:r>
    </w:p>
    <w:tbl>
      <w:tblPr>
        <w:tblStyle w:val="40"/>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3"/>
        <w:gridCol w:w="1550"/>
        <w:gridCol w:w="2106"/>
        <w:gridCol w:w="1854"/>
        <w:gridCol w:w="1782"/>
        <w:gridCol w:w="11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blHeader/>
          <w:jc w:val="center"/>
        </w:trPr>
        <w:tc>
          <w:tcPr>
            <w:tcW w:w="335" w:type="pct"/>
            <w:tcBorders>
              <w:top w:val="single" w:color="000000" w:sz="4" w:space="0"/>
              <w:left w:val="single" w:color="auto" w:sz="4" w:space="0"/>
              <w:bottom w:val="single" w:color="auto"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1"/>
                <w:szCs w:val="21"/>
                <w:highlight w:val="none"/>
                <w:lang w:val="en-US" w:eastAsia="zh-CN" w:bidi="ar"/>
              </w:rPr>
            </w:pPr>
            <w:r>
              <w:rPr>
                <w:rFonts w:hint="eastAsia" w:eastAsia="仿宋_GB2312" w:cs="Times New Roman"/>
                <w:b/>
                <w:bCs/>
                <w:color w:val="000000"/>
                <w:kern w:val="0"/>
                <w:sz w:val="21"/>
                <w:szCs w:val="21"/>
                <w:highlight w:val="none"/>
                <w:lang w:val="en-US" w:eastAsia="zh-CN" w:bidi="ar"/>
              </w:rPr>
              <w:t>序号</w:t>
            </w:r>
          </w:p>
        </w:tc>
        <w:tc>
          <w:tcPr>
            <w:tcW w:w="861" w:type="pct"/>
            <w:tcBorders>
              <w:top w:val="single" w:color="000000" w:sz="4" w:space="0"/>
              <w:left w:val="single" w:color="auto" w:sz="4" w:space="0"/>
              <w:bottom w:val="single" w:color="auto"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项目名称</w:t>
            </w:r>
          </w:p>
        </w:tc>
        <w:tc>
          <w:tcPr>
            <w:tcW w:w="1170" w:type="pct"/>
            <w:tcBorders>
              <w:top w:val="single" w:color="000000" w:sz="4" w:space="0"/>
              <w:left w:val="single" w:color="000000" w:sz="4" w:space="0"/>
              <w:bottom w:val="single" w:color="auto"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绩效目标名称</w:t>
            </w:r>
          </w:p>
        </w:tc>
        <w:tc>
          <w:tcPr>
            <w:tcW w:w="1030"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指标值</w:t>
            </w:r>
          </w:p>
        </w:tc>
        <w:tc>
          <w:tcPr>
            <w:tcW w:w="990"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实际完成绩效目标</w:t>
            </w:r>
          </w:p>
        </w:tc>
        <w:tc>
          <w:tcPr>
            <w:tcW w:w="612"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目标实现率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2" w:hRule="atLeast"/>
          <w:jc w:val="center"/>
        </w:trPr>
        <w:tc>
          <w:tcPr>
            <w:tcW w:w="3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val="0"/>
                <w:bCs w:val="0"/>
                <w:color w:val="000000"/>
                <w:kern w:val="0"/>
                <w:sz w:val="21"/>
                <w:szCs w:val="21"/>
                <w:highlight w:val="none"/>
                <w:lang w:val="en-US" w:eastAsia="zh-CN" w:bidi="ar"/>
              </w:rPr>
            </w:pPr>
            <w:r>
              <w:rPr>
                <w:rFonts w:hint="eastAsia" w:eastAsia="仿宋_GB2312" w:cs="Times New Roman"/>
                <w:b w:val="0"/>
                <w:bCs w:val="0"/>
                <w:color w:val="000000"/>
                <w:kern w:val="0"/>
                <w:sz w:val="21"/>
                <w:szCs w:val="21"/>
                <w:highlight w:val="none"/>
                <w:lang w:val="en-US" w:eastAsia="zh-CN" w:bidi="ar"/>
              </w:rPr>
              <w:t>1</w:t>
            </w:r>
          </w:p>
        </w:tc>
        <w:tc>
          <w:tcPr>
            <w:tcW w:w="86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val="0"/>
                <w:bCs w:val="0"/>
                <w:color w:val="000000"/>
                <w:kern w:val="0"/>
                <w:sz w:val="21"/>
                <w:szCs w:val="21"/>
                <w:highlight w:val="none"/>
                <w:lang w:val="en-US" w:eastAsia="zh-CN" w:bidi="ar"/>
              </w:rPr>
            </w:pPr>
            <w:r>
              <w:rPr>
                <w:rFonts w:hint="eastAsia" w:eastAsia="仿宋_GB2312" w:cs="Times New Roman"/>
                <w:b w:val="0"/>
                <w:bCs w:val="0"/>
                <w:color w:val="000000"/>
                <w:kern w:val="0"/>
                <w:sz w:val="21"/>
                <w:szCs w:val="21"/>
                <w:highlight w:val="none"/>
                <w:lang w:val="en-US" w:eastAsia="zh-CN" w:bidi="ar"/>
              </w:rPr>
              <w:t>寺庙民管会生活补助</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val="0"/>
                <w:bCs w:val="0"/>
                <w:color w:val="000000"/>
                <w:kern w:val="0"/>
                <w:sz w:val="21"/>
                <w:szCs w:val="21"/>
                <w:highlight w:val="none"/>
                <w:lang w:val="en-US" w:eastAsia="zh-CN" w:bidi="ar"/>
              </w:rPr>
            </w:pPr>
            <w:r>
              <w:rPr>
                <w:rFonts w:hint="eastAsia" w:ascii="Times New Roman" w:hAnsi="Times New Roman" w:eastAsia="仿宋_GB2312" w:cs="Times New Roman"/>
                <w:color w:val="000000"/>
                <w:kern w:val="0"/>
                <w:sz w:val="21"/>
                <w:szCs w:val="21"/>
                <w:highlight w:val="none"/>
                <w:lang w:val="en-US" w:eastAsia="zh-CN" w:bidi="ar"/>
              </w:rPr>
              <w:t>服务对象满意度</w:t>
            </w:r>
          </w:p>
        </w:tc>
        <w:tc>
          <w:tcPr>
            <w:tcW w:w="1030" w:type="pct"/>
            <w:tcBorders>
              <w:top w:val="single" w:color="000000" w:sz="4" w:space="0"/>
              <w:left w:val="single" w:color="auto"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val="0"/>
                <w:bCs w:val="0"/>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≥90</w:t>
            </w:r>
            <w:r>
              <w:rPr>
                <w:rFonts w:hint="eastAsia" w:ascii="Times New Roman" w:hAnsi="Times New Roman" w:eastAsia="仿宋_GB2312" w:cs="Times New Roman"/>
                <w:color w:val="000000"/>
                <w:kern w:val="0"/>
                <w:sz w:val="21"/>
                <w:szCs w:val="21"/>
                <w:highlight w:val="none"/>
                <w:lang w:val="en-US" w:eastAsia="zh-CN" w:bidi="ar"/>
              </w:rPr>
              <w:t>%</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val="0"/>
                <w:bCs w:val="0"/>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≥90</w:t>
            </w:r>
            <w:r>
              <w:rPr>
                <w:rFonts w:hint="eastAsia" w:ascii="Times New Roman" w:hAnsi="Times New Roman" w:eastAsia="仿宋_GB2312" w:cs="Times New Roman"/>
                <w:color w:val="000000"/>
                <w:kern w:val="0"/>
                <w:sz w:val="21"/>
                <w:szCs w:val="21"/>
                <w:highlight w:val="none"/>
                <w:lang w:val="en-US" w:eastAsia="zh-CN" w:bidi="ar"/>
              </w:rPr>
              <w:t>%</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val="0"/>
                <w:bCs w:val="0"/>
                <w:color w:val="000000"/>
                <w:kern w:val="0"/>
                <w:sz w:val="21"/>
                <w:szCs w:val="21"/>
                <w:highlight w:val="none"/>
                <w:lang w:val="en-US" w:eastAsia="zh-CN" w:bidi="ar"/>
              </w:rPr>
            </w:pPr>
            <w:r>
              <w:rPr>
                <w:rFonts w:hint="eastAsia" w:ascii="Times New Roman" w:hAnsi="Times New Roman" w:eastAsia="仿宋_GB2312" w:cs="Times New Roman"/>
                <w:b w:val="0"/>
                <w:bCs w:val="0"/>
                <w:color w:val="000000"/>
                <w:kern w:val="0"/>
                <w:sz w:val="21"/>
                <w:szCs w:val="21"/>
                <w:highlight w:val="none"/>
                <w:lang w:val="en-US" w:eastAsia="zh-CN" w:bidi="ar"/>
              </w:rPr>
              <w:t>100%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综上，</w:t>
      </w:r>
      <w:r>
        <w:rPr>
          <w:rFonts w:hint="eastAsia" w:eastAsia="仿宋_GB2312" w:cs="Times New Roman"/>
          <w:color w:val="000000"/>
          <w:kern w:val="0"/>
          <w:sz w:val="32"/>
          <w:szCs w:val="32"/>
          <w:highlight w:val="none"/>
          <w:lang w:val="en-US" w:eastAsia="zh-CN" w:bidi="ar"/>
        </w:rPr>
        <w:t>阿坝县民族宗教局2022</w:t>
      </w:r>
      <w:r>
        <w:rPr>
          <w:rFonts w:hint="default" w:ascii="Times New Roman" w:hAnsi="Times New Roman" w:eastAsia="仿宋_GB2312" w:cs="Times New Roman"/>
          <w:color w:val="000000"/>
          <w:kern w:val="0"/>
          <w:sz w:val="32"/>
          <w:szCs w:val="32"/>
          <w:highlight w:val="none"/>
          <w:lang w:val="en-US" w:eastAsia="zh-CN" w:bidi="ar"/>
        </w:rPr>
        <w:t>年编制的绩效目标评价实现率为100%，共</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个绩效</w:t>
      </w:r>
      <w:r>
        <w:rPr>
          <w:rFonts w:hint="default" w:ascii="Times New Roman" w:hAnsi="Times New Roman" w:eastAsia="仿宋_GB2312" w:cs="Times New Roman"/>
          <w:color w:val="auto"/>
          <w:kern w:val="0"/>
          <w:sz w:val="32"/>
          <w:szCs w:val="32"/>
          <w:highlight w:val="none"/>
          <w:shd w:val="clear" w:color="auto" w:fill="FFFFFF"/>
          <w:lang w:val="en-US" w:eastAsia="zh-CN" w:bidi="ar-SA"/>
        </w:rPr>
        <w:t>目标</w:t>
      </w:r>
      <w:r>
        <w:rPr>
          <w:rFonts w:hint="default" w:ascii="Times New Roman" w:hAnsi="Times New Roman" w:eastAsia="仿宋_GB2312" w:cs="Times New Roman"/>
          <w:color w:val="000000"/>
          <w:kern w:val="0"/>
          <w:sz w:val="32"/>
          <w:szCs w:val="32"/>
          <w:highlight w:val="none"/>
          <w:lang w:val="en-US" w:eastAsia="zh-CN" w:bidi="ar"/>
        </w:rPr>
        <w:t>达到预期值。该项指标得分=达到预期值的数量指标个数/全部数量指标个数（即评价选取的项目绩效目标包含的所有数量指标）*</w:t>
      </w:r>
      <w:r>
        <w:rPr>
          <w:rFonts w:hint="eastAsia"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个/</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个*</w:t>
      </w:r>
      <w:r>
        <w:rPr>
          <w:rFonts w:hint="eastAsia"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分。</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shd w:val="clear" w:color="auto" w:fill="FFFFFF"/>
          <w:lang w:val="en-US" w:eastAsia="zh-CN"/>
        </w:rPr>
      </w:pPr>
      <w:r>
        <w:rPr>
          <w:rFonts w:hint="default" w:ascii="Times New Roman" w:hAnsi="Times New Roman" w:eastAsia="仿宋_GB2312" w:cs="Times New Roman"/>
          <w:b/>
          <w:bCs/>
          <w:kern w:val="0"/>
          <w:sz w:val="32"/>
          <w:szCs w:val="32"/>
          <w:shd w:val="clear" w:color="auto" w:fill="FFFFFF"/>
          <w:lang w:val="en-US" w:eastAsia="zh-CN"/>
        </w:rPr>
        <w:t>（2）</w:t>
      </w:r>
      <w:r>
        <w:rPr>
          <w:rFonts w:hint="eastAsia" w:eastAsia="仿宋_GB2312" w:cs="Times New Roman"/>
          <w:b/>
          <w:bCs/>
          <w:kern w:val="0"/>
          <w:sz w:val="32"/>
          <w:szCs w:val="32"/>
          <w:shd w:val="clear" w:color="auto" w:fill="FFFFFF"/>
          <w:lang w:val="en-US" w:eastAsia="zh-CN"/>
        </w:rPr>
        <w:t>预算执行</w:t>
      </w:r>
      <w:r>
        <w:rPr>
          <w:rFonts w:hint="default" w:ascii="Times New Roman" w:hAnsi="Times New Roman" w:eastAsia="仿宋_GB2312" w:cs="Times New Roman"/>
          <w:b/>
          <w:bCs/>
          <w:kern w:val="0"/>
          <w:sz w:val="32"/>
          <w:szCs w:val="32"/>
          <w:shd w:val="clear" w:color="auto" w:fill="FFFFFF"/>
          <w:lang w:val="en-US" w:eastAsia="zh-CN"/>
        </w:rPr>
        <w:t>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rPr>
      </w:pPr>
      <w:r>
        <w:rPr>
          <w:rFonts w:hint="default" w:ascii="Times New Roman" w:hAnsi="Times New Roman" w:eastAsia="仿宋_GB2312" w:cs="Times New Roman"/>
          <w:b/>
          <w:bCs/>
          <w:kern w:val="0"/>
          <w:sz w:val="32"/>
          <w:szCs w:val="32"/>
          <w:highlight w:val="none"/>
          <w:shd w:val="clear" w:color="auto" w:fill="FFFFFF"/>
          <w:lang w:val="en-US" w:eastAsia="zh-CN"/>
        </w:rPr>
        <w:t>——支出控制指标分析（权重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分，评价权重得分0分）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被评价单位</w:t>
      </w:r>
      <w:r>
        <w:rPr>
          <w:rFonts w:hint="eastAsia" w:eastAsia="仿宋_GB2312" w:cs="Times New Roman"/>
          <w:color w:val="000000"/>
          <w:kern w:val="0"/>
          <w:sz w:val="32"/>
          <w:szCs w:val="32"/>
          <w:highlight w:val="none"/>
          <w:lang w:val="en-US" w:eastAsia="zh-CN" w:bidi="ar"/>
        </w:rPr>
        <w:t>2022</w:t>
      </w:r>
      <w:r>
        <w:rPr>
          <w:rFonts w:hint="eastAsia" w:ascii="Times New Roman" w:hAnsi="Times New Roman" w:eastAsia="仿宋_GB2312" w:cs="Times New Roman"/>
          <w:color w:val="000000"/>
          <w:kern w:val="0"/>
          <w:sz w:val="32"/>
          <w:szCs w:val="32"/>
          <w:highlight w:val="none"/>
          <w:lang w:val="en-US" w:eastAsia="zh-CN" w:bidi="ar"/>
        </w:rPr>
        <w:t>年预算报表记载，部门日常公用经费、项目支出中的</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办公费、</w:t>
      </w:r>
      <w:r>
        <w:rPr>
          <w:rFonts w:hint="default" w:ascii="Times New Roman" w:hAnsi="Times New Roman" w:eastAsia="仿宋_GB2312" w:cs="Times New Roman"/>
          <w:color w:val="auto"/>
          <w:kern w:val="0"/>
          <w:sz w:val="32"/>
          <w:szCs w:val="32"/>
          <w:highlight w:val="none"/>
          <w:shd w:val="clear" w:color="auto" w:fill="FFFFFF"/>
          <w:lang w:val="en-US" w:eastAsia="zh-CN" w:bidi="ar-SA"/>
        </w:rPr>
        <w:t>印刷费</w:t>
      </w:r>
      <w:r>
        <w:rPr>
          <w:rFonts w:hint="default" w:ascii="Times New Roman" w:hAnsi="Times New Roman" w:eastAsia="仿宋_GB2312" w:cs="Times New Roman"/>
          <w:color w:val="000000"/>
          <w:kern w:val="0"/>
          <w:sz w:val="32"/>
          <w:szCs w:val="32"/>
          <w:highlight w:val="none"/>
          <w:lang w:val="en-US" w:eastAsia="zh-CN" w:bidi="ar"/>
        </w:rPr>
        <w:t>、水费、电费、物业管理费</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年初预算共</w:t>
      </w:r>
      <w:r>
        <w:rPr>
          <w:rFonts w:hint="eastAsia" w:eastAsia="仿宋_GB2312" w:cs="Times New Roman"/>
          <w:color w:val="000000"/>
          <w:kern w:val="0"/>
          <w:sz w:val="32"/>
          <w:szCs w:val="32"/>
          <w:highlight w:val="none"/>
          <w:lang w:val="en-US" w:eastAsia="zh-CN" w:bidi="ar"/>
        </w:rPr>
        <w:t>20.00</w:t>
      </w:r>
      <w:r>
        <w:rPr>
          <w:rFonts w:hint="eastAsia" w:ascii="Times New Roman" w:hAnsi="Times New Roman" w:eastAsia="仿宋_GB2312" w:cs="Times New Roman"/>
          <w:color w:val="000000"/>
          <w:kern w:val="0"/>
          <w:sz w:val="32"/>
          <w:szCs w:val="32"/>
          <w:highlight w:val="none"/>
          <w:lang w:val="en-US" w:eastAsia="zh-CN" w:bidi="ar"/>
        </w:rPr>
        <w:t>万元（其中部门日常公用经费涉及</w:t>
      </w:r>
      <w:r>
        <w:rPr>
          <w:rFonts w:hint="eastAsia" w:eastAsia="仿宋_GB2312" w:cs="Times New Roman"/>
          <w:color w:val="000000"/>
          <w:kern w:val="0"/>
          <w:sz w:val="32"/>
          <w:szCs w:val="32"/>
          <w:highlight w:val="none"/>
          <w:lang w:val="en-US" w:eastAsia="zh-CN" w:bidi="ar"/>
        </w:rPr>
        <w:t>20.00</w:t>
      </w:r>
      <w:r>
        <w:rPr>
          <w:rFonts w:hint="eastAsia" w:ascii="Times New Roman" w:hAnsi="Times New Roman" w:eastAsia="仿宋_GB2312" w:cs="Times New Roman"/>
          <w:color w:val="000000"/>
          <w:kern w:val="0"/>
          <w:sz w:val="32"/>
          <w:szCs w:val="32"/>
          <w:highlight w:val="none"/>
          <w:lang w:val="en-US" w:eastAsia="zh-CN" w:bidi="ar"/>
        </w:rPr>
        <w:t>万元，项目支出涉及</w:t>
      </w:r>
      <w:r>
        <w:rPr>
          <w:rFonts w:hint="eastAsia" w:eastAsia="仿宋_GB2312" w:cs="Times New Roman"/>
          <w:color w:val="000000"/>
          <w:kern w:val="0"/>
          <w:sz w:val="32"/>
          <w:szCs w:val="32"/>
          <w:highlight w:val="none"/>
          <w:lang w:val="en-US" w:eastAsia="zh-CN" w:bidi="ar"/>
        </w:rPr>
        <w:t>0.00</w:t>
      </w:r>
      <w:r>
        <w:rPr>
          <w:rFonts w:hint="eastAsia" w:ascii="Times New Roman" w:hAnsi="Times New Roman" w:eastAsia="仿宋_GB2312" w:cs="Times New Roman"/>
          <w:color w:val="000000"/>
          <w:kern w:val="0"/>
          <w:sz w:val="32"/>
          <w:szCs w:val="32"/>
          <w:highlight w:val="none"/>
          <w:lang w:val="en-US" w:eastAsia="zh-CN" w:bidi="ar"/>
        </w:rPr>
        <w:t>万元），</w:t>
      </w:r>
      <w:r>
        <w:rPr>
          <w:rFonts w:hint="eastAsia" w:eastAsia="仿宋_GB2312" w:cs="Times New Roman"/>
          <w:color w:val="000000"/>
          <w:kern w:val="0"/>
          <w:sz w:val="32"/>
          <w:szCs w:val="32"/>
          <w:highlight w:val="none"/>
          <w:lang w:val="en-US" w:eastAsia="zh-CN" w:bidi="ar"/>
        </w:rPr>
        <w:t>2022</w:t>
      </w:r>
      <w:r>
        <w:rPr>
          <w:rFonts w:hint="eastAsia" w:ascii="Times New Roman" w:hAnsi="Times New Roman" w:eastAsia="仿宋_GB2312" w:cs="Times New Roman"/>
          <w:color w:val="000000"/>
          <w:kern w:val="0"/>
          <w:sz w:val="32"/>
          <w:szCs w:val="32"/>
          <w:highlight w:val="none"/>
          <w:lang w:val="en-US" w:eastAsia="zh-CN" w:bidi="ar"/>
        </w:rPr>
        <w:t>年部门决算报表记载，部门日常公用经费</w:t>
      </w:r>
      <w:r>
        <w:rPr>
          <w:rFonts w:hint="default" w:ascii="Times New Roman" w:hAnsi="Times New Roman" w:eastAsia="仿宋_GB2312" w:cs="Times New Roman"/>
          <w:color w:val="000000"/>
          <w:kern w:val="0"/>
          <w:sz w:val="32"/>
          <w:szCs w:val="32"/>
          <w:highlight w:val="none"/>
          <w:lang w:val="en-US" w:eastAsia="zh-CN" w:bidi="ar"/>
        </w:rPr>
        <w:t>、项目支出中</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办公费、印刷费、水费、电费、物业管理费</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等科目支出数共</w:t>
      </w:r>
      <w:r>
        <w:rPr>
          <w:rFonts w:hint="eastAsia" w:eastAsia="仿宋_GB2312" w:cs="Times New Roman"/>
          <w:color w:val="000000"/>
          <w:kern w:val="0"/>
          <w:sz w:val="32"/>
          <w:szCs w:val="32"/>
          <w:highlight w:val="none"/>
          <w:lang w:val="en-US" w:eastAsia="zh-CN" w:bidi="ar"/>
        </w:rPr>
        <w:t>35.48</w:t>
      </w:r>
      <w:r>
        <w:rPr>
          <w:rFonts w:hint="eastAsia" w:ascii="Times New Roman" w:hAnsi="Times New Roman" w:eastAsia="仿宋_GB2312" w:cs="Times New Roman"/>
          <w:color w:val="000000"/>
          <w:kern w:val="0"/>
          <w:sz w:val="32"/>
          <w:szCs w:val="32"/>
          <w:highlight w:val="none"/>
          <w:lang w:val="en-US" w:eastAsia="zh-CN" w:bidi="ar"/>
        </w:rPr>
        <w:t>万元（其中部门日常公用经费涉及</w:t>
      </w:r>
      <w:r>
        <w:rPr>
          <w:rFonts w:hint="eastAsia" w:eastAsia="仿宋_GB2312" w:cs="Times New Roman"/>
          <w:color w:val="000000"/>
          <w:kern w:val="0"/>
          <w:sz w:val="32"/>
          <w:szCs w:val="32"/>
          <w:highlight w:val="none"/>
          <w:lang w:val="en-US" w:eastAsia="zh-CN" w:bidi="ar"/>
        </w:rPr>
        <w:t>27.48</w:t>
      </w:r>
      <w:r>
        <w:rPr>
          <w:rFonts w:hint="eastAsia" w:ascii="Times New Roman" w:hAnsi="Times New Roman" w:eastAsia="仿宋_GB2312" w:cs="Times New Roman"/>
          <w:color w:val="000000"/>
          <w:kern w:val="0"/>
          <w:sz w:val="32"/>
          <w:szCs w:val="32"/>
          <w:highlight w:val="none"/>
          <w:lang w:val="en-US" w:eastAsia="zh-CN" w:bidi="ar"/>
        </w:rPr>
        <w:t>万元，项目支出涉及</w:t>
      </w:r>
      <w:r>
        <w:rPr>
          <w:rFonts w:hint="eastAsia" w:eastAsia="仿宋_GB2312" w:cs="Times New Roman"/>
          <w:color w:val="000000"/>
          <w:kern w:val="0"/>
          <w:sz w:val="32"/>
          <w:szCs w:val="32"/>
          <w:highlight w:val="none"/>
          <w:lang w:val="en-US" w:eastAsia="zh-CN" w:bidi="ar"/>
        </w:rPr>
        <w:t>8.00</w:t>
      </w:r>
      <w:r>
        <w:rPr>
          <w:rFonts w:hint="eastAsia" w:ascii="Times New Roman" w:hAnsi="Times New Roman" w:eastAsia="仿宋_GB2312" w:cs="Times New Roman"/>
          <w:color w:val="000000"/>
          <w:kern w:val="0"/>
          <w:sz w:val="32"/>
          <w:szCs w:val="32"/>
          <w:highlight w:val="none"/>
          <w:lang w:val="en-US" w:eastAsia="zh-CN" w:bidi="ar"/>
        </w:rPr>
        <w:t>万元），</w:t>
      </w:r>
      <w:r>
        <w:rPr>
          <w:rFonts w:hint="default" w:ascii="Times New Roman" w:hAnsi="Times New Roman" w:eastAsia="仿宋_GB2312" w:cs="Times New Roman"/>
          <w:color w:val="000000"/>
          <w:kern w:val="0"/>
          <w:sz w:val="32"/>
          <w:szCs w:val="32"/>
          <w:highlight w:val="none"/>
          <w:lang w:val="en-US" w:eastAsia="zh-CN" w:bidi="ar"/>
        </w:rPr>
        <w:t>预决算偏差程度=（</w:t>
      </w:r>
      <w:r>
        <w:rPr>
          <w:rFonts w:hint="eastAsia" w:eastAsia="仿宋_GB2312" w:cs="Times New Roman"/>
          <w:color w:val="000000"/>
          <w:kern w:val="0"/>
          <w:sz w:val="32"/>
          <w:szCs w:val="32"/>
          <w:highlight w:val="none"/>
          <w:lang w:val="en-US" w:eastAsia="zh-CN" w:bidi="ar"/>
        </w:rPr>
        <w:t>35.48</w:t>
      </w:r>
      <w:r>
        <w:rPr>
          <w:rFonts w:hint="eastAsia" w:ascii="Times New Roman" w:hAnsi="Times New Roman" w:eastAsia="仿宋_GB2312" w:cs="Times New Roman"/>
          <w:color w:val="000000"/>
          <w:kern w:val="0"/>
          <w:sz w:val="32"/>
          <w:szCs w:val="32"/>
          <w:highlight w:val="none"/>
          <w:lang w:val="en-US" w:eastAsia="zh-CN" w:bidi="ar"/>
        </w:rPr>
        <w:t>万元</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20</w:t>
      </w:r>
      <w:r>
        <w:rPr>
          <w:rFonts w:hint="eastAsia" w:ascii="Times New Roman" w:hAnsi="Times New Roman" w:eastAsia="仿宋_GB2312" w:cs="Times New Roman"/>
          <w:color w:val="000000"/>
          <w:kern w:val="0"/>
          <w:sz w:val="32"/>
          <w:szCs w:val="32"/>
          <w:highlight w:val="none"/>
          <w:lang w:val="en-US" w:eastAsia="zh-CN" w:bidi="ar"/>
        </w:rPr>
        <w:t>万元</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20.00</w:t>
      </w:r>
      <w:r>
        <w:rPr>
          <w:rFonts w:hint="eastAsia" w:ascii="Times New Roman" w:hAnsi="Times New Roman" w:eastAsia="仿宋_GB2312" w:cs="Times New Roman"/>
          <w:color w:val="000000"/>
          <w:kern w:val="0"/>
          <w:sz w:val="32"/>
          <w:szCs w:val="32"/>
          <w:highlight w:val="none"/>
          <w:lang w:val="en-US" w:eastAsia="zh-CN" w:bidi="ar"/>
        </w:rPr>
        <w:t>万元</w:t>
      </w:r>
      <w:r>
        <w:rPr>
          <w:rFonts w:hint="default" w:ascii="Times New Roman" w:hAnsi="Times New Roman" w:eastAsia="仿宋_GB2312" w:cs="Times New Roman"/>
          <w:color w:val="000000"/>
          <w:kern w:val="0"/>
          <w:sz w:val="32"/>
          <w:szCs w:val="32"/>
          <w:highlight w:val="none"/>
          <w:lang w:val="en-US" w:eastAsia="zh-CN" w:bidi="ar"/>
        </w:rPr>
        <w:t>×100%=</w:t>
      </w:r>
      <w:r>
        <w:rPr>
          <w:rFonts w:hint="eastAsia" w:eastAsia="仿宋_GB2312" w:cs="Times New Roman"/>
          <w:color w:val="000000"/>
          <w:kern w:val="0"/>
          <w:sz w:val="32"/>
          <w:szCs w:val="32"/>
          <w:highlight w:val="none"/>
          <w:lang w:val="en-US" w:eastAsia="zh-CN" w:bidi="ar"/>
        </w:rPr>
        <w:t>77.40</w:t>
      </w:r>
      <w:r>
        <w:rPr>
          <w:rFonts w:hint="default" w:ascii="Times New Roman" w:hAnsi="Times New Roman" w:eastAsia="仿宋_GB2312" w:cs="Times New Roman"/>
          <w:color w:val="000000"/>
          <w:kern w:val="0"/>
          <w:sz w:val="32"/>
          <w:szCs w:val="32"/>
          <w:highlight w:val="none"/>
          <w:lang w:val="en-US" w:eastAsia="zh-CN" w:bidi="ar"/>
        </w:rPr>
        <w:t>%。预决算偏差度超过20%</w:t>
      </w:r>
      <w:r>
        <w:rPr>
          <w:rFonts w:hint="eastAsia"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不得分。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——执行进度指标分析（权重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被评价单位</w:t>
      </w:r>
      <w:r>
        <w:rPr>
          <w:rFonts w:hint="eastAsia" w:eastAsia="仿宋_GB2312" w:cs="Times New Roman"/>
          <w:color w:val="000000"/>
          <w:kern w:val="0"/>
          <w:sz w:val="32"/>
          <w:szCs w:val="32"/>
          <w:highlight w:val="none"/>
          <w:lang w:val="en-US" w:eastAsia="zh-CN" w:bidi="ar"/>
        </w:rPr>
        <w:t>2022</w:t>
      </w:r>
      <w:r>
        <w:rPr>
          <w:rFonts w:hint="default" w:ascii="Times New Roman" w:hAnsi="Times New Roman" w:eastAsia="仿宋_GB2312" w:cs="Times New Roman"/>
          <w:color w:val="000000"/>
          <w:kern w:val="0"/>
          <w:sz w:val="32"/>
          <w:szCs w:val="32"/>
          <w:highlight w:val="none"/>
          <w:lang w:val="en-US" w:eastAsia="zh-CN" w:bidi="ar"/>
        </w:rPr>
        <w:t>年1-6月部门预算序时进度=</w:t>
      </w:r>
      <w:r>
        <w:rPr>
          <w:rFonts w:hint="eastAsia" w:eastAsia="仿宋_GB2312" w:cs="Times New Roman"/>
          <w:color w:val="000000"/>
          <w:kern w:val="0"/>
          <w:sz w:val="32"/>
          <w:szCs w:val="32"/>
          <w:highlight w:val="none"/>
          <w:lang w:val="en-US" w:eastAsia="zh-CN" w:bidi="ar"/>
        </w:rPr>
        <w:t>606.02/609.24</w:t>
      </w:r>
      <w:r>
        <w:rPr>
          <w:rFonts w:hint="default" w:ascii="Times New Roman" w:hAnsi="Times New Roman" w:eastAsia="仿宋_GB2312" w:cs="Times New Roman"/>
          <w:color w:val="000000"/>
          <w:kern w:val="0"/>
          <w:sz w:val="32"/>
          <w:szCs w:val="32"/>
          <w:highlight w:val="none"/>
          <w:lang w:val="en-US" w:eastAsia="zh-CN" w:bidi="ar"/>
        </w:rPr>
        <w:t>万元*100%</w:t>
      </w:r>
      <w:r>
        <w:rPr>
          <w:rFonts w:hint="eastAsia" w:eastAsia="仿宋_GB2312" w:cs="Times New Roman"/>
          <w:color w:val="000000"/>
          <w:kern w:val="0"/>
          <w:sz w:val="32"/>
          <w:szCs w:val="32"/>
          <w:highlight w:val="none"/>
          <w:lang w:val="en-US" w:eastAsia="zh-CN" w:bidi="ar"/>
        </w:rPr>
        <w:t>=99.47%</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达到目标进度的</w:t>
      </w:r>
      <w:r>
        <w:rPr>
          <w:rFonts w:hint="default" w:ascii="Times New Roman" w:hAnsi="Times New Roman" w:eastAsia="仿宋_GB2312" w:cs="Times New Roman"/>
          <w:color w:val="000000"/>
          <w:kern w:val="0"/>
          <w:sz w:val="32"/>
          <w:szCs w:val="32"/>
          <w:highlight w:val="none"/>
          <w:lang w:val="en-US" w:eastAsia="zh-CN" w:bidi="ar"/>
        </w:rPr>
        <w:t>80%</w:t>
      </w:r>
      <w:r>
        <w:rPr>
          <w:rFonts w:hint="eastAsia" w:eastAsia="仿宋_GB2312" w:cs="Times New Roman"/>
          <w:color w:val="000000"/>
          <w:kern w:val="0"/>
          <w:sz w:val="32"/>
          <w:szCs w:val="32"/>
          <w:highlight w:val="none"/>
          <w:lang w:val="en-US" w:eastAsia="zh-CN" w:bidi="ar"/>
        </w:rPr>
        <w:t>，得分2分</w:t>
      </w:r>
      <w:r>
        <w:rPr>
          <w:rFonts w:hint="default" w:ascii="Times New Roman" w:hAnsi="Times New Roman" w:eastAsia="仿宋_GB2312" w:cs="Times New Roman"/>
          <w:color w:val="000000"/>
          <w:kern w:val="0"/>
          <w:sz w:val="32"/>
          <w:szCs w:val="32"/>
          <w:highlight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2022</w:t>
      </w:r>
      <w:r>
        <w:rPr>
          <w:rFonts w:hint="default" w:ascii="Times New Roman" w:hAnsi="Times New Roman" w:eastAsia="仿宋_GB2312" w:cs="Times New Roman"/>
          <w:color w:val="000000"/>
          <w:kern w:val="0"/>
          <w:sz w:val="32"/>
          <w:szCs w:val="32"/>
          <w:highlight w:val="none"/>
          <w:lang w:val="en-US" w:eastAsia="zh-CN" w:bidi="ar"/>
        </w:rPr>
        <w:t>年1-9月部门预算序时进度=</w:t>
      </w:r>
      <w:r>
        <w:rPr>
          <w:rFonts w:hint="eastAsia" w:eastAsia="仿宋_GB2312" w:cs="Times New Roman"/>
          <w:color w:val="000000"/>
          <w:kern w:val="0"/>
          <w:sz w:val="32"/>
          <w:szCs w:val="32"/>
          <w:highlight w:val="none"/>
          <w:lang w:val="en-US" w:eastAsia="zh-CN" w:bidi="ar"/>
        </w:rPr>
        <w:t>621.52/639.74</w:t>
      </w:r>
      <w:r>
        <w:rPr>
          <w:rFonts w:hint="default" w:ascii="Times New Roman" w:hAnsi="Times New Roman" w:eastAsia="仿宋_GB2312" w:cs="Times New Roman"/>
          <w:color w:val="000000"/>
          <w:kern w:val="0"/>
          <w:sz w:val="32"/>
          <w:szCs w:val="32"/>
          <w:highlight w:val="none"/>
          <w:lang w:val="en-US" w:eastAsia="zh-CN" w:bidi="ar"/>
        </w:rPr>
        <w:t>万元*100%</w:t>
      </w:r>
      <w:r>
        <w:rPr>
          <w:rFonts w:hint="eastAsia" w:eastAsia="仿宋_GB2312" w:cs="Times New Roman"/>
          <w:color w:val="000000"/>
          <w:kern w:val="0"/>
          <w:sz w:val="32"/>
          <w:szCs w:val="32"/>
          <w:highlight w:val="none"/>
          <w:lang w:val="en-US" w:eastAsia="zh-CN" w:bidi="ar"/>
        </w:rPr>
        <w:t>=97.15</w:t>
      </w:r>
      <w:r>
        <w:rPr>
          <w:rFonts w:hint="eastAsia"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达到目标进度的</w:t>
      </w:r>
      <w:r>
        <w:rPr>
          <w:rFonts w:hint="eastAsia" w:ascii="Times New Roman" w:hAnsi="Times New Roman" w:eastAsia="仿宋_GB2312" w:cs="Times New Roman"/>
          <w:color w:val="000000"/>
          <w:kern w:val="0"/>
          <w:sz w:val="32"/>
          <w:szCs w:val="32"/>
          <w:highlight w:val="none"/>
          <w:lang w:val="en-US" w:eastAsia="zh-CN" w:bidi="ar"/>
        </w:rPr>
        <w:t>9</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，得分2分</w:t>
      </w:r>
      <w:r>
        <w:rPr>
          <w:rFonts w:hint="default" w:ascii="Times New Roman" w:hAnsi="Times New Roman" w:eastAsia="仿宋_GB2312" w:cs="Times New Roman"/>
          <w:color w:val="000000"/>
          <w:kern w:val="0"/>
          <w:sz w:val="32"/>
          <w:szCs w:val="32"/>
          <w:highlight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2022</w:t>
      </w:r>
      <w:r>
        <w:rPr>
          <w:rFonts w:hint="default" w:ascii="Times New Roman" w:hAnsi="Times New Roman" w:eastAsia="仿宋_GB2312" w:cs="Times New Roman"/>
          <w:color w:val="000000"/>
          <w:kern w:val="0"/>
          <w:sz w:val="32"/>
          <w:szCs w:val="32"/>
          <w:highlight w:val="none"/>
          <w:lang w:val="en-US" w:eastAsia="zh-CN" w:bidi="ar"/>
        </w:rPr>
        <w:t>年1-11月部门预算序时进度=</w:t>
      </w:r>
      <w:r>
        <w:rPr>
          <w:rFonts w:hint="eastAsia" w:eastAsia="仿宋_GB2312" w:cs="Times New Roman"/>
          <w:color w:val="000000"/>
          <w:kern w:val="0"/>
          <w:sz w:val="32"/>
          <w:szCs w:val="32"/>
          <w:highlight w:val="none"/>
          <w:lang w:val="en-US" w:eastAsia="zh-CN" w:bidi="ar"/>
        </w:rPr>
        <w:t>661.44万元/679.77</w:t>
      </w:r>
      <w:r>
        <w:rPr>
          <w:rFonts w:hint="default" w:ascii="Times New Roman" w:hAnsi="Times New Roman" w:eastAsia="仿宋_GB2312" w:cs="Times New Roman"/>
          <w:color w:val="000000"/>
          <w:kern w:val="0"/>
          <w:sz w:val="32"/>
          <w:szCs w:val="32"/>
          <w:highlight w:val="none"/>
          <w:lang w:val="en-US" w:eastAsia="zh-CN" w:bidi="ar"/>
        </w:rPr>
        <w:t>万元*100%</w:t>
      </w:r>
      <w:r>
        <w:rPr>
          <w:rFonts w:hint="eastAsia" w:eastAsia="仿宋_GB2312" w:cs="Times New Roman"/>
          <w:color w:val="000000"/>
          <w:kern w:val="0"/>
          <w:sz w:val="32"/>
          <w:szCs w:val="32"/>
          <w:highlight w:val="none"/>
          <w:lang w:val="en-US" w:eastAsia="zh-CN" w:bidi="ar"/>
        </w:rPr>
        <w:t>=97.30</w:t>
      </w:r>
      <w:r>
        <w:rPr>
          <w:rFonts w:hint="eastAsia"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达到目标进度的</w:t>
      </w:r>
      <w:r>
        <w:rPr>
          <w:rFonts w:hint="eastAsia" w:ascii="Times New Roman" w:hAnsi="Times New Roman" w:eastAsia="仿宋_GB2312" w:cs="Times New Roman"/>
          <w:color w:val="000000"/>
          <w:kern w:val="0"/>
          <w:sz w:val="32"/>
          <w:szCs w:val="32"/>
          <w:highlight w:val="none"/>
          <w:lang w:val="en-US" w:eastAsia="zh-CN" w:bidi="ar"/>
        </w:rPr>
        <w:t>9</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，得分2分。</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最终指标</w:t>
      </w:r>
      <w:r>
        <w:rPr>
          <w:rFonts w:hint="default" w:ascii="Times New Roman" w:hAnsi="Times New Roman" w:eastAsia="仿宋_GB2312" w:cs="Times New Roman"/>
          <w:color w:val="000000"/>
          <w:kern w:val="0"/>
          <w:sz w:val="32"/>
          <w:szCs w:val="32"/>
          <w:highlight w:val="none"/>
          <w:lang w:val="en-US" w:eastAsia="zh-CN" w:bidi="ar"/>
        </w:rPr>
        <w:t>得分</w:t>
      </w:r>
      <w:r>
        <w:rPr>
          <w:rFonts w:hint="eastAsia" w:eastAsia="仿宋_GB2312" w:cs="Times New Roman"/>
          <w:color w:val="000000"/>
          <w:kern w:val="0"/>
          <w:sz w:val="32"/>
          <w:szCs w:val="32"/>
          <w:highlight w:val="none"/>
          <w:lang w:val="en-US" w:eastAsia="zh-CN" w:bidi="ar"/>
        </w:rPr>
        <w:t>=2+2+2=6</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shd w:val="clear" w:color="auto" w:fill="FFFFFF"/>
          <w:lang w:val="en-US" w:eastAsia="zh-CN"/>
        </w:rPr>
      </w:pPr>
      <w:r>
        <w:rPr>
          <w:rFonts w:hint="default" w:ascii="Times New Roman" w:hAnsi="Times New Roman" w:eastAsia="仿宋_GB2312" w:cs="Times New Roman"/>
          <w:b/>
          <w:bCs/>
          <w:kern w:val="0"/>
          <w:sz w:val="32"/>
          <w:szCs w:val="32"/>
          <w:shd w:val="clear" w:color="auto" w:fill="FFFFFF"/>
          <w:lang w:val="en-US" w:eastAsia="zh-CN"/>
        </w:rPr>
        <w:t>（3）完成结果情况</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预算完成</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7.59</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被评价单位2022年部门预算项目共11个，截至2022年12月31日部门预算项目预算执行进度如下表：</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eastAsia"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b/>
          <w:bCs/>
          <w:color w:val="auto"/>
          <w:kern w:val="0"/>
          <w:sz w:val="24"/>
          <w:szCs w:val="24"/>
          <w:highlight w:val="none"/>
          <w:lang w:val="en-US" w:eastAsia="zh-CN" w:bidi="ar"/>
        </w:rPr>
        <w:t>表</w:t>
      </w:r>
      <w:r>
        <w:rPr>
          <w:rFonts w:hint="eastAsia" w:eastAsia="仿宋_GB2312" w:cs="Times New Roman"/>
          <w:b/>
          <w:bCs/>
          <w:color w:val="auto"/>
          <w:kern w:val="0"/>
          <w:sz w:val="24"/>
          <w:szCs w:val="24"/>
          <w:highlight w:val="none"/>
          <w:lang w:val="en-US" w:eastAsia="zh-CN" w:bidi="ar"/>
        </w:rPr>
        <w:t>10</w:t>
      </w:r>
      <w:r>
        <w:rPr>
          <w:rFonts w:hint="eastAsia" w:ascii="Times New Roman" w:hAnsi="Times New Roman" w:eastAsia="仿宋_GB2312" w:cs="Times New Roman"/>
          <w:b/>
          <w:bCs/>
          <w:color w:val="auto"/>
          <w:kern w:val="0"/>
          <w:sz w:val="24"/>
          <w:szCs w:val="24"/>
          <w:highlight w:val="none"/>
          <w:lang w:val="en-US" w:eastAsia="zh-CN" w:bidi="ar"/>
        </w:rPr>
        <w:t xml:space="preserve">  </w:t>
      </w:r>
      <w:r>
        <w:rPr>
          <w:rFonts w:hint="eastAsia" w:eastAsia="仿宋_GB2312" w:cs="Times New Roman"/>
          <w:b/>
          <w:bCs/>
          <w:color w:val="auto"/>
          <w:kern w:val="0"/>
          <w:sz w:val="24"/>
          <w:szCs w:val="24"/>
          <w:highlight w:val="none"/>
          <w:lang w:val="en-US" w:eastAsia="zh-CN" w:bidi="ar"/>
        </w:rPr>
        <w:t>2022</w:t>
      </w:r>
      <w:r>
        <w:rPr>
          <w:rFonts w:hint="default" w:ascii="Times New Roman" w:hAnsi="Times New Roman" w:eastAsia="仿宋_GB2312" w:cs="Times New Roman"/>
          <w:b/>
          <w:bCs/>
          <w:color w:val="auto"/>
          <w:kern w:val="0"/>
          <w:sz w:val="24"/>
          <w:szCs w:val="24"/>
          <w:highlight w:val="none"/>
          <w:lang w:val="en-US" w:eastAsia="zh-CN" w:bidi="ar"/>
        </w:rPr>
        <w:t>年项目支出统计表</w:t>
      </w:r>
    </w:p>
    <w:tbl>
      <w:tblPr>
        <w:tblStyle w:val="4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9"/>
        <w:gridCol w:w="1600"/>
        <w:gridCol w:w="1267"/>
        <w:gridCol w:w="1167"/>
        <w:gridCol w:w="1044"/>
        <w:gridCol w:w="1249"/>
        <w:gridCol w:w="1242"/>
        <w:gridCol w:w="9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 w:hRule="atLeast"/>
        </w:trPr>
        <w:tc>
          <w:tcPr>
            <w:tcW w:w="282"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序号</w:t>
            </w:r>
          </w:p>
        </w:tc>
        <w:tc>
          <w:tcPr>
            <w:tcW w:w="888"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项目</w:t>
            </w:r>
          </w:p>
        </w:tc>
        <w:tc>
          <w:tcPr>
            <w:tcW w:w="703"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初始金额(元)</w:t>
            </w:r>
          </w:p>
        </w:tc>
        <w:tc>
          <w:tcPr>
            <w:tcW w:w="648"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追加数（元）</w:t>
            </w:r>
          </w:p>
        </w:tc>
        <w:tc>
          <w:tcPr>
            <w:tcW w:w="579"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追减数（元）</w:t>
            </w:r>
          </w:p>
        </w:tc>
        <w:tc>
          <w:tcPr>
            <w:tcW w:w="693"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当前预算(元)</w:t>
            </w:r>
          </w:p>
        </w:tc>
        <w:tc>
          <w:tcPr>
            <w:tcW w:w="689"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已支付(元)</w:t>
            </w:r>
          </w:p>
        </w:tc>
        <w:tc>
          <w:tcPr>
            <w:tcW w:w="513"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执行进度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寺庙民管会生活补助</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769,700.00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769,700.00</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769,700.00</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2</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阿坝县2022年健康饮茶“送茶入户“采购项目</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139,500.00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139,500.00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139,500.00</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3</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阿坝县查理乡神座村乡村旅游综合服务设施建设项目</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700,000.00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700,000.00</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700,000.00</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4</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阿坝查理乡神座村藏红花绿色生态茶产品基地建设项目</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550,000.00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550,000.00</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550,000.00</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5</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阿坝县民族团结进步创建工作经费项目</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50,000.00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50,000.00</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50,000.00</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6</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阿坝县民族团结进步先进集体</w:t>
            </w:r>
            <w:r>
              <w:rPr>
                <w:rFonts w:hint="eastAsia" w:eastAsia="仿宋_GB2312" w:cs="Times New Roman"/>
                <w:color w:val="000000"/>
                <w:kern w:val="0"/>
                <w:sz w:val="18"/>
                <w:szCs w:val="18"/>
                <w:highlight w:val="none"/>
                <w:lang w:val="en-US" w:eastAsia="zh-CN" w:bidi="ar"/>
              </w:rPr>
              <w:t>和</w:t>
            </w:r>
            <w:r>
              <w:rPr>
                <w:rFonts w:hint="eastAsia" w:ascii="Times New Roman" w:hAnsi="Times New Roman" w:eastAsia="仿宋_GB2312" w:cs="Times New Roman"/>
                <w:color w:val="000000"/>
                <w:kern w:val="0"/>
                <w:sz w:val="18"/>
                <w:szCs w:val="18"/>
                <w:highlight w:val="none"/>
                <w:lang w:val="en-US" w:eastAsia="zh-CN" w:bidi="ar"/>
              </w:rPr>
              <w:t>先进个人表彰经费</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120,000.00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120,000.00</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120,000.00</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7</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茸安乡格尔登玛村桥梁维修经费</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50,000.00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50,000.00</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50,000.00</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8</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查理乡塔哇村通寺道路维修经费</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50,000.00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50,000.00</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50,000.00</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9</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解决麦昆沃朗村维修主水管网资金</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120,000.00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120,000.00</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120,000.00</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10</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2022年民族事业发展专项资金</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150,000.00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150,000.00</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0.00</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11</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2022年民族地区春节送温暖活动慰问金</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198,500.00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198,500.00</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198,500.00</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 w:hRule="atLeast"/>
        </w:trPr>
        <w:tc>
          <w:tcPr>
            <w:tcW w:w="1171" w:type="pct"/>
            <w:gridSpan w:val="2"/>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eastAsia" w:eastAsia="仿宋_GB2312" w:cs="Times New Roman"/>
                <w:b/>
                <w:bCs/>
                <w:color w:val="000000"/>
                <w:kern w:val="0"/>
                <w:sz w:val="18"/>
                <w:szCs w:val="18"/>
                <w:highlight w:val="none"/>
                <w:lang w:val="en-US" w:eastAsia="zh-CN" w:bidi="ar"/>
              </w:rPr>
              <w:t>769,700.00</w:t>
            </w:r>
          </w:p>
        </w:tc>
        <w:tc>
          <w:tcPr>
            <w:tcW w:w="648"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eastAsia" w:eastAsia="仿宋_GB2312" w:cs="Times New Roman"/>
                <w:b/>
                <w:bCs/>
                <w:color w:val="000000"/>
                <w:kern w:val="0"/>
                <w:sz w:val="18"/>
                <w:szCs w:val="18"/>
                <w:highlight w:val="none"/>
                <w:lang w:val="en-US" w:eastAsia="zh-CN" w:bidi="ar"/>
              </w:rPr>
              <w:t>2,128,000.00</w:t>
            </w:r>
          </w:p>
        </w:tc>
        <w:tc>
          <w:tcPr>
            <w:tcW w:w="579"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p>
        </w:tc>
        <w:tc>
          <w:tcPr>
            <w:tcW w:w="693"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eastAsia" w:eastAsia="仿宋_GB2312" w:cs="Times New Roman"/>
                <w:b/>
                <w:bCs/>
                <w:color w:val="000000"/>
                <w:kern w:val="0"/>
                <w:sz w:val="18"/>
                <w:szCs w:val="18"/>
                <w:highlight w:val="none"/>
                <w:lang w:val="en-US" w:eastAsia="zh-CN" w:bidi="ar"/>
              </w:rPr>
              <w:t>2,897,700.00</w:t>
            </w:r>
            <w:r>
              <w:rPr>
                <w:rFonts w:hint="default" w:ascii="Times New Roman" w:hAnsi="Times New Roman" w:eastAsia="仿宋_GB2312" w:cs="Times New Roman"/>
                <w:b/>
                <w:bCs/>
                <w:color w:val="000000"/>
                <w:kern w:val="0"/>
                <w:sz w:val="18"/>
                <w:szCs w:val="18"/>
                <w:highlight w:val="none"/>
                <w:lang w:val="en-US" w:eastAsia="zh-CN" w:bidi="ar"/>
              </w:rPr>
              <w:t xml:space="preserve"> </w:t>
            </w:r>
          </w:p>
        </w:tc>
        <w:tc>
          <w:tcPr>
            <w:tcW w:w="689"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eastAsia" w:eastAsia="仿宋_GB2312" w:cs="Times New Roman"/>
                <w:b/>
                <w:bCs/>
                <w:color w:val="000000"/>
                <w:kern w:val="0"/>
                <w:sz w:val="18"/>
                <w:szCs w:val="18"/>
                <w:highlight w:val="none"/>
                <w:lang w:val="en-US" w:eastAsia="zh-CN" w:bidi="ar"/>
              </w:rPr>
              <w:t>2,747,700.00</w:t>
            </w:r>
            <w:r>
              <w:rPr>
                <w:rFonts w:hint="default" w:ascii="Times New Roman" w:hAnsi="Times New Roman" w:eastAsia="仿宋_GB2312" w:cs="Times New Roman"/>
                <w:b/>
                <w:bCs/>
                <w:color w:val="000000"/>
                <w:kern w:val="0"/>
                <w:sz w:val="18"/>
                <w:szCs w:val="18"/>
                <w:highlight w:val="none"/>
                <w:lang w:val="en-US" w:eastAsia="zh-CN" w:bidi="ar"/>
              </w:rPr>
              <w:t xml:space="preserve"> </w:t>
            </w:r>
          </w:p>
        </w:tc>
        <w:tc>
          <w:tcPr>
            <w:tcW w:w="513"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eastAsia" w:eastAsia="仿宋_GB2312" w:cs="Times New Roman"/>
                <w:b/>
                <w:bCs/>
                <w:color w:val="000000"/>
                <w:kern w:val="0"/>
                <w:sz w:val="18"/>
                <w:szCs w:val="18"/>
                <w:highlight w:val="none"/>
                <w:lang w:val="en-US" w:eastAsia="zh-CN" w:bidi="ar"/>
              </w:rPr>
              <w:t>94.82</w:t>
            </w:r>
            <w:r>
              <w:rPr>
                <w:rFonts w:hint="default" w:ascii="Times New Roman" w:hAnsi="Times New Roman" w:eastAsia="仿宋_GB2312" w:cs="Times New Roman"/>
                <w:b/>
                <w:bCs/>
                <w:color w:val="000000"/>
                <w:kern w:val="0"/>
                <w:sz w:val="18"/>
                <w:szCs w:val="18"/>
                <w:highlight w:val="none"/>
                <w:lang w:val="en-US" w:eastAsia="zh-CN" w:bidi="ar"/>
              </w:rPr>
              <w:t>%</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综上，被评价单位</w:t>
      </w:r>
      <w:r>
        <w:rPr>
          <w:rFonts w:hint="eastAsia" w:eastAsia="仿宋_GB2312" w:cs="Times New Roman"/>
          <w:color w:val="000000"/>
          <w:kern w:val="0"/>
          <w:sz w:val="32"/>
          <w:szCs w:val="32"/>
          <w:highlight w:val="none"/>
          <w:lang w:val="en-US" w:eastAsia="zh-CN" w:bidi="ar"/>
        </w:rPr>
        <w:t>2022</w:t>
      </w:r>
      <w:r>
        <w:rPr>
          <w:rFonts w:hint="eastAsia" w:ascii="Times New Roman" w:hAnsi="Times New Roman" w:eastAsia="仿宋_GB2312" w:cs="Times New Roman"/>
          <w:color w:val="000000"/>
          <w:kern w:val="0"/>
          <w:sz w:val="32"/>
          <w:szCs w:val="32"/>
          <w:highlight w:val="none"/>
          <w:lang w:val="en-US" w:eastAsia="zh-CN" w:bidi="ar"/>
        </w:rPr>
        <w:t>年部门预算项目总执行进度为</w:t>
      </w:r>
      <w:r>
        <w:rPr>
          <w:rFonts w:hint="eastAsia" w:eastAsia="仿宋_GB2312" w:cs="Times New Roman"/>
          <w:color w:val="000000"/>
          <w:kern w:val="0"/>
          <w:sz w:val="32"/>
          <w:szCs w:val="32"/>
          <w:highlight w:val="none"/>
          <w:lang w:val="en-US" w:eastAsia="zh-CN" w:bidi="ar"/>
        </w:rPr>
        <w:t>94.82%，指标</w:t>
      </w:r>
      <w:r>
        <w:rPr>
          <w:rFonts w:hint="eastAsia" w:ascii="Times New Roman" w:hAnsi="Times New Roman" w:eastAsia="仿宋_GB2312" w:cs="Times New Roman"/>
          <w:color w:val="000000"/>
          <w:kern w:val="0"/>
          <w:sz w:val="32"/>
          <w:szCs w:val="32"/>
          <w:highlight w:val="none"/>
          <w:lang w:val="en-US" w:eastAsia="zh-CN" w:bidi="ar"/>
        </w:rPr>
        <w:t>得分</w:t>
      </w:r>
      <w:r>
        <w:rPr>
          <w:rFonts w:hint="eastAsia" w:eastAsia="仿宋_GB2312" w:cs="Times New Roman"/>
          <w:color w:val="000000"/>
          <w:kern w:val="0"/>
          <w:sz w:val="32"/>
          <w:szCs w:val="32"/>
          <w:highlight w:val="none"/>
          <w:lang w:val="en-US" w:eastAsia="zh-CN" w:bidi="ar"/>
        </w:rPr>
        <w:t>7.59</w:t>
      </w:r>
      <w:r>
        <w:rPr>
          <w:rFonts w:hint="eastAsia" w:ascii="Times New Roman" w:hAnsi="Times New Roman" w:eastAsia="仿宋_GB2312" w:cs="Times New Roman"/>
          <w:color w:val="000000"/>
          <w:kern w:val="0"/>
          <w:sz w:val="32"/>
          <w:szCs w:val="32"/>
          <w:highlight w:val="none"/>
          <w:lang w:val="en-US" w:eastAsia="zh-CN" w:bidi="ar"/>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违规记录</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val="0"/>
          <w:bCs w:val="0"/>
          <w:kern w:val="0"/>
          <w:sz w:val="32"/>
          <w:szCs w:val="32"/>
          <w:highlight w:val="none"/>
          <w:shd w:val="clear" w:color="auto" w:fill="FFFFFF"/>
          <w:lang w:val="en-US" w:eastAsia="zh-CN"/>
        </w:rPr>
      </w:pPr>
      <w:r>
        <w:rPr>
          <w:rFonts w:hint="eastAsia" w:eastAsia="仿宋_GB2312" w:cs="Times New Roman"/>
          <w:b w:val="0"/>
          <w:bCs w:val="0"/>
          <w:kern w:val="0"/>
          <w:sz w:val="32"/>
          <w:szCs w:val="32"/>
          <w:highlight w:val="none"/>
          <w:shd w:val="clear" w:color="auto" w:fill="FFFFFF"/>
          <w:lang w:val="en-US" w:eastAsia="zh-CN"/>
        </w:rPr>
        <w:t>根据阿坝县民族宗教局提供的资料，阿坝县民族宗教局未接受过</w:t>
      </w:r>
      <w:r>
        <w:rPr>
          <w:rFonts w:hint="default" w:ascii="Times New Roman" w:hAnsi="Times New Roman" w:eastAsia="仿宋_GB2312" w:cs="Times New Roman"/>
          <w:b w:val="0"/>
          <w:bCs w:val="0"/>
          <w:kern w:val="0"/>
          <w:sz w:val="32"/>
          <w:szCs w:val="32"/>
          <w:highlight w:val="none"/>
          <w:shd w:val="clear" w:color="auto" w:fill="FFFFFF"/>
          <w:lang w:val="en-US" w:eastAsia="zh-CN"/>
        </w:rPr>
        <w:t>审计、财政</w:t>
      </w:r>
      <w:r>
        <w:rPr>
          <w:rFonts w:hint="eastAsia" w:eastAsia="仿宋_GB2312" w:cs="Times New Roman"/>
          <w:b w:val="0"/>
          <w:bCs w:val="0"/>
          <w:kern w:val="0"/>
          <w:sz w:val="32"/>
          <w:szCs w:val="32"/>
          <w:highlight w:val="none"/>
          <w:shd w:val="clear" w:color="auto" w:fill="FFFFFF"/>
          <w:lang w:val="en-US" w:eastAsia="zh-CN"/>
        </w:rPr>
        <w:t>等</w:t>
      </w:r>
      <w:r>
        <w:rPr>
          <w:rFonts w:hint="default" w:ascii="Times New Roman" w:hAnsi="Times New Roman" w:eastAsia="仿宋_GB2312" w:cs="Times New Roman"/>
          <w:b w:val="0"/>
          <w:bCs w:val="0"/>
          <w:kern w:val="0"/>
          <w:sz w:val="32"/>
          <w:szCs w:val="32"/>
          <w:highlight w:val="none"/>
          <w:shd w:val="clear" w:color="auto" w:fill="FFFFFF"/>
          <w:lang w:val="en-US" w:eastAsia="zh-CN"/>
        </w:rPr>
        <w:t>部门</w:t>
      </w:r>
      <w:r>
        <w:rPr>
          <w:rFonts w:hint="eastAsia" w:eastAsia="仿宋_GB2312" w:cs="Times New Roman"/>
          <w:b w:val="0"/>
          <w:bCs w:val="0"/>
          <w:kern w:val="0"/>
          <w:sz w:val="32"/>
          <w:szCs w:val="32"/>
          <w:highlight w:val="none"/>
          <w:shd w:val="clear" w:color="auto" w:fill="FFFFFF"/>
          <w:lang w:val="en-US" w:eastAsia="zh-CN"/>
        </w:rPr>
        <w:t>对2022年度部门</w:t>
      </w:r>
      <w:r>
        <w:rPr>
          <w:rFonts w:hint="default" w:ascii="Times New Roman" w:hAnsi="Times New Roman" w:eastAsia="仿宋_GB2312" w:cs="Times New Roman"/>
          <w:b w:val="0"/>
          <w:bCs w:val="0"/>
          <w:kern w:val="0"/>
          <w:sz w:val="32"/>
          <w:szCs w:val="32"/>
          <w:highlight w:val="none"/>
          <w:shd w:val="clear" w:color="auto" w:fill="FFFFFF"/>
          <w:lang w:val="en-US" w:eastAsia="zh-CN"/>
        </w:rPr>
        <w:t>预算</w:t>
      </w:r>
      <w:r>
        <w:rPr>
          <w:rFonts w:hint="default" w:eastAsia="仿宋_GB2312" w:cs="Times New Roman"/>
          <w:color w:val="000000"/>
          <w:kern w:val="0"/>
          <w:sz w:val="32"/>
          <w:szCs w:val="32"/>
          <w:highlight w:val="none"/>
          <w:lang w:val="en-US" w:eastAsia="zh-CN" w:bidi="ar"/>
        </w:rPr>
        <w:t>管理</w:t>
      </w:r>
      <w:r>
        <w:rPr>
          <w:rFonts w:hint="eastAsia" w:eastAsia="仿宋_GB2312" w:cs="Times New Roman"/>
          <w:b w:val="0"/>
          <w:bCs w:val="0"/>
          <w:kern w:val="0"/>
          <w:sz w:val="32"/>
          <w:szCs w:val="32"/>
          <w:highlight w:val="none"/>
          <w:shd w:val="clear" w:color="auto" w:fill="FFFFFF"/>
          <w:lang w:val="en-US" w:eastAsia="zh-CN"/>
        </w:rPr>
        <w:t>方面的</w:t>
      </w:r>
      <w:r>
        <w:rPr>
          <w:rFonts w:hint="default" w:ascii="Times New Roman" w:hAnsi="Times New Roman" w:eastAsia="仿宋_GB2312" w:cs="Times New Roman"/>
          <w:b w:val="0"/>
          <w:bCs w:val="0"/>
          <w:kern w:val="0"/>
          <w:sz w:val="32"/>
          <w:szCs w:val="32"/>
          <w:highlight w:val="none"/>
          <w:shd w:val="clear" w:color="auto" w:fill="FFFFFF"/>
          <w:lang w:val="en-US" w:eastAsia="zh-CN"/>
        </w:rPr>
        <w:t>审计监督</w:t>
      </w:r>
      <w:r>
        <w:rPr>
          <w:rFonts w:hint="eastAsia" w:eastAsia="仿宋_GB2312" w:cs="Times New Roman"/>
          <w:b w:val="0"/>
          <w:bCs w:val="0"/>
          <w:kern w:val="0"/>
          <w:sz w:val="32"/>
          <w:szCs w:val="32"/>
          <w:highlight w:val="none"/>
          <w:shd w:val="clear" w:color="auto" w:fill="FFFFFF"/>
          <w:lang w:val="en-US" w:eastAsia="zh-CN"/>
        </w:rPr>
        <w:t>或</w:t>
      </w:r>
      <w:r>
        <w:rPr>
          <w:rFonts w:hint="default" w:ascii="Times New Roman" w:hAnsi="Times New Roman" w:eastAsia="仿宋_GB2312" w:cs="Times New Roman"/>
          <w:b w:val="0"/>
          <w:bCs w:val="0"/>
          <w:kern w:val="0"/>
          <w:sz w:val="32"/>
          <w:szCs w:val="32"/>
          <w:highlight w:val="none"/>
          <w:shd w:val="clear" w:color="auto" w:fill="FFFFFF"/>
          <w:lang w:val="en-US" w:eastAsia="zh-CN"/>
        </w:rPr>
        <w:t>财政检查。</w:t>
      </w:r>
    </w:p>
    <w:p>
      <w:pPr>
        <w:pStyle w:val="4"/>
        <w:spacing w:line="600" w:lineRule="exact"/>
        <w:ind w:firstLine="640"/>
        <w:rPr>
          <w:rFonts w:hint="default" w:ascii="Times New Roman" w:hAnsi="Times New Roman" w:eastAsia="仿宋_GB2312" w:cs="Times New Roman"/>
          <w:lang w:val="en-US" w:eastAsia="zh-CN"/>
        </w:rPr>
      </w:pPr>
      <w:bookmarkStart w:id="72" w:name="_Toc22950"/>
      <w:bookmarkStart w:id="73" w:name="_Toc11404"/>
      <w:bookmarkStart w:id="74" w:name="_Toc15102"/>
      <w:r>
        <w:rPr>
          <w:rFonts w:hint="eastAsia" w:eastAsia="仿宋_GB2312" w:cs="Times New Roman"/>
          <w:lang w:val="en-US" w:eastAsia="zh-CN"/>
        </w:rPr>
        <w:t>2</w:t>
      </w:r>
      <w:r>
        <w:rPr>
          <w:rFonts w:hint="default" w:ascii="Times New Roman" w:hAnsi="Times New Roman" w:eastAsia="仿宋_GB2312" w:cs="Times New Roman"/>
        </w:rPr>
        <w:t>、</w:t>
      </w:r>
      <w:r>
        <w:rPr>
          <w:rFonts w:hint="eastAsia" w:eastAsia="仿宋_GB2312" w:cs="Times New Roman"/>
          <w:lang w:val="en-US" w:eastAsia="zh-CN"/>
        </w:rPr>
        <w:t>专项预算管理情况分析</w:t>
      </w:r>
      <w:bookmarkEnd w:id="72"/>
      <w:bookmarkEnd w:id="73"/>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shd w:val="clear" w:color="auto" w:fill="FFFFFF"/>
        </w:rPr>
        <w:t>该指标权</w:t>
      </w:r>
      <w:r>
        <w:rPr>
          <w:rFonts w:hint="default" w:ascii="Times New Roman" w:hAnsi="Times New Roman" w:eastAsia="仿宋_GB2312" w:cs="Times New Roman"/>
          <w:color w:val="000000"/>
          <w:kern w:val="0"/>
          <w:sz w:val="32"/>
          <w:szCs w:val="32"/>
          <w:highlight w:val="none"/>
          <w:lang w:val="en-US" w:eastAsia="zh-CN" w:bidi="ar"/>
        </w:rPr>
        <w:t>重为</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0分，评价权重</w:t>
      </w:r>
      <w:r>
        <w:rPr>
          <w:rFonts w:hint="eastAsia" w:eastAsia="仿宋_GB2312" w:cs="Times New Roman"/>
          <w:color w:val="000000"/>
          <w:kern w:val="0"/>
          <w:sz w:val="32"/>
          <w:szCs w:val="32"/>
          <w:highlight w:val="none"/>
          <w:lang w:val="en-US" w:eastAsia="zh-CN" w:bidi="ar"/>
        </w:rPr>
        <w:t>20</w:t>
      </w:r>
      <w:r>
        <w:rPr>
          <w:rFonts w:hint="default" w:ascii="Times New Roman" w:hAnsi="Times New Roman" w:eastAsia="仿宋_GB2312" w:cs="Times New Roman"/>
          <w:color w:val="000000"/>
          <w:kern w:val="0"/>
          <w:sz w:val="32"/>
          <w:szCs w:val="32"/>
          <w:highlight w:val="none"/>
          <w:lang w:val="en-US" w:eastAsia="zh-CN" w:bidi="ar"/>
        </w:rPr>
        <w:t>分，评价权重得分</w:t>
      </w:r>
      <w:r>
        <w:rPr>
          <w:rFonts w:hint="eastAsia" w:eastAsia="仿宋_GB2312" w:cs="Times New Roman"/>
          <w:color w:val="000000"/>
          <w:kern w:val="0"/>
          <w:sz w:val="32"/>
          <w:szCs w:val="32"/>
          <w:highlight w:val="none"/>
          <w:lang w:val="en-US" w:eastAsia="zh-CN" w:bidi="ar"/>
        </w:rPr>
        <w:t>17.5</w:t>
      </w:r>
      <w:r>
        <w:rPr>
          <w:rFonts w:hint="default" w:ascii="Times New Roman" w:hAnsi="Times New Roman" w:eastAsia="仿宋_GB2312" w:cs="Times New Roman"/>
          <w:color w:val="000000"/>
          <w:kern w:val="0"/>
          <w:sz w:val="32"/>
          <w:szCs w:val="32"/>
          <w:highlight w:val="none"/>
          <w:lang w:val="en-US" w:eastAsia="zh-CN" w:bidi="ar"/>
        </w:rPr>
        <w:t>分。用于考察评价部门</w:t>
      </w:r>
      <w:r>
        <w:rPr>
          <w:rFonts w:hint="eastAsia" w:eastAsia="仿宋_GB2312" w:cs="Times New Roman"/>
          <w:sz w:val="32"/>
          <w:szCs w:val="32"/>
          <w:lang w:val="en-US" w:eastAsia="zh-CN"/>
        </w:rPr>
        <w:t>专项预算管理</w:t>
      </w:r>
      <w:r>
        <w:rPr>
          <w:rFonts w:hint="eastAsia" w:eastAsia="仿宋_GB2312" w:cs="Times New Roman"/>
          <w:color w:val="000000"/>
          <w:kern w:val="0"/>
          <w:sz w:val="32"/>
          <w:szCs w:val="32"/>
          <w:highlight w:val="none"/>
          <w:lang w:val="en-US" w:eastAsia="zh-CN" w:bidi="ar"/>
        </w:rPr>
        <w:t>情况</w:t>
      </w:r>
      <w:r>
        <w:rPr>
          <w:rFonts w:hint="default" w:ascii="Times New Roman" w:hAnsi="Times New Roman"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各分项指标得分和绩效分析如下：</w:t>
      </w:r>
    </w:p>
    <w:p>
      <w:pPr>
        <w:widowControl/>
        <w:spacing w:line="600" w:lineRule="exact"/>
        <w:ind w:firstLine="48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表</w:t>
      </w:r>
      <w:r>
        <w:rPr>
          <w:rFonts w:hint="eastAsia" w:eastAsia="仿宋_GB2312" w:cs="Times New Roman"/>
          <w:b/>
          <w:bCs/>
          <w:color w:val="000000"/>
          <w:kern w:val="0"/>
          <w:lang w:val="en-US" w:eastAsia="zh-CN" w:bidi="ar"/>
        </w:rPr>
        <w:t>11</w:t>
      </w:r>
      <w:r>
        <w:rPr>
          <w:rFonts w:hint="default" w:ascii="Times New Roman" w:hAnsi="Times New Roman" w:eastAsia="仿宋_GB2312" w:cs="Times New Roman"/>
          <w:b/>
          <w:bCs/>
          <w:color w:val="000000"/>
          <w:kern w:val="0"/>
          <w:lang w:bidi="ar"/>
        </w:rPr>
        <w:t xml:space="preserve"> 部门整体支出</w:t>
      </w:r>
      <w:r>
        <w:rPr>
          <w:rFonts w:hint="eastAsia" w:eastAsia="仿宋_GB2312" w:cs="Times New Roman"/>
          <w:b/>
          <w:bCs/>
          <w:color w:val="000000"/>
          <w:kern w:val="0"/>
          <w:lang w:val="en-US" w:eastAsia="zh-CN" w:bidi="ar"/>
        </w:rPr>
        <w:t>专项预算管理</w:t>
      </w:r>
      <w:r>
        <w:rPr>
          <w:rFonts w:hint="eastAsia" w:ascii="Times New Roman" w:hAnsi="Times New Roman" w:eastAsia="仿宋_GB2312" w:cs="Times New Roman"/>
          <w:b/>
          <w:bCs/>
          <w:color w:val="000000"/>
          <w:kern w:val="0"/>
          <w:lang w:val="en-US" w:eastAsia="zh-CN" w:bidi="ar"/>
        </w:rPr>
        <w:t>情况</w:t>
      </w:r>
      <w:r>
        <w:rPr>
          <w:rFonts w:hint="default" w:ascii="Times New Roman" w:hAnsi="Times New Roman" w:eastAsia="仿宋_GB2312" w:cs="Times New Roman"/>
          <w:b/>
          <w:bCs/>
          <w:color w:val="000000"/>
          <w:kern w:val="0"/>
          <w:lang w:bidi="ar"/>
        </w:rPr>
        <w:t>得分表</w:t>
      </w:r>
    </w:p>
    <w:tbl>
      <w:tblPr>
        <w:tblStyle w:val="41"/>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1333"/>
        <w:gridCol w:w="1467"/>
        <w:gridCol w:w="900"/>
        <w:gridCol w:w="1267"/>
        <w:gridCol w:w="1197"/>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2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一级指标</w:t>
            </w:r>
          </w:p>
        </w:tc>
        <w:tc>
          <w:tcPr>
            <w:tcW w:w="133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二级指标</w:t>
            </w:r>
          </w:p>
        </w:tc>
        <w:tc>
          <w:tcPr>
            <w:tcW w:w="14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三级指标</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权重</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default" w:ascii="Times New Roman" w:hAnsi="Times New Roman" w:eastAsia="仿宋_GB2312" w:cs="Times New Roman"/>
                <w:b/>
                <w:bCs/>
                <w:color w:val="000000"/>
                <w:kern w:val="0"/>
                <w:lang w:val="en-US" w:eastAsia="zh-CN" w:bidi="ar"/>
              </w:rPr>
              <w:t>评价权重</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val="en-US" w:eastAsia="zh-CN" w:bidi="ar"/>
              </w:rPr>
              <w:t>评价</w:t>
            </w:r>
            <w:r>
              <w:rPr>
                <w:rFonts w:hint="default" w:ascii="Times New Roman" w:hAnsi="Times New Roman" w:eastAsia="仿宋_GB2312" w:cs="Times New Roman"/>
                <w:b/>
                <w:bCs/>
                <w:color w:val="000000"/>
                <w:kern w:val="0"/>
                <w:lang w:bidi="ar"/>
              </w:rPr>
              <w:t>得分</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专项预算管理（20分）</w:t>
            </w:r>
          </w:p>
        </w:tc>
        <w:tc>
          <w:tcPr>
            <w:tcW w:w="1333"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专项预算管理（20分）</w:t>
            </w:r>
          </w:p>
        </w:tc>
        <w:tc>
          <w:tcPr>
            <w:tcW w:w="1467"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专项预算管理</w:t>
            </w:r>
          </w:p>
        </w:tc>
        <w:tc>
          <w:tcPr>
            <w:tcW w:w="900"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20</w:t>
            </w:r>
          </w:p>
        </w:tc>
        <w:tc>
          <w:tcPr>
            <w:tcW w:w="1267"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20</w:t>
            </w:r>
          </w:p>
        </w:tc>
        <w:tc>
          <w:tcPr>
            <w:tcW w:w="1197"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15.8</w:t>
            </w:r>
          </w:p>
        </w:tc>
        <w:tc>
          <w:tcPr>
            <w:tcW w:w="1062"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79.00%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0"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得分合计</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2</w:t>
            </w:r>
            <w:r>
              <w:rPr>
                <w:rFonts w:hint="default" w:ascii="Times New Roman" w:hAnsi="Times New Roman" w:eastAsia="仿宋_GB2312" w:cs="Times New Roman"/>
                <w:b/>
                <w:bCs/>
                <w:color w:val="000000"/>
                <w:kern w:val="0"/>
                <w:lang w:val="en-US" w:eastAsia="zh-CN" w:bidi="ar"/>
              </w:rPr>
              <w:t>0</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20</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15.8</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79.00%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专项预算管理</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20</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20</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15.8</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阿坝县民族宗教局抽取了1个2022年专项预算项目，即2022年民族事业发展专项资金项目进行自评打分并形成了自评报告，自评打分为82分，评价组根据阿坝县民族宗教局抽取的1个2022年专项预算项目进行纠正分值后，评价打分为79分，按0.2的比例得分为15.8分。</w:t>
      </w:r>
    </w:p>
    <w:p>
      <w:pPr>
        <w:pStyle w:val="24"/>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b/>
          <w:bCs/>
          <w:color w:val="000000"/>
          <w:kern w:val="0"/>
          <w:sz w:val="24"/>
          <w:szCs w:val="24"/>
          <w:lang w:val="en-US" w:eastAsia="zh-CN" w:bidi="ar"/>
        </w:rPr>
        <w:t>表1</w:t>
      </w:r>
      <w:r>
        <w:rPr>
          <w:rFonts w:hint="eastAsia" w:eastAsia="仿宋_GB2312" w:cs="Times New Roman"/>
          <w:b/>
          <w:bCs/>
          <w:color w:val="000000"/>
          <w:kern w:val="0"/>
          <w:sz w:val="24"/>
          <w:szCs w:val="24"/>
          <w:lang w:val="en-US" w:eastAsia="zh-CN" w:bidi="ar"/>
        </w:rPr>
        <w:t xml:space="preserve">2 </w:t>
      </w:r>
      <w:r>
        <w:rPr>
          <w:rFonts w:hint="eastAsia" w:ascii="Times New Roman" w:hAnsi="Times New Roman" w:eastAsia="仿宋_GB2312" w:cs="Times New Roman"/>
          <w:b/>
          <w:bCs/>
          <w:color w:val="000000"/>
          <w:kern w:val="0"/>
          <w:sz w:val="24"/>
          <w:szCs w:val="24"/>
          <w:lang w:val="en-US" w:eastAsia="zh-CN" w:bidi="ar"/>
        </w:rPr>
        <w:t>2022年民族事业发展专项资金</w:t>
      </w:r>
      <w:r>
        <w:rPr>
          <w:rFonts w:hint="eastAsia" w:eastAsia="仿宋_GB2312" w:cs="Times New Roman"/>
          <w:b/>
          <w:bCs/>
          <w:color w:val="000000"/>
          <w:kern w:val="0"/>
          <w:sz w:val="24"/>
          <w:szCs w:val="24"/>
          <w:lang w:val="en-US" w:eastAsia="zh-CN" w:bidi="ar"/>
        </w:rPr>
        <w:t>评价</w:t>
      </w:r>
      <w:r>
        <w:rPr>
          <w:rFonts w:hint="default" w:ascii="Times New Roman" w:hAnsi="Times New Roman" w:eastAsia="仿宋_GB2312" w:cs="Times New Roman"/>
          <w:b/>
          <w:bCs/>
          <w:color w:val="000000"/>
          <w:kern w:val="0"/>
          <w:sz w:val="24"/>
          <w:szCs w:val="24"/>
          <w:lang w:val="en-US" w:eastAsia="zh-CN" w:bidi="ar"/>
        </w:rPr>
        <w:t>情况</w:t>
      </w:r>
      <w:r>
        <w:rPr>
          <w:rFonts w:hint="default" w:ascii="Times New Roman" w:hAnsi="Times New Roman" w:eastAsia="仿宋_GB2312" w:cs="Times New Roman"/>
          <w:b/>
          <w:bCs/>
          <w:color w:val="000000"/>
          <w:kern w:val="0"/>
          <w:sz w:val="24"/>
          <w:szCs w:val="24"/>
          <w:lang w:bidi="ar"/>
        </w:rPr>
        <w:t>得分表</w:t>
      </w:r>
    </w:p>
    <w:tbl>
      <w:tblPr>
        <w:tblStyle w:val="4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67"/>
        <w:gridCol w:w="943"/>
        <w:gridCol w:w="1834"/>
        <w:gridCol w:w="997"/>
        <w:gridCol w:w="1444"/>
        <w:gridCol w:w="931"/>
        <w:gridCol w:w="1102"/>
        <w:gridCol w:w="1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15" w:type="pct"/>
            <w:vMerge w:val="restar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分值权重</w:t>
            </w:r>
          </w:p>
        </w:tc>
        <w:tc>
          <w:tcPr>
            <w:tcW w:w="2899" w:type="pct"/>
            <w:gridSpan w:val="4"/>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分层分类指标</w:t>
            </w:r>
          </w:p>
        </w:tc>
        <w:tc>
          <w:tcPr>
            <w:tcW w:w="517"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部门自评</w:t>
            </w:r>
          </w:p>
        </w:tc>
        <w:tc>
          <w:tcPr>
            <w:tcW w:w="612"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评价组</w:t>
            </w:r>
            <w:r>
              <w:rPr>
                <w:rFonts w:hint="eastAsia" w:ascii="Times New Roman" w:hAnsi="Times New Roman" w:eastAsia="仿宋_GB2312" w:cs="Times New Roman"/>
                <w:b/>
                <w:bCs/>
                <w:i w:val="0"/>
                <w:iCs w:val="0"/>
                <w:color w:val="auto"/>
                <w:kern w:val="0"/>
                <w:sz w:val="18"/>
                <w:szCs w:val="18"/>
                <w:u w:val="none"/>
                <w:lang w:val="en-US" w:eastAsia="zh-CN" w:bidi="ar"/>
              </w:rPr>
              <w:t>评</w:t>
            </w:r>
            <w:r>
              <w:rPr>
                <w:rFonts w:hint="default" w:ascii="Times New Roman" w:hAnsi="Times New Roman" w:eastAsia="仿宋_GB2312" w:cs="Times New Roman"/>
                <w:b/>
                <w:bCs/>
                <w:i w:val="0"/>
                <w:iCs w:val="0"/>
                <w:color w:val="auto"/>
                <w:kern w:val="0"/>
                <w:sz w:val="18"/>
                <w:szCs w:val="18"/>
                <w:u w:val="none"/>
                <w:lang w:val="en-US" w:eastAsia="zh-CN" w:bidi="ar"/>
              </w:rPr>
              <w:t>分</w:t>
            </w:r>
          </w:p>
        </w:tc>
        <w:tc>
          <w:tcPr>
            <w:tcW w:w="655" w:type="pct"/>
            <w:vMerge w:val="restar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分值差异原因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blHeader/>
          <w:jc w:val="center"/>
        </w:trPr>
        <w:tc>
          <w:tcPr>
            <w:tcW w:w="315" w:type="pct"/>
            <w:vMerge w:val="continue"/>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p>
        </w:tc>
        <w:tc>
          <w:tcPr>
            <w:tcW w:w="524"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分层指标</w:t>
            </w:r>
          </w:p>
        </w:tc>
        <w:tc>
          <w:tcPr>
            <w:tcW w:w="1019"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适用范围</w:t>
            </w:r>
          </w:p>
        </w:tc>
        <w:tc>
          <w:tcPr>
            <w:tcW w:w="554"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一级指标</w:t>
            </w:r>
          </w:p>
        </w:tc>
        <w:tc>
          <w:tcPr>
            <w:tcW w:w="801"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二级指标</w:t>
            </w:r>
          </w:p>
        </w:tc>
        <w:tc>
          <w:tcPr>
            <w:tcW w:w="517"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得分</w:t>
            </w:r>
          </w:p>
        </w:tc>
        <w:tc>
          <w:tcPr>
            <w:tcW w:w="612"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得分</w:t>
            </w:r>
          </w:p>
        </w:tc>
        <w:tc>
          <w:tcPr>
            <w:tcW w:w="655" w:type="pct"/>
            <w:vMerge w:val="continue"/>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w:t>
            </w:r>
          </w:p>
        </w:tc>
        <w:tc>
          <w:tcPr>
            <w:tcW w:w="52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通用指标</w:t>
            </w:r>
          </w:p>
        </w:tc>
        <w:tc>
          <w:tcPr>
            <w:tcW w:w="1019"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所有专项预算项目</w:t>
            </w:r>
          </w:p>
        </w:tc>
        <w:tc>
          <w:tcPr>
            <w:tcW w:w="55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项目决策</w:t>
            </w: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程序严密</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2</w:t>
            </w:r>
          </w:p>
        </w:tc>
        <w:tc>
          <w:tcPr>
            <w:tcW w:w="612"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2</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规划合理★</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12"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制度完备</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12"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4%</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项目实施</w:t>
            </w: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分配合理★</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612"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使用合规</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12"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执行有效</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2</w:t>
            </w:r>
          </w:p>
        </w:tc>
        <w:tc>
          <w:tcPr>
            <w:tcW w:w="612"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2</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完成结果</w:t>
            </w: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预算完成★</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3</w:t>
            </w:r>
          </w:p>
        </w:tc>
        <w:tc>
          <w:tcPr>
            <w:tcW w:w="612"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0</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专项资金15万元未支付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10%</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资金结余★</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0</w:t>
            </w:r>
          </w:p>
        </w:tc>
        <w:tc>
          <w:tcPr>
            <w:tcW w:w="612"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0</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4%</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目标完成★</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0</w:t>
            </w:r>
          </w:p>
        </w:tc>
        <w:tc>
          <w:tcPr>
            <w:tcW w:w="612"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0</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5"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4%</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完成及时</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0</w:t>
            </w:r>
          </w:p>
        </w:tc>
        <w:tc>
          <w:tcPr>
            <w:tcW w:w="612"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0</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w:t>
            </w: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违规记录</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2</w:t>
            </w:r>
          </w:p>
        </w:tc>
        <w:tc>
          <w:tcPr>
            <w:tcW w:w="612"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2</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20%</w:t>
            </w:r>
          </w:p>
        </w:tc>
        <w:tc>
          <w:tcPr>
            <w:tcW w:w="52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共性指标</w:t>
            </w:r>
          </w:p>
        </w:tc>
        <w:tc>
          <w:tcPr>
            <w:tcW w:w="1019"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民生保障</w:t>
            </w:r>
            <w:r>
              <w:rPr>
                <w:rFonts w:hint="default" w:ascii="Times New Roman" w:hAnsi="Times New Roman" w:eastAsia="仿宋_GB2312" w:cs="Times New Roman"/>
                <w:i w:val="0"/>
                <w:iCs w:val="0"/>
                <w:color w:val="auto"/>
                <w:kern w:val="0"/>
                <w:sz w:val="18"/>
                <w:szCs w:val="18"/>
                <w:u w:val="none"/>
                <w:lang w:val="en-US" w:eastAsia="zh-CN" w:bidi="ar"/>
              </w:rPr>
              <w:t>项目</w:t>
            </w:r>
          </w:p>
        </w:tc>
        <w:tc>
          <w:tcPr>
            <w:tcW w:w="55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项目效果</w:t>
            </w: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区域均衡性</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5</w:t>
            </w:r>
          </w:p>
        </w:tc>
        <w:tc>
          <w:tcPr>
            <w:tcW w:w="612"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5</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对象公平性★</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eastAsia"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5</w:t>
            </w:r>
          </w:p>
        </w:tc>
        <w:tc>
          <w:tcPr>
            <w:tcW w:w="612"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eastAsia"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5</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社会满意度</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10</w:t>
            </w:r>
          </w:p>
        </w:tc>
        <w:tc>
          <w:tcPr>
            <w:tcW w:w="612"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10</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30%</w:t>
            </w:r>
          </w:p>
        </w:tc>
        <w:tc>
          <w:tcPr>
            <w:tcW w:w="52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特性指标</w:t>
            </w:r>
          </w:p>
        </w:tc>
        <w:tc>
          <w:tcPr>
            <w:tcW w:w="1019"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教育文化</w:t>
            </w:r>
          </w:p>
        </w:tc>
        <w:tc>
          <w:tcPr>
            <w:tcW w:w="5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基础管理</w:t>
            </w: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对象覆盖全面</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w:t>
            </w:r>
            <w:r>
              <w:rPr>
                <w:rFonts w:hint="eastAsia" w:eastAsia="仿宋_GB2312" w:cs="Times New Roman"/>
                <w:i w:val="0"/>
                <w:iCs w:val="0"/>
                <w:color w:val="auto"/>
                <w:kern w:val="0"/>
                <w:sz w:val="18"/>
                <w:szCs w:val="18"/>
                <w:u w:val="none"/>
                <w:lang w:val="en-US" w:eastAsia="zh-CN" w:bidi="ar"/>
              </w:rPr>
              <w:t>5</w:t>
            </w:r>
          </w:p>
        </w:tc>
        <w:tc>
          <w:tcPr>
            <w:tcW w:w="612"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w:t>
            </w:r>
            <w:r>
              <w:rPr>
                <w:rFonts w:hint="eastAsia" w:eastAsia="仿宋_GB2312" w:cs="Times New Roman"/>
                <w:i w:val="0"/>
                <w:iCs w:val="0"/>
                <w:color w:val="auto"/>
                <w:kern w:val="0"/>
                <w:sz w:val="18"/>
                <w:szCs w:val="18"/>
                <w:u w:val="none"/>
                <w:lang w:val="en-US" w:eastAsia="zh-CN" w:bidi="ar"/>
              </w:rPr>
              <w:t>5</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2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19"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项目效果</w:t>
            </w:r>
          </w:p>
        </w:tc>
        <w:tc>
          <w:tcPr>
            <w:tcW w:w="80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社会持续效率</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w:t>
            </w:r>
            <w:r>
              <w:rPr>
                <w:rFonts w:hint="eastAsia" w:eastAsia="仿宋_GB2312" w:cs="Times New Roman"/>
                <w:i w:val="0"/>
                <w:iCs w:val="0"/>
                <w:color w:val="auto"/>
                <w:kern w:val="0"/>
                <w:sz w:val="18"/>
                <w:szCs w:val="18"/>
                <w:u w:val="none"/>
                <w:lang w:val="en-US" w:eastAsia="zh-CN" w:bidi="ar"/>
              </w:rPr>
              <w:t>5</w:t>
            </w:r>
          </w:p>
        </w:tc>
        <w:tc>
          <w:tcPr>
            <w:tcW w:w="612"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w:t>
            </w:r>
            <w:r>
              <w:rPr>
                <w:rFonts w:hint="eastAsia" w:eastAsia="仿宋_GB2312" w:cs="Times New Roman"/>
                <w:i w:val="0"/>
                <w:iCs w:val="0"/>
                <w:color w:val="auto"/>
                <w:kern w:val="0"/>
                <w:sz w:val="18"/>
                <w:szCs w:val="18"/>
                <w:u w:val="none"/>
                <w:lang w:val="en-US" w:eastAsia="zh-CN" w:bidi="ar"/>
              </w:rPr>
              <w:t>5</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10%</w:t>
            </w:r>
          </w:p>
        </w:tc>
        <w:tc>
          <w:tcPr>
            <w:tcW w:w="1543" w:type="pct"/>
            <w:gridSpan w:val="2"/>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个性指标</w:t>
            </w:r>
          </w:p>
        </w:tc>
        <w:tc>
          <w:tcPr>
            <w:tcW w:w="997"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社会效益</w:t>
            </w:r>
          </w:p>
        </w:tc>
        <w:tc>
          <w:tcPr>
            <w:tcW w:w="1444"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民族发展促进</w:t>
            </w:r>
          </w:p>
        </w:tc>
        <w:tc>
          <w:tcPr>
            <w:tcW w:w="517"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10</w:t>
            </w:r>
          </w:p>
        </w:tc>
        <w:tc>
          <w:tcPr>
            <w:tcW w:w="612"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10</w:t>
            </w:r>
          </w:p>
        </w:tc>
        <w:tc>
          <w:tcPr>
            <w:tcW w:w="6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1" w:hRule="atLeast"/>
          <w:jc w:val="center"/>
        </w:trPr>
        <w:tc>
          <w:tcPr>
            <w:tcW w:w="3214" w:type="pct"/>
            <w:gridSpan w:val="5"/>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eastAsia" w:ascii="Times New Roman" w:hAnsi="Times New Roman" w:eastAsia="仿宋_GB2312" w:cs="Times New Roman"/>
                <w:b/>
                <w:bCs/>
                <w:i w:val="0"/>
                <w:iCs w:val="0"/>
                <w:color w:val="auto"/>
                <w:kern w:val="0"/>
                <w:sz w:val="18"/>
                <w:szCs w:val="18"/>
                <w:u w:val="none"/>
                <w:lang w:val="en-US" w:eastAsia="zh-CN" w:bidi="ar"/>
              </w:rPr>
              <w:t>总分</w:t>
            </w:r>
          </w:p>
        </w:tc>
        <w:tc>
          <w:tcPr>
            <w:tcW w:w="517"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eastAsia" w:ascii="Times New Roman" w:hAnsi="Times New Roman" w:eastAsia="仿宋_GB2312" w:cs="Times New Roman"/>
                <w:b/>
                <w:bCs/>
                <w:i w:val="0"/>
                <w:iCs w:val="0"/>
                <w:color w:val="auto"/>
                <w:kern w:val="0"/>
                <w:sz w:val="18"/>
                <w:szCs w:val="18"/>
                <w:u w:val="none"/>
                <w:lang w:val="en-US" w:eastAsia="zh-CN" w:bidi="ar"/>
              </w:rPr>
              <w:t>82</w:t>
            </w:r>
          </w:p>
        </w:tc>
        <w:tc>
          <w:tcPr>
            <w:tcW w:w="612"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eastAsia" w:eastAsia="仿宋_GB2312" w:cs="Times New Roman"/>
                <w:b/>
                <w:bCs/>
                <w:i w:val="0"/>
                <w:iCs w:val="0"/>
                <w:color w:val="auto"/>
                <w:kern w:val="0"/>
                <w:sz w:val="18"/>
                <w:szCs w:val="18"/>
                <w:u w:val="none"/>
                <w:lang w:val="en-US" w:eastAsia="zh-CN" w:bidi="ar"/>
              </w:rPr>
              <w:t>79</w:t>
            </w:r>
          </w:p>
        </w:tc>
        <w:tc>
          <w:tcPr>
            <w:tcW w:w="655"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p>
        </w:tc>
      </w:tr>
    </w:tbl>
    <w:p>
      <w:pPr>
        <w:pStyle w:val="4"/>
        <w:spacing w:line="600" w:lineRule="exact"/>
        <w:ind w:firstLine="640"/>
        <w:rPr>
          <w:rFonts w:hint="default" w:ascii="Times New Roman" w:hAnsi="Times New Roman" w:eastAsia="仿宋_GB2312" w:cs="Times New Roman"/>
        </w:rPr>
      </w:pPr>
      <w:bookmarkStart w:id="75" w:name="_Toc26201"/>
      <w:bookmarkStart w:id="76" w:name="_Toc16275"/>
      <w:r>
        <w:rPr>
          <w:rFonts w:hint="eastAsia" w:eastAsia="仿宋_GB2312" w:cs="Times New Roman"/>
          <w:lang w:val="en-US" w:eastAsia="zh-CN"/>
        </w:rPr>
        <w:t>3、</w:t>
      </w:r>
      <w:r>
        <w:rPr>
          <w:rFonts w:hint="default" w:ascii="Times New Roman" w:hAnsi="Times New Roman" w:eastAsia="仿宋_GB2312" w:cs="Times New Roman"/>
          <w:lang w:val="en-US" w:eastAsia="zh-CN"/>
        </w:rPr>
        <w:t>绩效结果应用</w:t>
      </w:r>
      <w:r>
        <w:rPr>
          <w:rFonts w:hint="default" w:ascii="Times New Roman" w:hAnsi="Times New Roman" w:eastAsia="仿宋_GB2312" w:cs="Times New Roman"/>
        </w:rPr>
        <w:t>情况分析</w:t>
      </w:r>
      <w:bookmarkEnd w:id="74"/>
      <w:bookmarkEnd w:id="75"/>
      <w:bookmarkEnd w:id="76"/>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default" w:eastAsia="仿宋_GB2312" w:cs="Times New Roman"/>
          <w:color w:val="000000"/>
          <w:kern w:val="0"/>
          <w:sz w:val="32"/>
          <w:szCs w:val="32"/>
          <w:highlight w:val="none"/>
          <w:lang w:val="en-US" w:eastAsia="zh-CN" w:bidi="ar"/>
        </w:rPr>
        <w:t>该指标权重为</w:t>
      </w:r>
      <w:r>
        <w:rPr>
          <w:rFonts w:hint="eastAsia" w:eastAsia="仿宋_GB2312" w:cs="Times New Roman"/>
          <w:color w:val="000000"/>
          <w:kern w:val="0"/>
          <w:sz w:val="32"/>
          <w:szCs w:val="32"/>
          <w:highlight w:val="none"/>
          <w:lang w:val="en-US" w:eastAsia="zh-CN" w:bidi="ar"/>
        </w:rPr>
        <w:t>1</w:t>
      </w:r>
      <w:r>
        <w:rPr>
          <w:rFonts w:hint="default" w:eastAsia="仿宋_GB2312" w:cs="Times New Roman"/>
          <w:color w:val="000000"/>
          <w:kern w:val="0"/>
          <w:sz w:val="32"/>
          <w:szCs w:val="32"/>
          <w:highlight w:val="none"/>
          <w:lang w:val="en-US" w:eastAsia="zh-CN" w:bidi="ar"/>
        </w:rPr>
        <w:t>0分，评价权重</w:t>
      </w:r>
      <w:r>
        <w:rPr>
          <w:rFonts w:hint="eastAsia" w:eastAsia="仿宋_GB2312" w:cs="Times New Roman"/>
          <w:color w:val="000000"/>
          <w:kern w:val="0"/>
          <w:sz w:val="32"/>
          <w:szCs w:val="32"/>
          <w:highlight w:val="none"/>
          <w:lang w:val="en-US" w:eastAsia="zh-CN" w:bidi="ar"/>
        </w:rPr>
        <w:t>2</w:t>
      </w:r>
      <w:r>
        <w:rPr>
          <w:rFonts w:hint="default" w:eastAsia="仿宋_GB2312" w:cs="Times New Roman"/>
          <w:color w:val="000000"/>
          <w:kern w:val="0"/>
          <w:sz w:val="32"/>
          <w:szCs w:val="32"/>
          <w:highlight w:val="none"/>
          <w:lang w:val="en-US" w:eastAsia="zh-CN" w:bidi="ar"/>
        </w:rPr>
        <w:t>分，评价权重得分</w:t>
      </w:r>
      <w:r>
        <w:rPr>
          <w:rFonts w:hint="eastAsia" w:eastAsia="仿宋_GB2312" w:cs="Times New Roman"/>
          <w:color w:val="000000"/>
          <w:kern w:val="0"/>
          <w:sz w:val="32"/>
          <w:szCs w:val="32"/>
          <w:highlight w:val="none"/>
          <w:lang w:val="en-US" w:eastAsia="zh-CN" w:bidi="ar"/>
        </w:rPr>
        <w:t>2</w:t>
      </w:r>
      <w:r>
        <w:rPr>
          <w:rFonts w:hint="default" w:eastAsia="仿宋_GB2312" w:cs="Times New Roman"/>
          <w:color w:val="000000"/>
          <w:kern w:val="0"/>
          <w:sz w:val="32"/>
          <w:szCs w:val="32"/>
          <w:highlight w:val="none"/>
          <w:lang w:val="en-US" w:eastAsia="zh-CN" w:bidi="ar"/>
        </w:rPr>
        <w:t>分。用于考察评价部门是否按要求将相关绩效信息向社会公开</w:t>
      </w:r>
      <w:r>
        <w:rPr>
          <w:rFonts w:hint="eastAsia" w:eastAsia="仿宋_GB2312" w:cs="Times New Roman"/>
          <w:color w:val="000000"/>
          <w:kern w:val="0"/>
          <w:sz w:val="32"/>
          <w:szCs w:val="32"/>
          <w:highlight w:val="none"/>
          <w:lang w:val="en-US" w:eastAsia="zh-CN" w:bidi="ar"/>
        </w:rPr>
        <w:t>；评价部门根据绩效管理结果整改问题、完善政策、改进管理的情况；评价部门按要求及时向财政部门反馈结果应用情况等</w:t>
      </w:r>
      <w:r>
        <w:rPr>
          <w:rFonts w:hint="default"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default" w:eastAsia="仿宋_GB2312" w:cs="Times New Roman"/>
          <w:color w:val="000000"/>
          <w:kern w:val="0"/>
          <w:sz w:val="32"/>
          <w:szCs w:val="32"/>
          <w:highlight w:val="none"/>
          <w:lang w:val="en-US" w:eastAsia="zh-CN" w:bidi="ar"/>
        </w:rPr>
        <w:t>各分项指标得分和绩效分析如下：</w:t>
      </w:r>
    </w:p>
    <w:p>
      <w:pPr>
        <w:widowControl/>
        <w:spacing w:line="600" w:lineRule="exact"/>
        <w:ind w:firstLine="48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eastAsia="仿宋_GB2312" w:cs="Times New Roman"/>
          <w:b/>
          <w:bCs/>
          <w:color w:val="000000"/>
          <w:kern w:val="0"/>
          <w:highlight w:val="none"/>
          <w:lang w:val="en-US" w:eastAsia="zh-CN" w:bidi="ar"/>
        </w:rPr>
        <w:t>11</w:t>
      </w:r>
      <w:r>
        <w:rPr>
          <w:rFonts w:hint="default" w:ascii="Times New Roman" w:hAnsi="Times New Roman" w:eastAsia="仿宋_GB2312" w:cs="Times New Roman"/>
          <w:b/>
          <w:bCs/>
          <w:color w:val="000000"/>
          <w:kern w:val="0"/>
          <w:highlight w:val="none"/>
          <w:lang w:bidi="ar"/>
        </w:rPr>
        <w:t>部门整体支出</w:t>
      </w:r>
      <w:r>
        <w:rPr>
          <w:rFonts w:hint="default" w:ascii="Times New Roman" w:hAnsi="Times New Roman" w:eastAsia="仿宋_GB2312" w:cs="Times New Roman"/>
          <w:b/>
          <w:bCs/>
          <w:color w:val="000000"/>
          <w:kern w:val="0"/>
          <w:highlight w:val="none"/>
          <w:lang w:val="en-US" w:eastAsia="zh-CN" w:bidi="ar"/>
        </w:rPr>
        <w:t>绩效结果</w:t>
      </w:r>
      <w:r>
        <w:rPr>
          <w:rFonts w:hint="eastAsia" w:eastAsia="仿宋_GB2312" w:cs="Times New Roman"/>
          <w:b/>
          <w:bCs/>
          <w:color w:val="000000"/>
          <w:kern w:val="0"/>
          <w:highlight w:val="none"/>
          <w:lang w:val="en-US" w:eastAsia="zh-CN" w:bidi="ar"/>
        </w:rPr>
        <w:t>应用</w:t>
      </w:r>
      <w:r>
        <w:rPr>
          <w:rFonts w:hint="default" w:ascii="Times New Roman" w:hAnsi="Times New Roman" w:eastAsia="仿宋_GB2312" w:cs="Times New Roman"/>
          <w:b/>
          <w:bCs/>
          <w:color w:val="000000"/>
          <w:kern w:val="0"/>
          <w:highlight w:val="none"/>
          <w:lang w:bidi="ar"/>
        </w:rPr>
        <w:t>情况得分表</w:t>
      </w:r>
    </w:p>
    <w:tbl>
      <w:tblPr>
        <w:tblStyle w:val="41"/>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1333"/>
        <w:gridCol w:w="1467"/>
        <w:gridCol w:w="900"/>
        <w:gridCol w:w="1267"/>
        <w:gridCol w:w="1197"/>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33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4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w:t>
            </w:r>
            <w:r>
              <w:rPr>
                <w:rFonts w:hint="default" w:ascii="Times New Roman" w:hAnsi="Times New Roman" w:eastAsia="仿宋_GB2312" w:cs="Times New Roman"/>
                <w:b/>
                <w:bCs/>
                <w:color w:val="000000"/>
                <w:kern w:val="0"/>
                <w:highlight w:val="none"/>
                <w:lang w:bidi="ar"/>
              </w:rPr>
              <w:t>得分</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绩效结果应用（10分）</w:t>
            </w:r>
          </w:p>
        </w:tc>
        <w:tc>
          <w:tcPr>
            <w:tcW w:w="133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信息公开（2分）</w:t>
            </w: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自评公开</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2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19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062"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333"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整改反馈（8分）</w:t>
            </w: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问题整改</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w:t>
            </w:r>
          </w:p>
        </w:tc>
        <w:tc>
          <w:tcPr>
            <w:tcW w:w="3526" w:type="dxa"/>
            <w:gridSpan w:val="3"/>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333"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应用反馈</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w:t>
            </w:r>
          </w:p>
        </w:tc>
        <w:tc>
          <w:tcPr>
            <w:tcW w:w="3526" w:type="dxa"/>
            <w:gridSpan w:val="3"/>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0"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1</w:t>
            </w:r>
            <w:r>
              <w:rPr>
                <w:rFonts w:hint="default" w:ascii="Times New Roman" w:hAnsi="Times New Roman" w:eastAsia="仿宋_GB2312" w:cs="Times New Roman"/>
                <w:b/>
                <w:bCs/>
                <w:color w:val="000000"/>
                <w:kern w:val="0"/>
                <w:highlight w:val="none"/>
                <w:lang w:val="en-US" w:eastAsia="zh-CN" w:bidi="ar"/>
              </w:rPr>
              <w:t>0</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100%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自评公开</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color w:val="000000"/>
          <w:kern w:val="0"/>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bidi="ar-SA"/>
        </w:rPr>
        <w:t>阿坝县民族宗教局</w:t>
      </w:r>
      <w:r>
        <w:rPr>
          <w:rFonts w:hint="eastAsia" w:ascii="Times New Roman" w:hAnsi="Times New Roman" w:eastAsia="仿宋_GB2312" w:cs="Times New Roman"/>
          <w:kern w:val="0"/>
          <w:sz w:val="32"/>
          <w:szCs w:val="32"/>
          <w:highlight w:val="none"/>
          <w:shd w:val="clear" w:color="auto" w:fill="FFFFFF"/>
          <w:lang w:val="en-US" w:eastAsia="zh-CN" w:bidi="ar-SA"/>
        </w:rPr>
        <w:t>已按要求将</w:t>
      </w:r>
      <w:r>
        <w:rPr>
          <w:rFonts w:hint="eastAsia" w:eastAsia="仿宋_GB2312" w:cs="Times New Roman"/>
          <w:kern w:val="0"/>
          <w:sz w:val="32"/>
          <w:szCs w:val="32"/>
          <w:highlight w:val="none"/>
          <w:shd w:val="clear" w:color="auto" w:fill="FFFFFF"/>
          <w:lang w:val="en-US" w:eastAsia="zh-CN" w:bidi="ar-SA"/>
        </w:rPr>
        <w:t>2022</w:t>
      </w:r>
      <w:r>
        <w:rPr>
          <w:rFonts w:hint="eastAsia" w:ascii="Times New Roman" w:hAnsi="Times New Roman" w:eastAsia="仿宋_GB2312" w:cs="Times New Roman"/>
          <w:kern w:val="0"/>
          <w:sz w:val="32"/>
          <w:szCs w:val="32"/>
          <w:highlight w:val="none"/>
          <w:shd w:val="clear" w:color="auto" w:fill="FFFFFF"/>
          <w:lang w:val="en-US" w:eastAsia="zh-CN" w:bidi="ar-SA"/>
        </w:rPr>
        <w:t>年预算、</w:t>
      </w:r>
      <w:r>
        <w:rPr>
          <w:rFonts w:hint="eastAsia" w:eastAsia="仿宋_GB2312" w:cs="Times New Roman"/>
          <w:kern w:val="0"/>
          <w:sz w:val="32"/>
          <w:szCs w:val="32"/>
          <w:highlight w:val="none"/>
          <w:shd w:val="clear" w:color="auto" w:fill="FFFFFF"/>
          <w:lang w:val="en-US" w:eastAsia="zh-CN" w:bidi="ar-SA"/>
        </w:rPr>
        <w:t>2022</w:t>
      </w:r>
      <w:r>
        <w:rPr>
          <w:rFonts w:hint="eastAsia" w:ascii="Times New Roman" w:hAnsi="Times New Roman" w:eastAsia="仿宋_GB2312" w:cs="Times New Roman"/>
          <w:kern w:val="0"/>
          <w:sz w:val="32"/>
          <w:szCs w:val="32"/>
          <w:highlight w:val="none"/>
          <w:shd w:val="clear" w:color="auto" w:fill="FFFFFF"/>
          <w:lang w:val="en-US" w:eastAsia="zh-CN" w:bidi="ar-SA"/>
        </w:rPr>
        <w:t>年决算</w:t>
      </w:r>
      <w:r>
        <w:rPr>
          <w:rFonts w:hint="eastAsia" w:eastAsia="仿宋_GB2312" w:cs="Times New Roman"/>
          <w:kern w:val="0"/>
          <w:sz w:val="32"/>
          <w:szCs w:val="32"/>
          <w:highlight w:val="none"/>
          <w:shd w:val="clear" w:color="auto" w:fill="FFFFFF"/>
          <w:lang w:val="en-US" w:eastAsia="zh-CN" w:bidi="ar-SA"/>
        </w:rPr>
        <w:t>；</w:t>
      </w:r>
      <w:r>
        <w:rPr>
          <w:rFonts w:hint="eastAsia" w:ascii="Times New Roman" w:hAnsi="Times New Roman" w:eastAsia="仿宋_GB2312" w:cs="Times New Roman"/>
          <w:kern w:val="0"/>
          <w:sz w:val="32"/>
          <w:szCs w:val="32"/>
          <w:highlight w:val="none"/>
          <w:shd w:val="clear" w:color="auto" w:fill="FFFFFF"/>
          <w:lang w:val="en-US" w:eastAsia="zh-CN" w:bidi="ar-SA"/>
        </w:rPr>
        <w:t>其中</w:t>
      </w:r>
      <w:r>
        <w:rPr>
          <w:rFonts w:hint="eastAsia" w:eastAsia="仿宋_GB2312" w:cs="Times New Roman"/>
          <w:kern w:val="0"/>
          <w:sz w:val="32"/>
          <w:szCs w:val="32"/>
          <w:highlight w:val="none"/>
          <w:shd w:val="clear" w:color="auto" w:fill="FFFFFF"/>
          <w:lang w:val="en-US" w:eastAsia="zh-CN" w:bidi="ar-SA"/>
        </w:rPr>
        <w:t>阿坝县民族宗教局</w:t>
      </w:r>
      <w:r>
        <w:rPr>
          <w:rFonts w:hint="eastAsia" w:ascii="Times New Roman" w:hAnsi="Times New Roman" w:eastAsia="仿宋_GB2312" w:cs="Times New Roman"/>
          <w:kern w:val="0"/>
          <w:sz w:val="32"/>
          <w:szCs w:val="32"/>
          <w:highlight w:val="none"/>
          <w:shd w:val="clear" w:color="auto" w:fill="FFFFFF"/>
          <w:lang w:val="en-US" w:eastAsia="zh-CN" w:bidi="ar-SA"/>
        </w:rPr>
        <w:t>于</w:t>
      </w:r>
      <w:r>
        <w:rPr>
          <w:rFonts w:hint="eastAsia" w:eastAsia="仿宋_GB2312" w:cs="Times New Roman"/>
          <w:kern w:val="0"/>
          <w:sz w:val="32"/>
          <w:szCs w:val="32"/>
          <w:highlight w:val="none"/>
          <w:shd w:val="clear" w:color="auto" w:fill="FFFFFF"/>
          <w:lang w:val="en-US" w:eastAsia="zh-CN" w:bidi="ar-SA"/>
        </w:rPr>
        <w:t>2022</w:t>
      </w:r>
      <w:r>
        <w:rPr>
          <w:rFonts w:hint="eastAsia" w:ascii="Times New Roman" w:hAnsi="Times New Roman" w:eastAsia="仿宋_GB2312" w:cs="Times New Roman"/>
          <w:kern w:val="0"/>
          <w:sz w:val="32"/>
          <w:szCs w:val="32"/>
          <w:highlight w:val="none"/>
          <w:shd w:val="clear" w:color="auto" w:fill="FFFFFF"/>
          <w:lang w:val="en-US" w:eastAsia="zh-CN" w:bidi="ar-SA"/>
        </w:rPr>
        <w:t>年</w:t>
      </w:r>
      <w:r>
        <w:rPr>
          <w:rFonts w:hint="eastAsia" w:eastAsia="仿宋_GB2312" w:cs="Times New Roman"/>
          <w:kern w:val="0"/>
          <w:sz w:val="32"/>
          <w:szCs w:val="32"/>
          <w:highlight w:val="none"/>
          <w:shd w:val="clear" w:color="auto" w:fill="FFFFFF"/>
          <w:lang w:val="en-US" w:eastAsia="zh-CN" w:bidi="ar-SA"/>
        </w:rPr>
        <w:t>1</w:t>
      </w:r>
      <w:r>
        <w:rPr>
          <w:rFonts w:hint="eastAsia" w:ascii="Times New Roman" w:hAnsi="Times New Roman" w:eastAsia="仿宋_GB2312" w:cs="Times New Roman"/>
          <w:kern w:val="0"/>
          <w:sz w:val="32"/>
          <w:szCs w:val="32"/>
          <w:highlight w:val="none"/>
          <w:shd w:val="clear" w:color="auto" w:fill="FFFFFF"/>
          <w:lang w:val="en-US" w:eastAsia="zh-CN" w:bidi="ar-SA"/>
        </w:rPr>
        <w:t>月</w:t>
      </w:r>
      <w:r>
        <w:rPr>
          <w:rFonts w:hint="eastAsia" w:eastAsia="仿宋_GB2312" w:cs="Times New Roman"/>
          <w:kern w:val="0"/>
          <w:sz w:val="32"/>
          <w:szCs w:val="32"/>
          <w:highlight w:val="none"/>
          <w:shd w:val="clear" w:color="auto" w:fill="FFFFFF"/>
          <w:lang w:val="en-US" w:eastAsia="zh-CN" w:bidi="ar-SA"/>
        </w:rPr>
        <w:t>27</w:t>
      </w:r>
      <w:r>
        <w:rPr>
          <w:rFonts w:hint="eastAsia" w:ascii="Times New Roman" w:hAnsi="Times New Roman" w:eastAsia="仿宋_GB2312" w:cs="Times New Roman"/>
          <w:kern w:val="0"/>
          <w:sz w:val="32"/>
          <w:szCs w:val="32"/>
          <w:highlight w:val="none"/>
          <w:shd w:val="clear" w:color="auto" w:fill="FFFFFF"/>
          <w:lang w:val="en-US" w:eastAsia="zh-CN" w:bidi="ar-SA"/>
        </w:rPr>
        <w:t>日公开</w:t>
      </w:r>
      <w:r>
        <w:rPr>
          <w:rFonts w:hint="eastAsia" w:eastAsia="仿宋_GB2312" w:cs="Times New Roman"/>
          <w:kern w:val="0"/>
          <w:sz w:val="32"/>
          <w:szCs w:val="32"/>
          <w:highlight w:val="none"/>
          <w:shd w:val="clear" w:color="auto" w:fill="FFFFFF"/>
          <w:lang w:val="en-US" w:eastAsia="zh-CN" w:bidi="ar-SA"/>
        </w:rPr>
        <w:t>2022</w:t>
      </w:r>
      <w:r>
        <w:rPr>
          <w:rFonts w:hint="eastAsia" w:ascii="Times New Roman" w:hAnsi="Times New Roman" w:eastAsia="仿宋_GB2312" w:cs="Times New Roman"/>
          <w:kern w:val="0"/>
          <w:sz w:val="32"/>
          <w:szCs w:val="32"/>
          <w:highlight w:val="none"/>
          <w:shd w:val="clear" w:color="auto" w:fill="FFFFFF"/>
          <w:lang w:val="en-US" w:eastAsia="zh-CN" w:bidi="ar-SA"/>
        </w:rPr>
        <w:t>年预算报表，202</w:t>
      </w:r>
      <w:r>
        <w:rPr>
          <w:rFonts w:hint="eastAsia" w:eastAsia="仿宋_GB2312" w:cs="Times New Roman"/>
          <w:kern w:val="0"/>
          <w:sz w:val="32"/>
          <w:szCs w:val="32"/>
          <w:highlight w:val="none"/>
          <w:shd w:val="clear" w:color="auto" w:fill="FFFFFF"/>
          <w:lang w:val="en-US" w:eastAsia="zh-CN" w:bidi="ar-SA"/>
        </w:rPr>
        <w:t>3</w:t>
      </w:r>
      <w:r>
        <w:rPr>
          <w:rFonts w:hint="eastAsia" w:ascii="Times New Roman" w:hAnsi="Times New Roman" w:eastAsia="仿宋_GB2312" w:cs="Times New Roman"/>
          <w:kern w:val="0"/>
          <w:sz w:val="32"/>
          <w:szCs w:val="32"/>
          <w:highlight w:val="none"/>
          <w:shd w:val="clear" w:color="auto" w:fill="FFFFFF"/>
          <w:lang w:val="en-US" w:eastAsia="zh-CN" w:bidi="ar-SA"/>
        </w:rPr>
        <w:t>年9月</w:t>
      </w:r>
      <w:r>
        <w:rPr>
          <w:rFonts w:hint="eastAsia" w:eastAsia="仿宋_GB2312" w:cs="Times New Roman"/>
          <w:kern w:val="0"/>
          <w:sz w:val="32"/>
          <w:szCs w:val="32"/>
          <w:highlight w:val="none"/>
          <w:shd w:val="clear" w:color="auto" w:fill="FFFFFF"/>
          <w:lang w:val="en-US" w:eastAsia="zh-CN" w:bidi="ar-SA"/>
        </w:rPr>
        <w:t>11</w:t>
      </w:r>
      <w:r>
        <w:rPr>
          <w:rFonts w:hint="eastAsia" w:ascii="Times New Roman" w:hAnsi="Times New Roman" w:eastAsia="仿宋_GB2312" w:cs="Times New Roman"/>
          <w:kern w:val="0"/>
          <w:sz w:val="32"/>
          <w:szCs w:val="32"/>
          <w:highlight w:val="none"/>
          <w:shd w:val="clear" w:color="auto" w:fill="FFFFFF"/>
          <w:lang w:val="en-US" w:eastAsia="zh-CN" w:bidi="ar-SA"/>
        </w:rPr>
        <w:t>日公开</w:t>
      </w:r>
      <w:r>
        <w:rPr>
          <w:rFonts w:hint="eastAsia" w:eastAsia="仿宋_GB2312" w:cs="Times New Roman"/>
          <w:kern w:val="0"/>
          <w:sz w:val="32"/>
          <w:szCs w:val="32"/>
          <w:highlight w:val="none"/>
          <w:shd w:val="clear" w:color="auto" w:fill="FFFFFF"/>
          <w:lang w:val="en-US" w:eastAsia="zh-CN" w:bidi="ar-SA"/>
        </w:rPr>
        <w:t>2022</w:t>
      </w:r>
      <w:r>
        <w:rPr>
          <w:rFonts w:hint="eastAsia" w:ascii="Times New Roman" w:hAnsi="Times New Roman" w:eastAsia="仿宋_GB2312" w:cs="Times New Roman"/>
          <w:kern w:val="0"/>
          <w:sz w:val="32"/>
          <w:szCs w:val="32"/>
          <w:highlight w:val="none"/>
          <w:shd w:val="clear" w:color="auto" w:fill="FFFFFF"/>
          <w:lang w:val="en-US" w:eastAsia="zh-CN" w:bidi="ar-SA"/>
        </w:rPr>
        <w:t>年决算报表。</w:t>
      </w:r>
    </w:p>
    <w:p>
      <w:pPr>
        <w:spacing w:line="360" w:lineRule="auto"/>
        <w:ind w:left="0" w:leftChars="0" w:firstLine="0" w:firstLineChars="0"/>
        <w:jc w:val="center"/>
        <w:rPr>
          <w:rFonts w:hint="default" w:ascii="Times New Roman" w:hAnsi="Times New Roman" w:eastAsia="仿宋_GB2312" w:cs="Times New Roman"/>
          <w:b/>
          <w:bCs/>
          <w:color w:val="000000"/>
          <w:kern w:val="0"/>
          <w:highlight w:val="none"/>
          <w:shd w:val="clear" w:color="auto" w:fill="FFFFFF"/>
          <w:lang w:val="en-US" w:eastAsia="zh-CN"/>
        </w:rPr>
      </w:pPr>
    </w:p>
    <w:p>
      <w:pPr>
        <w:spacing w:line="360" w:lineRule="auto"/>
        <w:ind w:left="0" w:leftChars="0" w:firstLine="0" w:firstLineChars="0"/>
        <w:jc w:val="center"/>
        <w:rPr>
          <w:rFonts w:hint="default" w:ascii="Times New Roman" w:hAnsi="Times New Roman" w:eastAsia="仿宋_GB2312" w:cs="Times New Roman"/>
          <w:b w:val="0"/>
          <w:bCs w:val="0"/>
          <w:kern w:val="0"/>
          <w:sz w:val="32"/>
          <w:szCs w:val="32"/>
          <w:shd w:val="clear" w:color="auto" w:fill="FFFFFF"/>
          <w:lang w:val="en-US" w:eastAsia="zh-CN"/>
        </w:rPr>
      </w:pPr>
      <w:r>
        <w:rPr>
          <w:rFonts w:hint="default" w:ascii="Times New Roman" w:hAnsi="Times New Roman" w:eastAsia="仿宋_GB2312" w:cs="Times New Roman"/>
          <w:b/>
          <w:bCs/>
          <w:color w:val="000000"/>
          <w:kern w:val="0"/>
          <w:highlight w:val="none"/>
          <w:shd w:val="clear" w:color="auto" w:fill="FFFFFF"/>
          <w:lang w:val="en-US" w:eastAsia="zh-CN"/>
        </w:rPr>
        <w:t>图</w:t>
      </w:r>
      <w:r>
        <w:rPr>
          <w:rFonts w:hint="eastAsia" w:ascii="Times New Roman" w:hAnsi="Times New Roman" w:eastAsia="仿宋_GB2312" w:cs="Times New Roman"/>
          <w:b/>
          <w:bCs/>
          <w:color w:val="000000"/>
          <w:kern w:val="0"/>
          <w:highlight w:val="none"/>
          <w:shd w:val="clear" w:color="auto" w:fill="FFFFFF"/>
          <w:lang w:val="en-US" w:eastAsia="zh-CN"/>
        </w:rPr>
        <w:t>3</w:t>
      </w:r>
      <w:r>
        <w:rPr>
          <w:rFonts w:hint="default" w:ascii="Times New Roman" w:hAnsi="Times New Roman" w:eastAsia="仿宋_GB2312" w:cs="Times New Roman"/>
          <w:b/>
          <w:bCs/>
          <w:color w:val="000000"/>
          <w:kern w:val="0"/>
          <w:highlight w:val="none"/>
          <w:shd w:val="clear" w:color="auto" w:fill="FFFFFF"/>
          <w:lang w:val="en-US" w:eastAsia="zh-CN"/>
        </w:rPr>
        <w:t xml:space="preserve"> </w:t>
      </w:r>
      <w:r>
        <w:rPr>
          <w:rFonts w:hint="eastAsia" w:eastAsia="仿宋_GB2312" w:cs="Times New Roman"/>
          <w:b/>
          <w:bCs/>
          <w:color w:val="000000"/>
          <w:kern w:val="0"/>
          <w:highlight w:val="none"/>
          <w:shd w:val="clear" w:color="auto" w:fill="FFFFFF"/>
          <w:lang w:eastAsia="zh-CN"/>
        </w:rPr>
        <w:t>202</w:t>
      </w:r>
      <w:r>
        <w:rPr>
          <w:rFonts w:hint="eastAsia" w:eastAsia="仿宋_GB2312" w:cs="Times New Roman"/>
          <w:b/>
          <w:bCs/>
          <w:color w:val="000000"/>
          <w:kern w:val="0"/>
          <w:highlight w:val="none"/>
          <w:shd w:val="clear" w:color="auto" w:fill="FFFFFF"/>
          <w:lang w:val="en-US" w:eastAsia="zh-CN"/>
        </w:rPr>
        <w:t>2</w:t>
      </w:r>
      <w:r>
        <w:rPr>
          <w:rFonts w:hint="eastAsia" w:eastAsia="仿宋_GB2312" w:cs="Times New Roman"/>
          <w:b/>
          <w:bCs/>
          <w:color w:val="000000"/>
          <w:kern w:val="0"/>
          <w:highlight w:val="none"/>
          <w:shd w:val="clear" w:color="auto" w:fill="FFFFFF"/>
          <w:lang w:eastAsia="zh-CN"/>
        </w:rPr>
        <w:t>年</w:t>
      </w:r>
      <w:r>
        <w:rPr>
          <w:rFonts w:hint="default" w:ascii="Times New Roman" w:hAnsi="Times New Roman" w:eastAsia="仿宋_GB2312" w:cs="Times New Roman"/>
          <w:b/>
          <w:bCs/>
          <w:color w:val="000000"/>
          <w:kern w:val="0"/>
          <w:highlight w:val="none"/>
          <w:shd w:val="clear" w:color="auto" w:fill="FFFFFF"/>
        </w:rPr>
        <w:t>预算</w:t>
      </w:r>
      <w:r>
        <w:rPr>
          <w:rFonts w:hint="eastAsia" w:ascii="Times New Roman" w:hAnsi="Times New Roman" w:eastAsia="仿宋_GB2312" w:cs="Times New Roman"/>
          <w:b/>
          <w:bCs/>
          <w:color w:val="000000"/>
          <w:kern w:val="0"/>
          <w:highlight w:val="none"/>
          <w:shd w:val="clear" w:color="auto" w:fill="FFFFFF"/>
          <w:lang w:eastAsia="zh-CN"/>
        </w:rPr>
        <w:t>、</w:t>
      </w:r>
      <w:r>
        <w:rPr>
          <w:rFonts w:hint="eastAsia" w:ascii="Times New Roman" w:hAnsi="Times New Roman" w:eastAsia="仿宋_GB2312" w:cs="Times New Roman"/>
          <w:b/>
          <w:bCs/>
          <w:color w:val="000000"/>
          <w:kern w:val="0"/>
          <w:highlight w:val="none"/>
          <w:shd w:val="clear" w:color="auto" w:fill="FFFFFF"/>
          <w:lang w:val="en-US" w:eastAsia="zh-CN"/>
        </w:rPr>
        <w:t>决算公开</w:t>
      </w:r>
      <w:r>
        <w:rPr>
          <w:rFonts w:hint="default" w:ascii="Times New Roman" w:hAnsi="Times New Roman" w:eastAsia="仿宋_GB2312" w:cs="Times New Roman"/>
          <w:b/>
          <w:bCs/>
          <w:color w:val="000000"/>
          <w:kern w:val="0"/>
          <w:highlight w:val="none"/>
          <w:shd w:val="clear" w:color="auto" w:fill="FFFFFF"/>
        </w:rPr>
        <w:t>情况图</w:t>
      </w:r>
    </w:p>
    <w:p>
      <w:pPr>
        <w:pStyle w:val="24"/>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center"/>
        <w:textAlignment w:val="auto"/>
        <w:rPr>
          <w:rFonts w:hint="eastAsia" w:eastAsia="仿宋_GB2312" w:cs="Times New Roman"/>
          <w:lang w:val="en-US" w:eastAsia="zh-CN"/>
        </w:rPr>
      </w:pPr>
      <w:r>
        <w:drawing>
          <wp:inline distT="0" distB="0" distL="114300" distR="114300">
            <wp:extent cx="5571490" cy="1400810"/>
            <wp:effectExtent l="0" t="0" r="3810" b="889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8"/>
                    <a:stretch>
                      <a:fillRect/>
                    </a:stretch>
                  </pic:blipFill>
                  <pic:spPr>
                    <a:xfrm>
                      <a:off x="0" y="0"/>
                      <a:ext cx="5571490" cy="1400810"/>
                    </a:xfrm>
                    <a:prstGeom prst="rect">
                      <a:avLst/>
                    </a:prstGeom>
                    <a:noFill/>
                    <a:ln>
                      <a:noFill/>
                    </a:ln>
                  </pic:spPr>
                </pic:pic>
              </a:graphicData>
            </a:graphic>
          </wp:inline>
        </w:drawing>
      </w:r>
    </w:p>
    <w:p>
      <w:pPr>
        <w:pStyle w:val="4"/>
        <w:pageBreakBefore w:val="0"/>
        <w:widowControl w:val="0"/>
        <w:numPr>
          <w:ilvl w:val="0"/>
          <w:numId w:val="0"/>
        </w:numPr>
        <w:kinsoku/>
        <w:wordWrap/>
        <w:overflowPunct/>
        <w:topLinePunct w:val="0"/>
        <w:autoSpaceDE/>
        <w:autoSpaceDN/>
        <w:bidi w:val="0"/>
        <w:adjustRightInd/>
        <w:spacing w:line="600" w:lineRule="exact"/>
        <w:ind w:firstLine="321" w:firstLineChars="100"/>
        <w:textAlignment w:val="auto"/>
        <w:rPr>
          <w:rFonts w:hint="default" w:ascii="Times New Roman" w:hAnsi="Times New Roman" w:eastAsia="仿宋_GB2312" w:cs="Times New Roman"/>
        </w:rPr>
      </w:pPr>
      <w:bookmarkStart w:id="77" w:name="_Toc8806"/>
      <w:bookmarkStart w:id="78" w:name="_Toc18038"/>
      <w:r>
        <w:rPr>
          <w:rFonts w:hint="eastAsia" w:eastAsia="仿宋_GB2312" w:cs="Times New Roman"/>
          <w:lang w:val="en-US" w:eastAsia="zh-CN"/>
        </w:rPr>
        <w:t>4</w:t>
      </w:r>
      <w:r>
        <w:rPr>
          <w:rFonts w:hint="default" w:ascii="Times New Roman" w:hAnsi="Times New Roman" w:eastAsia="仿宋_GB2312" w:cs="Times New Roman"/>
          <w:lang w:val="en-US" w:eastAsia="zh-CN"/>
        </w:rPr>
        <w:t>、</w:t>
      </w:r>
      <w:r>
        <w:rPr>
          <w:rFonts w:hint="eastAsia" w:eastAsia="仿宋_GB2312" w:cs="Times New Roman"/>
          <w:lang w:val="en-US" w:eastAsia="zh-CN"/>
        </w:rPr>
        <w:t>自评质量情况</w:t>
      </w:r>
      <w:r>
        <w:rPr>
          <w:rFonts w:hint="default" w:ascii="Times New Roman" w:hAnsi="Times New Roman" w:eastAsia="仿宋_GB2312" w:cs="Times New Roman"/>
        </w:rPr>
        <w:t>分析</w:t>
      </w:r>
      <w:bookmarkEnd w:id="77"/>
      <w:bookmarkEnd w:id="78"/>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shd w:val="clear" w:color="auto" w:fill="FFFFFF"/>
        </w:rPr>
        <w:t>该指标</w:t>
      </w:r>
      <w:r>
        <w:rPr>
          <w:rFonts w:hint="default" w:ascii="Times New Roman" w:hAnsi="Times New Roman" w:eastAsia="仿宋_GB2312" w:cs="Times New Roman"/>
          <w:kern w:val="0"/>
          <w:sz w:val="32"/>
          <w:szCs w:val="32"/>
          <w:highlight w:val="none"/>
          <w:shd w:val="clear" w:color="auto" w:fill="FFFFFF"/>
        </w:rPr>
        <w:t>权重为</w:t>
      </w:r>
      <w:r>
        <w:rPr>
          <w:rFonts w:hint="default" w:ascii="Times New Roman" w:hAnsi="Times New Roman" w:eastAsia="仿宋_GB2312" w:cs="Times New Roman"/>
          <w:color w:val="000000"/>
          <w:kern w:val="0"/>
          <w:sz w:val="32"/>
          <w:szCs w:val="32"/>
          <w:highlight w:val="none"/>
          <w:lang w:val="en-US" w:eastAsia="zh-CN" w:bidi="ar"/>
        </w:rPr>
        <w:t>10分，评价权重10分，评价权重得分</w:t>
      </w:r>
      <w:r>
        <w:rPr>
          <w:rFonts w:hint="eastAsia" w:eastAsia="仿宋_GB2312" w:cs="Times New Roman"/>
          <w:color w:val="000000"/>
          <w:kern w:val="0"/>
          <w:sz w:val="32"/>
          <w:szCs w:val="32"/>
          <w:highlight w:val="none"/>
          <w:lang w:val="en-US" w:eastAsia="zh-CN" w:bidi="ar"/>
        </w:rPr>
        <w:t>0</w:t>
      </w:r>
      <w:r>
        <w:rPr>
          <w:rFonts w:hint="default" w:ascii="Times New Roman" w:hAnsi="Times New Roman" w:eastAsia="仿宋_GB2312" w:cs="Times New Roman"/>
          <w:color w:val="000000"/>
          <w:kern w:val="0"/>
          <w:sz w:val="32"/>
          <w:szCs w:val="32"/>
          <w:highlight w:val="none"/>
          <w:lang w:val="en-US" w:eastAsia="zh-CN" w:bidi="ar"/>
        </w:rPr>
        <w:t>分。用于考察评价部门整体</w:t>
      </w:r>
      <w:r>
        <w:rPr>
          <w:rFonts w:hint="default" w:eastAsia="仿宋_GB2312" w:cs="Times New Roman"/>
          <w:color w:val="000000"/>
          <w:kern w:val="0"/>
          <w:sz w:val="32"/>
          <w:szCs w:val="32"/>
          <w:highlight w:val="none"/>
          <w:lang w:val="en-US" w:eastAsia="zh-CN" w:bidi="ar"/>
        </w:rPr>
        <w:t>支出</w:t>
      </w:r>
      <w:r>
        <w:rPr>
          <w:rFonts w:hint="default" w:ascii="Times New Roman" w:hAnsi="Times New Roman" w:eastAsia="仿宋_GB2312" w:cs="Times New Roman"/>
          <w:color w:val="000000"/>
          <w:kern w:val="0"/>
          <w:sz w:val="32"/>
          <w:szCs w:val="32"/>
          <w:highlight w:val="none"/>
          <w:lang w:val="en-US" w:eastAsia="zh-CN" w:bidi="ar"/>
        </w:rPr>
        <w:t>自评质量</w:t>
      </w:r>
      <w:r>
        <w:rPr>
          <w:rFonts w:hint="eastAsia" w:eastAsia="仿宋_GB2312" w:cs="Times New Roman"/>
          <w:color w:val="000000"/>
          <w:kern w:val="0"/>
          <w:sz w:val="32"/>
          <w:szCs w:val="32"/>
          <w:highlight w:val="none"/>
          <w:lang w:val="en-US" w:eastAsia="zh-CN" w:bidi="ar"/>
        </w:rPr>
        <w:t>情况</w:t>
      </w:r>
      <w:r>
        <w:rPr>
          <w:rFonts w:hint="default" w:ascii="Times New Roman" w:hAnsi="Times New Roman"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color w:val="000000"/>
          <w:kern w:val="0"/>
          <w:sz w:val="21"/>
          <w:szCs w:val="21"/>
          <w:lang w:bidi="ar"/>
        </w:rPr>
      </w:pPr>
      <w:r>
        <w:rPr>
          <w:rFonts w:hint="default" w:ascii="Times New Roman" w:hAnsi="Times New Roman" w:eastAsia="仿宋_GB2312" w:cs="Times New Roman"/>
          <w:color w:val="000000"/>
          <w:kern w:val="0"/>
          <w:sz w:val="32"/>
          <w:szCs w:val="32"/>
          <w:highlight w:val="none"/>
          <w:lang w:val="en-US" w:eastAsia="zh-CN" w:bidi="ar"/>
        </w:rPr>
        <w:t>各分项指标得分和</w:t>
      </w:r>
      <w:r>
        <w:rPr>
          <w:rFonts w:hint="default" w:eastAsia="仿宋_GB2312" w:cs="Times New Roman"/>
          <w:color w:val="000000"/>
          <w:kern w:val="0"/>
          <w:sz w:val="32"/>
          <w:szCs w:val="32"/>
          <w:highlight w:val="none"/>
          <w:lang w:val="en-US" w:eastAsia="zh-CN" w:bidi="ar"/>
        </w:rPr>
        <w:t>绩效</w:t>
      </w:r>
      <w:r>
        <w:rPr>
          <w:rFonts w:hint="default" w:ascii="Times New Roman" w:hAnsi="Times New Roman" w:eastAsia="仿宋_GB2312" w:cs="Times New Roman"/>
          <w:color w:val="000000"/>
          <w:kern w:val="0"/>
          <w:sz w:val="32"/>
          <w:szCs w:val="32"/>
          <w:highlight w:val="none"/>
          <w:lang w:val="en-US" w:eastAsia="zh-CN" w:bidi="ar"/>
        </w:rPr>
        <w:t>分析</w:t>
      </w:r>
      <w:r>
        <w:rPr>
          <w:rFonts w:hint="default" w:ascii="Times New Roman" w:hAnsi="Times New Roman" w:eastAsia="仿宋_GB2312" w:cs="Times New Roman"/>
          <w:kern w:val="0"/>
          <w:sz w:val="32"/>
          <w:szCs w:val="32"/>
          <w:shd w:val="clear" w:color="auto" w:fill="FFFFFF"/>
        </w:rPr>
        <w:t>如下：</w:t>
      </w:r>
    </w:p>
    <w:p>
      <w:pPr>
        <w:widowControl/>
        <w:spacing w:line="600" w:lineRule="exact"/>
        <w:ind w:firstLine="480"/>
        <w:jc w:val="center"/>
        <w:rPr>
          <w:rFonts w:hint="default" w:ascii="Times New Roman" w:hAnsi="Times New Roman" w:eastAsia="仿宋_GB2312" w:cs="Times New Roman"/>
          <w:color w:val="000000"/>
          <w:kern w:val="0"/>
          <w:lang w:bidi="ar"/>
        </w:rPr>
      </w:pPr>
      <w:r>
        <w:rPr>
          <w:rFonts w:hint="default" w:ascii="Times New Roman" w:hAnsi="Times New Roman" w:eastAsia="仿宋_GB2312" w:cs="Times New Roman"/>
          <w:b/>
          <w:bCs/>
          <w:color w:val="000000"/>
          <w:kern w:val="0"/>
          <w:lang w:bidi="ar"/>
        </w:rPr>
        <w:t>表</w:t>
      </w:r>
      <w:r>
        <w:rPr>
          <w:rFonts w:hint="eastAsia" w:eastAsia="仿宋_GB2312" w:cs="Times New Roman"/>
          <w:b/>
          <w:bCs/>
          <w:color w:val="000000"/>
          <w:kern w:val="0"/>
          <w:lang w:val="en-US" w:eastAsia="zh-CN" w:bidi="ar"/>
        </w:rPr>
        <w:t>12</w:t>
      </w:r>
      <w:r>
        <w:rPr>
          <w:rFonts w:hint="default" w:ascii="Times New Roman" w:hAnsi="Times New Roman" w:eastAsia="仿宋_GB2312" w:cs="Times New Roman"/>
          <w:b/>
          <w:bCs/>
          <w:color w:val="000000"/>
          <w:kern w:val="0"/>
          <w:lang w:bidi="ar"/>
        </w:rPr>
        <w:t xml:space="preserve"> 部门整体支出</w:t>
      </w:r>
      <w:r>
        <w:rPr>
          <w:rFonts w:hint="default" w:ascii="Times New Roman" w:hAnsi="Times New Roman" w:eastAsia="仿宋_GB2312" w:cs="Times New Roman"/>
          <w:b/>
          <w:bCs/>
          <w:color w:val="000000"/>
          <w:kern w:val="0"/>
          <w:lang w:val="en-US" w:eastAsia="zh-CN" w:bidi="ar"/>
        </w:rPr>
        <w:t>自评</w:t>
      </w:r>
      <w:r>
        <w:rPr>
          <w:rFonts w:hint="eastAsia" w:eastAsia="仿宋_GB2312" w:cs="Times New Roman"/>
          <w:b/>
          <w:bCs/>
          <w:color w:val="000000"/>
          <w:kern w:val="0"/>
          <w:lang w:val="en-US" w:eastAsia="zh-CN" w:bidi="ar"/>
        </w:rPr>
        <w:t>质量</w:t>
      </w:r>
      <w:r>
        <w:rPr>
          <w:rFonts w:hint="default" w:ascii="Times New Roman" w:hAnsi="Times New Roman" w:eastAsia="仿宋_GB2312" w:cs="Times New Roman"/>
          <w:b/>
          <w:bCs/>
          <w:color w:val="000000"/>
          <w:kern w:val="0"/>
          <w:lang w:bidi="ar"/>
        </w:rPr>
        <w:t>情况得分表</w:t>
      </w:r>
    </w:p>
    <w:tbl>
      <w:tblPr>
        <w:tblStyle w:val="41"/>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9"/>
        <w:gridCol w:w="1655"/>
        <w:gridCol w:w="1744"/>
        <w:gridCol w:w="962"/>
        <w:gridCol w:w="866"/>
        <w:gridCol w:w="705"/>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059"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一级指标</w:t>
            </w:r>
          </w:p>
        </w:tc>
        <w:tc>
          <w:tcPr>
            <w:tcW w:w="165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二级指标</w:t>
            </w:r>
          </w:p>
        </w:tc>
        <w:tc>
          <w:tcPr>
            <w:tcW w:w="174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三级指标</w:t>
            </w:r>
          </w:p>
        </w:tc>
        <w:tc>
          <w:tcPr>
            <w:tcW w:w="9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权重</w:t>
            </w:r>
          </w:p>
        </w:tc>
        <w:tc>
          <w:tcPr>
            <w:tcW w:w="86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default" w:ascii="Times New Roman" w:hAnsi="Times New Roman" w:eastAsia="仿宋_GB2312" w:cs="Times New Roman"/>
                <w:b/>
                <w:bCs/>
                <w:color w:val="000000"/>
                <w:kern w:val="0"/>
                <w:lang w:val="en-US" w:eastAsia="zh-CN" w:bidi="ar"/>
              </w:rPr>
              <w:t>评价权重</w:t>
            </w:r>
          </w:p>
        </w:tc>
        <w:tc>
          <w:tcPr>
            <w:tcW w:w="70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val="en-US" w:eastAsia="zh-CN" w:bidi="ar"/>
              </w:rPr>
              <w:t>评价</w:t>
            </w:r>
            <w:r>
              <w:rPr>
                <w:rFonts w:hint="default" w:ascii="Times New Roman" w:hAnsi="Times New Roman" w:eastAsia="仿宋_GB2312" w:cs="Times New Roman"/>
                <w:b/>
                <w:bCs/>
                <w:color w:val="000000"/>
                <w:kern w:val="0"/>
                <w:lang w:bidi="ar"/>
              </w:rPr>
              <w:t>得分</w:t>
            </w:r>
          </w:p>
        </w:tc>
        <w:tc>
          <w:tcPr>
            <w:tcW w:w="117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9"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ascii="Times New Roman" w:hAnsi="Times New Roman" w:eastAsia="仿宋_GB2312" w:cs="Times New Roman"/>
                <w:color w:val="000000"/>
                <w:kern w:val="0"/>
                <w:lang w:val="en-US" w:eastAsia="zh-CN" w:bidi="ar"/>
              </w:rPr>
              <w:t>自评质量（10分）</w:t>
            </w:r>
          </w:p>
        </w:tc>
        <w:tc>
          <w:tcPr>
            <w:tcW w:w="1655"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ascii="Times New Roman" w:hAnsi="Times New Roman" w:eastAsia="仿宋_GB2312" w:cs="Times New Roman"/>
                <w:color w:val="000000"/>
                <w:kern w:val="0"/>
                <w:lang w:val="en-US" w:eastAsia="zh-CN" w:bidi="ar"/>
              </w:rPr>
              <w:t>自评质量</w:t>
            </w:r>
          </w:p>
        </w:tc>
        <w:tc>
          <w:tcPr>
            <w:tcW w:w="174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ascii="Times New Roman" w:hAnsi="Times New Roman" w:eastAsia="仿宋_GB2312" w:cs="Times New Roman"/>
                <w:color w:val="000000"/>
                <w:kern w:val="0"/>
                <w:lang w:val="en-US" w:eastAsia="zh-CN" w:bidi="ar"/>
              </w:rPr>
              <w:t>自评</w:t>
            </w:r>
            <w:r>
              <w:rPr>
                <w:rFonts w:hint="eastAsia" w:eastAsia="仿宋_GB2312" w:cs="Times New Roman"/>
                <w:color w:val="000000"/>
                <w:kern w:val="0"/>
                <w:lang w:val="en-US" w:eastAsia="zh-CN" w:bidi="ar"/>
              </w:rPr>
              <w:t>准确</w:t>
            </w:r>
          </w:p>
        </w:tc>
        <w:tc>
          <w:tcPr>
            <w:tcW w:w="96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ascii="Times New Roman" w:hAnsi="Times New Roman" w:eastAsia="仿宋_GB2312" w:cs="Times New Roman"/>
                <w:color w:val="000000"/>
                <w:kern w:val="0"/>
                <w:lang w:val="en-US" w:eastAsia="zh-CN" w:bidi="ar"/>
              </w:rPr>
              <w:t>10</w:t>
            </w:r>
          </w:p>
        </w:tc>
        <w:tc>
          <w:tcPr>
            <w:tcW w:w="866"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ascii="Times New Roman" w:hAnsi="Times New Roman" w:eastAsia="仿宋_GB2312" w:cs="Times New Roman"/>
                <w:color w:val="000000"/>
                <w:kern w:val="0"/>
                <w:lang w:val="en-US" w:eastAsia="zh-CN" w:bidi="ar"/>
              </w:rPr>
              <w:t>10</w:t>
            </w:r>
          </w:p>
        </w:tc>
        <w:tc>
          <w:tcPr>
            <w:tcW w:w="705"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eastAsia="仿宋_GB2312" w:cs="Times New Roman"/>
                <w:color w:val="000000"/>
                <w:kern w:val="0"/>
                <w:lang w:val="en-US" w:eastAsia="zh-CN" w:bidi="ar"/>
              </w:rPr>
              <w:t>0</w:t>
            </w:r>
          </w:p>
        </w:tc>
        <w:tc>
          <w:tcPr>
            <w:tcW w:w="1176"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eastAsia="仿宋_GB2312" w:cs="Times New Roman"/>
                <w:color w:val="000000"/>
                <w:kern w:val="0"/>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8"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得分合计</w:t>
            </w:r>
          </w:p>
        </w:tc>
        <w:tc>
          <w:tcPr>
            <w:tcW w:w="9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default" w:ascii="Times New Roman" w:hAnsi="Times New Roman" w:eastAsia="仿宋_GB2312" w:cs="Times New Roman"/>
                <w:b/>
                <w:bCs/>
                <w:color w:val="000000"/>
                <w:kern w:val="0"/>
                <w:lang w:val="en-US" w:eastAsia="zh-CN" w:bidi="ar"/>
              </w:rPr>
              <w:t>10</w:t>
            </w:r>
          </w:p>
        </w:tc>
        <w:tc>
          <w:tcPr>
            <w:tcW w:w="86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default" w:ascii="Times New Roman" w:hAnsi="Times New Roman" w:eastAsia="仿宋_GB2312" w:cs="Times New Roman"/>
                <w:b/>
                <w:bCs/>
                <w:color w:val="000000"/>
                <w:kern w:val="0"/>
                <w:lang w:val="en-US" w:eastAsia="zh-CN" w:bidi="ar"/>
              </w:rPr>
              <w:t>10</w:t>
            </w:r>
          </w:p>
        </w:tc>
        <w:tc>
          <w:tcPr>
            <w:tcW w:w="70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0</w:t>
            </w:r>
          </w:p>
        </w:tc>
        <w:tc>
          <w:tcPr>
            <w:tcW w:w="117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0.00%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——自评</w:t>
      </w:r>
      <w:r>
        <w:rPr>
          <w:rFonts w:hint="eastAsia" w:eastAsia="仿宋_GB2312" w:cs="Times New Roman"/>
          <w:b/>
          <w:bCs/>
          <w:kern w:val="0"/>
          <w:sz w:val="32"/>
          <w:szCs w:val="32"/>
          <w:highlight w:val="none"/>
          <w:shd w:val="clear" w:color="auto" w:fill="FFFFFF"/>
          <w:lang w:val="en-US" w:eastAsia="zh-CN"/>
        </w:rPr>
        <w:t>准确</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10</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10</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0</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bookmarkStart w:id="79" w:name="_Toc24346"/>
      <w:r>
        <w:rPr>
          <w:rFonts w:hint="default" w:eastAsia="仿宋_GB2312" w:cs="Times New Roman"/>
          <w:color w:val="000000"/>
          <w:kern w:val="0"/>
          <w:sz w:val="32"/>
          <w:szCs w:val="32"/>
          <w:highlight w:val="none"/>
          <w:lang w:val="en-US" w:eastAsia="zh-CN" w:bidi="ar"/>
        </w:rPr>
        <w:t>根据指标适用情况与被评价单位自评表对比，指标体系表除自评质量指标外，评价组评价换算得分63.76分，被评价单位自评得分87分，差异率=（自评评分-评价组评分）/评价组评分=（87-63.76）/63.76×100%=36.45%，部门整体支出自评得分与评价组抽查得分差异20%以上</w:t>
      </w:r>
      <w:r>
        <w:rPr>
          <w:rFonts w:hint="eastAsia" w:eastAsia="仿宋_GB2312" w:cs="Times New Roman"/>
          <w:color w:val="000000"/>
          <w:kern w:val="0"/>
          <w:sz w:val="32"/>
          <w:szCs w:val="32"/>
          <w:highlight w:val="none"/>
          <w:lang w:val="en-US" w:eastAsia="zh-CN" w:bidi="ar"/>
        </w:rPr>
        <w:t>的</w:t>
      </w:r>
      <w:r>
        <w:rPr>
          <w:rFonts w:hint="default" w:eastAsia="仿宋_GB2312" w:cs="Times New Roman"/>
          <w:color w:val="000000"/>
          <w:kern w:val="0"/>
          <w:sz w:val="32"/>
          <w:szCs w:val="32"/>
          <w:highlight w:val="none"/>
          <w:lang w:val="en-US" w:eastAsia="zh-CN" w:bidi="ar"/>
        </w:rPr>
        <w:t>，扣10分。</w:t>
      </w:r>
    </w:p>
    <w:bookmarkEnd w:id="79"/>
    <w:p>
      <w:pPr>
        <w:pStyle w:val="2"/>
        <w:keepNext w:val="0"/>
        <w:keepLines w:val="0"/>
        <w:pageBreakBefore w:val="0"/>
        <w:widowControl w:val="0"/>
        <w:numPr>
          <w:ilvl w:val="0"/>
          <w:numId w:val="2"/>
        </w:numPr>
        <w:kinsoku/>
        <w:wordWrap/>
        <w:overflowPunct/>
        <w:topLinePunct w:val="0"/>
        <w:autoSpaceDE/>
        <w:autoSpaceDN/>
        <w:bidi w:val="0"/>
        <w:adjustRightInd/>
        <w:spacing w:before="156" w:after="156" w:line="600" w:lineRule="exact"/>
        <w:ind w:firstLine="602"/>
        <w:textAlignment w:val="auto"/>
        <w:rPr>
          <w:rFonts w:hint="default" w:ascii="Times New Roman" w:hAnsi="Times New Roman" w:cs="Times New Roman"/>
          <w:sz w:val="30"/>
          <w:szCs w:val="30"/>
          <w:highlight w:val="none"/>
        </w:rPr>
      </w:pPr>
      <w:bookmarkStart w:id="80" w:name="_Toc17623"/>
      <w:bookmarkStart w:id="81" w:name="_Toc24027"/>
      <w:bookmarkStart w:id="82" w:name="_Toc12480"/>
      <w:bookmarkStart w:id="83" w:name="_Toc26293"/>
      <w:r>
        <w:rPr>
          <w:rFonts w:hint="default" w:ascii="Times New Roman" w:hAnsi="Times New Roman" w:cs="Times New Roman"/>
          <w:sz w:val="30"/>
          <w:szCs w:val="30"/>
          <w:highlight w:val="none"/>
        </w:rPr>
        <w:t>评价发现的主要问题</w:t>
      </w:r>
      <w:bookmarkEnd w:id="80"/>
      <w:bookmarkEnd w:id="81"/>
      <w:bookmarkEnd w:id="82"/>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lang w:val="en-US" w:eastAsia="zh-CN"/>
        </w:rPr>
      </w:pPr>
      <w:bookmarkStart w:id="84" w:name="_Toc31912"/>
      <w:bookmarkStart w:id="85" w:name="_Toc24949"/>
      <w:bookmarkStart w:id="86" w:name="_Toc3810"/>
      <w:bookmarkStart w:id="87" w:name="_Toc6710"/>
      <w:bookmarkStart w:id="88" w:name="_Toc1801"/>
      <w:bookmarkStart w:id="89" w:name="_Toc17252"/>
      <w:bookmarkStart w:id="90" w:name="_Toc22474"/>
      <w:r>
        <w:rPr>
          <w:rFonts w:hint="eastAsia" w:ascii="Times New Roman" w:hAnsi="Times New Roman" w:eastAsia="仿宋_GB2312" w:cs="Times New Roman"/>
          <w:lang w:val="en-US" w:eastAsia="zh-CN"/>
        </w:rPr>
        <w:t>1、</w:t>
      </w:r>
      <w:bookmarkEnd w:id="84"/>
      <w:bookmarkEnd w:id="85"/>
      <w:bookmarkEnd w:id="86"/>
      <w:bookmarkEnd w:id="87"/>
      <w:bookmarkEnd w:id="88"/>
      <w:r>
        <w:rPr>
          <w:rFonts w:hint="eastAsia" w:ascii="Times New Roman" w:hAnsi="Times New Roman" w:eastAsia="仿宋_GB2312" w:cs="Times New Roman"/>
          <w:lang w:val="en-US" w:eastAsia="zh-CN"/>
        </w:rPr>
        <w:t>记账、审核人员为同一人</w:t>
      </w:r>
      <w:bookmarkEnd w:id="89"/>
      <w:bookmarkEnd w:id="90"/>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情况描述：</w:t>
      </w:r>
      <w:r>
        <w:rPr>
          <w:rFonts w:hint="eastAsia" w:ascii="Times New Roman" w:hAnsi="Times New Roman" w:eastAsia="仿宋_GB2312" w:cs="Times New Roman"/>
          <w:color w:val="000000"/>
          <w:kern w:val="0"/>
          <w:sz w:val="32"/>
          <w:szCs w:val="32"/>
          <w:highlight w:val="none"/>
          <w:lang w:val="en-US" w:eastAsia="zh-CN" w:bidi="ar"/>
        </w:rPr>
        <w:t>2022年记账凭证审核人员、制单人员、记账人员签章均为余翠，出纳未签章。</w:t>
      </w:r>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b/>
          <w:bCs/>
          <w:color w:val="000000"/>
          <w:kern w:val="0"/>
          <w:sz w:val="32"/>
          <w:szCs w:val="32"/>
          <w:highlight w:val="none"/>
          <w:lang w:val="en-US" w:eastAsia="zh-CN" w:bidi="ar"/>
        </w:rPr>
        <w:t>违反的相关条例：</w:t>
      </w:r>
      <w:r>
        <w:rPr>
          <w:rFonts w:hint="eastAsia" w:ascii="Times New Roman" w:hAnsi="Times New Roman" w:eastAsia="仿宋_GB2312" w:cs="Times New Roman"/>
          <w:color w:val="000000"/>
          <w:kern w:val="0"/>
          <w:sz w:val="32"/>
          <w:szCs w:val="32"/>
          <w:highlight w:val="none"/>
          <w:lang w:val="en-US" w:eastAsia="zh-CN" w:bidi="ar"/>
        </w:rPr>
        <w:t>《行政事业单位内部控制规范（试行）》第十二条：“不相容岗位相互分离。合理设置内部控制关键岗位，明确划分职责权限，实施相应的分离措施，形成相互制约、相互监督的工作机制”。</w:t>
      </w:r>
    </w:p>
    <w:p>
      <w:pPr>
        <w:pStyle w:val="16"/>
        <w:bidi w:val="0"/>
        <w:rPr>
          <w:rFonts w:hint="eastAsia"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我们的意见或建议：</w:t>
      </w:r>
      <w:r>
        <w:rPr>
          <w:rFonts w:hint="eastAsia" w:ascii="Times New Roman" w:hAnsi="Times New Roman" w:eastAsia="仿宋_GB2312" w:cs="Times New Roman"/>
          <w:b w:val="0"/>
          <w:bCs w:val="0"/>
          <w:color w:val="000000"/>
          <w:kern w:val="0"/>
          <w:sz w:val="32"/>
          <w:szCs w:val="32"/>
          <w:highlight w:val="none"/>
          <w:lang w:val="en-US" w:eastAsia="zh-CN" w:bidi="ar"/>
        </w:rPr>
        <w:t>建议被评价单位根据实际情况，合理分工，严格执行《</w:t>
      </w:r>
      <w:r>
        <w:rPr>
          <w:rFonts w:hint="eastAsia" w:ascii="Times New Roman" w:hAnsi="Times New Roman" w:eastAsia="仿宋_GB2312" w:cs="Times New Roman"/>
          <w:color w:val="000000"/>
          <w:kern w:val="0"/>
          <w:sz w:val="32"/>
          <w:szCs w:val="32"/>
          <w:highlight w:val="none"/>
          <w:lang w:val="en-US" w:eastAsia="zh-CN" w:bidi="ar"/>
        </w:rPr>
        <w:t>行政事业单位内部控制规范（试行）</w:t>
      </w:r>
      <w:r>
        <w:rPr>
          <w:rFonts w:hint="eastAsia" w:ascii="Times New Roman" w:hAnsi="Times New Roman" w:eastAsia="仿宋_GB2312" w:cs="Times New Roman"/>
          <w:b w:val="0"/>
          <w:bCs w:val="0"/>
          <w:color w:val="000000"/>
          <w:kern w:val="0"/>
          <w:sz w:val="32"/>
          <w:szCs w:val="32"/>
          <w:highlight w:val="none"/>
          <w:lang w:val="en-US" w:eastAsia="zh-CN" w:bidi="ar"/>
        </w:rPr>
        <w:t>》，形成相互制约、相互监督的工作机制。</w:t>
      </w:r>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lang w:val="en-US" w:eastAsia="zh-CN"/>
        </w:rPr>
      </w:pPr>
      <w:bookmarkStart w:id="91" w:name="_Toc723"/>
      <w:bookmarkStart w:id="92" w:name="_Toc24345"/>
      <w:r>
        <w:rPr>
          <w:rFonts w:hint="eastAsia" w:ascii="Times New Roman" w:hAnsi="Times New Roman" w:eastAsia="仿宋_GB2312" w:cs="Times New Roman"/>
          <w:lang w:val="en-US" w:eastAsia="zh-CN"/>
        </w:rPr>
        <w:t>2、多报销差旅费</w:t>
      </w:r>
      <w:bookmarkEnd w:id="91"/>
      <w:bookmarkEnd w:id="92"/>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情况描述：</w:t>
      </w:r>
      <w:r>
        <w:rPr>
          <w:rFonts w:hint="eastAsia" w:ascii="Times New Roman" w:hAnsi="Times New Roman" w:eastAsia="仿宋_GB2312" w:cs="Times New Roman"/>
          <w:color w:val="000000"/>
          <w:kern w:val="0"/>
          <w:sz w:val="32"/>
          <w:szCs w:val="32"/>
          <w:highlight w:val="none"/>
          <w:lang w:val="en-US" w:eastAsia="zh-CN" w:bidi="ar"/>
        </w:rPr>
        <w:t>2022年12月第12号记账凭证，报销到成都参加民宗教组织的项目评审差旅费1,402.00元。后附的差旅费报销单出差时间为2022年11月1日至2022年1月3日，共计3天。报销出差3天的住宿费共计776.00元，按照《阿坝县行政事业单位差旅费管理办法》中的规定，返回阿坝县当天不得报销住宿费，多报销268元；</w:t>
      </w:r>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2022年12月第24号记账凭证，报销到河支镇日进贡村看展群众工作差旅费630元。后附的差旅费报销单出差时间为2022年1月9日至2022年12月11日（共计18天），误餐补助为35.00元/人·天。《阿坝县行政事业单位差旅费管理办法》（补充规定）中规定河支镇误餐补助的标准为30.00元/人·天。实际每天午餐补助应报销30元，18天共计多报销90.00元；</w:t>
      </w:r>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2022年10月第10号记账凭证，报销到茂县坪头村乡村振兴培训差旅费590.00元。后附出差报销单出差时间为2022年6月19日至2022年6月26日，公杂费50.00元/人·天，7天共报销350.00元，出差人员于2022年6月26日返回阿坝。《举办全州宗教活动场所食品安全工作培训班的通知》培训时间及地点中规定，培训时间为6月20日-6月23日，学制4天（6月20日全天报到，6月21日上午开班式。6月21日上午-6月22日上午集中授课，6月22日下午参观茂县城关清真寺，6月23日离会）”。出差人员2022年6月24日-6月26日的公杂费不予报销，多报销3天公杂费共150.00元。</w:t>
      </w:r>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b/>
          <w:bCs/>
          <w:color w:val="000000"/>
          <w:kern w:val="0"/>
          <w:sz w:val="32"/>
          <w:szCs w:val="32"/>
          <w:highlight w:val="none"/>
          <w:lang w:val="en-US" w:eastAsia="zh-CN" w:bidi="ar"/>
        </w:rPr>
        <w:t>违反的相关条例：</w:t>
      </w:r>
      <w:r>
        <w:rPr>
          <w:rFonts w:hint="eastAsia" w:ascii="Times New Roman" w:hAnsi="Times New Roman" w:eastAsia="仿宋_GB2312" w:cs="Times New Roman"/>
          <w:color w:val="000000"/>
          <w:kern w:val="0"/>
          <w:sz w:val="32"/>
          <w:szCs w:val="32"/>
          <w:highlight w:val="none"/>
          <w:lang w:val="en-US" w:eastAsia="zh-CN" w:bidi="ar"/>
        </w:rPr>
        <w:t>《阿坝县行政事业单位差旅费管理办法》第十一条“出差住宿费按实际住宿天数在限额内凭有效票据实报实销（出差结束返回单位当天不得报销住宿费）。各单位应当严格按规定审核差旅费开支，对未经批准出差以及超范围、超标准开支的费用不予报销”；《阿坝县行政事业单位差旅费管理办法》（补充规定）第一条“阿坝县乡、镇（场）工作人员到县，县直机关工作人员到乡、镇（场）开展工作的河支镇差旅费规定补助标准为30.00元/人·天”。</w:t>
      </w:r>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我们的意见或建议：</w:t>
      </w:r>
      <w:r>
        <w:rPr>
          <w:rFonts w:hint="eastAsia" w:ascii="Times New Roman" w:hAnsi="Times New Roman" w:eastAsia="仿宋_GB2312" w:cs="Times New Roman"/>
          <w:b w:val="0"/>
          <w:bCs w:val="0"/>
          <w:color w:val="000000"/>
          <w:kern w:val="0"/>
          <w:sz w:val="32"/>
          <w:szCs w:val="32"/>
          <w:highlight w:val="none"/>
          <w:lang w:val="en-US" w:eastAsia="zh-CN" w:bidi="ar"/>
        </w:rPr>
        <w:t>建议被评价单位严格执行差旅费报销制度，加强原始凭证审核，避免多报销费用现象的发生；对于多报销的差旅费，联系经办人员及时退回</w:t>
      </w:r>
      <w:r>
        <w:rPr>
          <w:rFonts w:hint="eastAsia" w:ascii="Times New Roman" w:hAnsi="Times New Roman" w:eastAsia="仿宋_GB2312" w:cs="Times New Roman"/>
          <w:color w:val="000000"/>
          <w:kern w:val="0"/>
          <w:sz w:val="32"/>
          <w:szCs w:val="32"/>
          <w:highlight w:val="none"/>
          <w:lang w:val="en-US" w:eastAsia="zh-CN" w:bidi="ar"/>
        </w:rPr>
        <w:t>。</w:t>
      </w:r>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lang w:val="en-US" w:eastAsia="zh-CN"/>
        </w:rPr>
      </w:pPr>
      <w:bookmarkStart w:id="93" w:name="_Toc3363"/>
      <w:bookmarkStart w:id="94" w:name="_Toc31698"/>
      <w:bookmarkStart w:id="95" w:name="_Toc2404"/>
      <w:r>
        <w:rPr>
          <w:rFonts w:hint="eastAsia" w:ascii="Times New Roman" w:hAnsi="Times New Roman" w:eastAsia="仿宋_GB2312" w:cs="Times New Roman"/>
          <w:lang w:val="en-US" w:eastAsia="zh-CN"/>
        </w:rPr>
        <w:t>3、审批不规范</w:t>
      </w:r>
      <w:bookmarkEnd w:id="93"/>
      <w:bookmarkEnd w:id="94"/>
      <w:bookmarkEnd w:id="95"/>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情况描述：</w:t>
      </w:r>
      <w:r>
        <w:rPr>
          <w:rFonts w:hint="eastAsia" w:ascii="Times New Roman" w:hAnsi="Times New Roman" w:eastAsia="仿宋_GB2312" w:cs="Times New Roman"/>
          <w:color w:val="000000"/>
          <w:kern w:val="0"/>
          <w:sz w:val="32"/>
          <w:szCs w:val="32"/>
          <w:highlight w:val="none"/>
          <w:lang w:val="en-US" w:eastAsia="zh-CN" w:bidi="ar"/>
        </w:rPr>
        <w:t>2022年4月第11号记账凭证，报销差旅费1,095.00元，后附差旅费报销单无会计审核人员未审签；</w:t>
      </w:r>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2022年4月第11号记账凭证，报销差旅费1,095.00元，后附差旅费报销单会计未审签；</w:t>
      </w:r>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2022年3月第7号记账凭证，后附的阿坝县茸安乡格尔登玛村桥梁维修项目竣工结算清单，合同价为50,000.00元、发包人为阿坝县安乡人民政府、承包人为阿坝县喻达装饰装修标牌部，该附件编制人和审核人未审签以及未签署日期。</w:t>
      </w:r>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b/>
          <w:bCs/>
          <w:color w:val="000000"/>
          <w:kern w:val="0"/>
          <w:sz w:val="32"/>
          <w:szCs w:val="32"/>
          <w:highlight w:val="none"/>
          <w:lang w:val="en-US" w:eastAsia="zh-CN" w:bidi="ar"/>
        </w:rPr>
        <w:t>违反的相关条例：</w:t>
      </w:r>
      <w:r>
        <w:rPr>
          <w:rFonts w:hint="eastAsia" w:ascii="Times New Roman" w:hAnsi="Times New Roman" w:eastAsia="仿宋_GB2312" w:cs="Times New Roman"/>
          <w:color w:val="000000"/>
          <w:kern w:val="0"/>
          <w:sz w:val="32"/>
          <w:szCs w:val="32"/>
          <w:highlight w:val="none"/>
          <w:lang w:val="en-US" w:eastAsia="zh-CN" w:bidi="ar"/>
        </w:rPr>
        <w:t>阿坝县民宗局财务管理制度（二）第四条“支出管理每笔支出单层的报销必须内容真实、项目齐全、单据完整，有经手人等签名手续。”</w:t>
      </w:r>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我们的意见或建议：</w:t>
      </w:r>
      <w:r>
        <w:rPr>
          <w:rFonts w:hint="eastAsia" w:ascii="Times New Roman" w:hAnsi="Times New Roman" w:eastAsia="仿宋_GB2312" w:cs="Times New Roman"/>
          <w:b w:val="0"/>
          <w:bCs w:val="0"/>
          <w:color w:val="000000"/>
          <w:kern w:val="0"/>
          <w:sz w:val="32"/>
          <w:szCs w:val="32"/>
          <w:highlight w:val="none"/>
          <w:lang w:val="en-US" w:eastAsia="zh-CN" w:bidi="ar"/>
        </w:rPr>
        <w:t>建议被评价单位对审批程序不完整、附件要素不齐全的加强审核把关，加强对经办人员提交的报账资料原始单据审批，对记载不明确、不完整的原始凭证，予以退回，要求经办人员更正、补充</w:t>
      </w:r>
      <w:r>
        <w:rPr>
          <w:rFonts w:hint="eastAsia" w:ascii="Times New Roman" w:hAnsi="Times New Roman" w:eastAsia="仿宋_GB2312" w:cs="Times New Roman"/>
          <w:color w:val="000000"/>
          <w:kern w:val="0"/>
          <w:sz w:val="32"/>
          <w:szCs w:val="32"/>
          <w:highlight w:val="none"/>
          <w:lang w:val="en-US" w:eastAsia="zh-CN" w:bidi="ar"/>
        </w:rPr>
        <w:t>。</w:t>
      </w:r>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lang w:val="en-US" w:eastAsia="zh-CN"/>
        </w:rPr>
      </w:pPr>
      <w:bookmarkStart w:id="96" w:name="_Toc2000"/>
      <w:bookmarkStart w:id="97" w:name="_Toc19824"/>
      <w:bookmarkStart w:id="98" w:name="_Toc18509"/>
      <w:r>
        <w:rPr>
          <w:rFonts w:hint="eastAsia" w:ascii="Times New Roman" w:hAnsi="Times New Roman" w:eastAsia="仿宋_GB2312" w:cs="Times New Roman"/>
          <w:lang w:val="en-US" w:eastAsia="zh-CN"/>
        </w:rPr>
        <w:t>4、附件不规范</w:t>
      </w:r>
      <w:bookmarkEnd w:id="96"/>
      <w:bookmarkEnd w:id="97"/>
      <w:bookmarkEnd w:id="98"/>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情况描述：</w:t>
      </w:r>
      <w:r>
        <w:rPr>
          <w:rFonts w:hint="eastAsia" w:ascii="Times New Roman" w:hAnsi="Times New Roman" w:eastAsia="仿宋_GB2312" w:cs="Times New Roman"/>
          <w:color w:val="000000"/>
          <w:kern w:val="0"/>
          <w:sz w:val="32"/>
          <w:szCs w:val="32"/>
          <w:highlight w:val="none"/>
          <w:lang w:val="en-US" w:eastAsia="zh-CN" w:bidi="ar"/>
        </w:rPr>
        <w:t>2022年4月第11号记账凭证，报销2022年3月29日至2022年4月2日到理县参加金川宗教干部培训差旅费1,095.00元，附件中无出差外出请假单。</w:t>
      </w:r>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b/>
          <w:bCs/>
          <w:color w:val="000000"/>
          <w:kern w:val="0"/>
          <w:sz w:val="32"/>
          <w:szCs w:val="32"/>
          <w:highlight w:val="none"/>
          <w:lang w:val="en-US" w:eastAsia="zh-CN" w:bidi="ar"/>
        </w:rPr>
        <w:t>违反的相关条例：</w:t>
      </w:r>
      <w:r>
        <w:rPr>
          <w:rFonts w:hint="eastAsia" w:ascii="Times New Roman" w:hAnsi="Times New Roman" w:eastAsia="仿宋_GB2312" w:cs="Times New Roman"/>
          <w:color w:val="000000"/>
          <w:kern w:val="0"/>
          <w:sz w:val="32"/>
          <w:szCs w:val="32"/>
          <w:highlight w:val="none"/>
          <w:lang w:val="en-US" w:eastAsia="zh-CN" w:bidi="ar"/>
        </w:rPr>
        <w:t>《阿坝县行政事业单位差旅费管理办法》第十二条“报销出县境差旅费时，副科级及以上领导干部需附外出报告单，正科级及以上领导干部需附销假回执单和工作日志；其余人员需附主要领导签字的单位派差单”。</w:t>
      </w:r>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我们的意见或建议：</w:t>
      </w:r>
      <w:r>
        <w:rPr>
          <w:rFonts w:hint="eastAsia" w:ascii="Times New Roman" w:hAnsi="Times New Roman" w:eastAsia="仿宋_GB2312" w:cs="Times New Roman"/>
          <w:b w:val="0"/>
          <w:bCs w:val="0"/>
          <w:color w:val="000000"/>
          <w:kern w:val="0"/>
          <w:sz w:val="32"/>
          <w:szCs w:val="32"/>
          <w:highlight w:val="none"/>
          <w:lang w:val="en-US" w:eastAsia="zh-CN" w:bidi="ar"/>
        </w:rPr>
        <w:t>建议被评价单位对审批程序不完整、附件要素不齐全的加强审核把关，加强对项目工作人员提交的报账资料原始单据审批，对记载不明确、不完整的原始凭证，予以退回，要求经办人员更正、补充</w:t>
      </w:r>
      <w:r>
        <w:rPr>
          <w:rFonts w:hint="eastAsia" w:ascii="Times New Roman" w:hAnsi="Times New Roman" w:eastAsia="仿宋_GB2312" w:cs="Times New Roman"/>
          <w:color w:val="000000"/>
          <w:kern w:val="0"/>
          <w:sz w:val="32"/>
          <w:szCs w:val="32"/>
          <w:highlight w:val="none"/>
          <w:lang w:val="en-US" w:eastAsia="zh-CN" w:bidi="ar"/>
        </w:rPr>
        <w:t>。</w:t>
      </w:r>
    </w:p>
    <w:bookmarkEnd w:id="83"/>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default" w:eastAsia="仿宋_GB2312" w:cs="Times New Roman"/>
          <w:color w:val="000000"/>
          <w:kern w:val="0"/>
          <w:sz w:val="32"/>
          <w:szCs w:val="32"/>
          <w:highlight w:val="none"/>
          <w:lang w:val="en-US" w:eastAsia="zh-CN" w:bidi="ar"/>
        </w:rPr>
        <w:t>附件1：</w:t>
      </w:r>
      <w:r>
        <w:rPr>
          <w:rFonts w:hint="eastAsia" w:eastAsia="仿宋_GB2312" w:cs="Times New Roman"/>
          <w:color w:val="000000"/>
          <w:kern w:val="0"/>
          <w:sz w:val="32"/>
          <w:szCs w:val="32"/>
          <w:highlight w:val="none"/>
          <w:lang w:val="en-US" w:eastAsia="zh-CN" w:bidi="ar"/>
        </w:rPr>
        <w:t>阿坝县民族宗教局2022</w:t>
      </w:r>
      <w:r>
        <w:rPr>
          <w:rFonts w:hint="default" w:eastAsia="仿宋_GB2312" w:cs="Times New Roman"/>
          <w:color w:val="000000"/>
          <w:kern w:val="0"/>
          <w:sz w:val="32"/>
          <w:szCs w:val="32"/>
          <w:highlight w:val="none"/>
          <w:lang w:val="en-US" w:eastAsia="zh-CN" w:bidi="ar"/>
        </w:rPr>
        <w:t>年部门整体支出绩效评价指标体系</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pStyle w:val="24"/>
        <w:ind w:left="0" w:leftChars="0" w:firstLine="0" w:firstLineChars="0"/>
        <w:rPr>
          <w:rFonts w:hint="default"/>
          <w:lang w:eastAsia="zh-CN"/>
        </w:rPr>
      </w:pPr>
    </w:p>
    <w:p>
      <w:pPr>
        <w:ind w:firstLine="0" w:firstLineChars="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lang w:eastAsia="zh-CN"/>
        </w:rPr>
        <w:t>四川融策会计师事务所有限公司</w:t>
      </w:r>
      <w:r>
        <w:rPr>
          <w:rFonts w:hint="default" w:ascii="Times New Roman" w:hAnsi="Times New Roman" w:eastAsia="仿宋_GB2312" w:cs="Times New Roman"/>
          <w:b/>
          <w:sz w:val="32"/>
          <w:szCs w:val="32"/>
        </w:rPr>
        <w:t xml:space="preserve">    中国注册会计师：</w:t>
      </w:r>
    </w:p>
    <w:p>
      <w:pPr>
        <w:ind w:firstLine="640"/>
        <w:jc w:val="center"/>
        <w:rPr>
          <w:rFonts w:hint="default" w:ascii="Times New Roman" w:hAnsi="Times New Roman" w:eastAsia="仿宋_GB2312" w:cs="Times New Roman"/>
          <w:b/>
          <w:sz w:val="32"/>
          <w:szCs w:val="32"/>
        </w:rPr>
      </w:pPr>
    </w:p>
    <w:p>
      <w:pPr>
        <w:ind w:firstLine="1285" w:firstLineChars="4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中国·成都              中国注册会计师：</w:t>
      </w:r>
    </w:p>
    <w:p>
      <w:pPr>
        <w:ind w:firstLine="640"/>
        <w:rPr>
          <w:rFonts w:hint="default" w:ascii="Times New Roman" w:hAnsi="Times New Roman" w:eastAsia="仿宋_GB2312" w:cs="Times New Roman"/>
          <w:b/>
          <w:sz w:val="32"/>
          <w:szCs w:val="32"/>
        </w:rPr>
      </w:pPr>
    </w:p>
    <w:p>
      <w:pPr>
        <w:tabs>
          <w:tab w:val="right" w:pos="7501"/>
        </w:tabs>
        <w:ind w:firstLine="1285" w:firstLineChars="400"/>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default" w:ascii="Times New Roman" w:hAnsi="Times New Roman" w:eastAsia="仿宋_GB2312" w:cs="Times New Roman"/>
          <w:b/>
          <w:sz w:val="32"/>
          <w:szCs w:val="32"/>
        </w:rPr>
        <w:t xml:space="preserve">                   </w:t>
      </w:r>
      <w:r>
        <w:rPr>
          <w:rFonts w:hint="eastAsia" w:eastAsia="仿宋_GB2312" w:cs="Times New Roman"/>
          <w:b/>
          <w:sz w:val="32"/>
          <w:szCs w:val="32"/>
          <w:lang w:val="en-US" w:eastAsia="zh-CN"/>
        </w:rPr>
        <w:t xml:space="preserve"> </w:t>
      </w:r>
      <w:r>
        <w:rPr>
          <w:rFonts w:hint="default" w:ascii="Times New Roman" w:hAnsi="Times New Roman" w:eastAsia="仿宋_GB2312" w:cs="Times New Roman"/>
          <w:b/>
          <w:sz w:val="32"/>
          <w:szCs w:val="32"/>
        </w:rPr>
        <w:t xml:space="preserve"> </w:t>
      </w:r>
      <w:r>
        <w:rPr>
          <w:rFonts w:hint="eastAsia" w:eastAsia="仿宋_GB2312" w:cs="Times New Roman"/>
          <w:b/>
          <w:sz w:val="32"/>
          <w:szCs w:val="32"/>
          <w:lang w:eastAsia="zh-CN"/>
        </w:rPr>
        <w:t>二〇二三年</w:t>
      </w:r>
      <w:r>
        <w:rPr>
          <w:rFonts w:hint="eastAsia" w:eastAsia="仿宋_GB2312" w:cs="Times New Roman"/>
          <w:b/>
          <w:sz w:val="32"/>
          <w:szCs w:val="32"/>
          <w:lang w:val="en-US" w:eastAsia="zh-CN"/>
        </w:rPr>
        <w:t>十一</w:t>
      </w:r>
      <w:r>
        <w:rPr>
          <w:rFonts w:hint="default" w:ascii="Times New Roman" w:hAnsi="Times New Roman" w:eastAsia="仿宋_GB2312" w:cs="Times New Roman"/>
          <w:b/>
          <w:sz w:val="32"/>
          <w:szCs w:val="32"/>
        </w:rPr>
        <w:t>月</w:t>
      </w:r>
      <w:r>
        <w:rPr>
          <w:rFonts w:hint="eastAsia" w:eastAsia="仿宋_GB2312" w:cs="Times New Roman"/>
          <w:b/>
          <w:sz w:val="32"/>
          <w:szCs w:val="32"/>
          <w:lang w:val="en-US" w:eastAsia="zh-CN"/>
        </w:rPr>
        <w:t>三十日</w:t>
      </w:r>
    </w:p>
    <w:sectPr>
      <w:footerReference r:id="rId10" w:type="default"/>
      <w:footnotePr>
        <w:numFmt w:val="decimalEnclosedCircleChinese"/>
      </w:footnotePr>
      <w:pgSz w:w="11906" w:h="16838"/>
      <w:pgMar w:top="1304" w:right="1418" w:bottom="1276" w:left="1418" w:header="851" w:footer="992" w:gutter="284"/>
      <w:pgBorders>
        <w:top w:val="none" w:sz="0" w:space="0"/>
        <w:left w:val="none" w:sz="0" w:space="0"/>
        <w:bottom w:val="none" w:sz="0" w:space="0"/>
        <w:right w:val="none" w:sz="0" w:space="0"/>
      </w:pgBorders>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40001" w:csb1="00000000"/>
  </w:font>
  <w:font w:name="华康行楷体 W5">
    <w:altName w:val="楷体"/>
    <w:panose1 w:val="03000509000000000000"/>
    <w:charset w:val="86"/>
    <w:family w:val="roman"/>
    <w:pitch w:val="default"/>
    <w:sig w:usb0="00000000" w:usb1="00000000" w:usb2="00000012"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3"/>
      </w:rPr>
    </w:pPr>
    <w:r>
      <w:fldChar w:fldCharType="begin"/>
    </w:r>
    <w:r>
      <w:rPr>
        <w:rStyle w:val="43"/>
      </w:rPr>
      <w:instrText xml:space="preserve">PAGE  </w:instrText>
    </w:r>
    <w:r>
      <w:fldChar w:fldCharType="end"/>
    </w:r>
  </w:p>
  <w:p>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left" w:pos="5101"/>
        <w:tab w:val="clear" w:pos="4153"/>
      </w:tabs>
      <w:ind w:right="360" w:firstLine="360"/>
      <w:rPr>
        <w:rFonts w:hint="eastAsia" w:eastAsia="宋体"/>
        <w:lang w:eastAsia="zh-CN"/>
      </w:rPr>
    </w:pP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left" w:pos="5101"/>
        <w:tab w:val="clear" w:pos="4153"/>
      </w:tabs>
      <w:ind w:right="360" w:firstLine="360"/>
      <w:rPr>
        <w:rFonts w:hint="eastAsia" w:eastAsia="宋体"/>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24</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DU1bNgFQIAABMEAAAOAAAAAAAAAAEAIAAAADUBAABkcnMvZTJvRG9jLnhtbFBLBQYAAAAABgAG&#10;AFkBAAC8BQ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24</w:t>
                    </w:r>
                    <w:r>
                      <w:t xml:space="preserve"> 页</w:t>
                    </w:r>
                  </w:p>
                </w:txbxContent>
              </v:textbox>
            </v:shape>
          </w:pict>
        </mc:Fallback>
      </mc:AlternateConten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FA69E"/>
    <w:multiLevelType w:val="singleLevel"/>
    <w:tmpl w:val="DFDFA69E"/>
    <w:lvl w:ilvl="0" w:tentative="0">
      <w:start w:val="1"/>
      <w:numFmt w:val="chineseCounting"/>
      <w:suff w:val="nothing"/>
      <w:lvlText w:val="%1、"/>
      <w:lvlJc w:val="left"/>
      <w:rPr>
        <w:rFonts w:hint="eastAsia"/>
      </w:rPr>
    </w:lvl>
  </w:abstractNum>
  <w:abstractNum w:abstractNumId="1">
    <w:nsid w:val="E7E70369"/>
    <w:multiLevelType w:val="singleLevel"/>
    <w:tmpl w:val="E7E70369"/>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0D14"/>
    <w:rsid w:val="00002597"/>
    <w:rsid w:val="000027B8"/>
    <w:rsid w:val="000076D1"/>
    <w:rsid w:val="00013E9B"/>
    <w:rsid w:val="000140E7"/>
    <w:rsid w:val="00016328"/>
    <w:rsid w:val="00021DA0"/>
    <w:rsid w:val="000222AD"/>
    <w:rsid w:val="00023E28"/>
    <w:rsid w:val="000247C9"/>
    <w:rsid w:val="00025140"/>
    <w:rsid w:val="000251C6"/>
    <w:rsid w:val="000265EB"/>
    <w:rsid w:val="000309FD"/>
    <w:rsid w:val="00032C1B"/>
    <w:rsid w:val="00035DAF"/>
    <w:rsid w:val="00036A28"/>
    <w:rsid w:val="00040C8C"/>
    <w:rsid w:val="00040D45"/>
    <w:rsid w:val="00043287"/>
    <w:rsid w:val="00044763"/>
    <w:rsid w:val="00044C67"/>
    <w:rsid w:val="00047042"/>
    <w:rsid w:val="000472FB"/>
    <w:rsid w:val="00051391"/>
    <w:rsid w:val="0006183A"/>
    <w:rsid w:val="000623B7"/>
    <w:rsid w:val="0006316C"/>
    <w:rsid w:val="000660A2"/>
    <w:rsid w:val="00066E99"/>
    <w:rsid w:val="000730EA"/>
    <w:rsid w:val="000733D1"/>
    <w:rsid w:val="0007668C"/>
    <w:rsid w:val="000771B3"/>
    <w:rsid w:val="00077A67"/>
    <w:rsid w:val="00080247"/>
    <w:rsid w:val="00081AE3"/>
    <w:rsid w:val="000851BF"/>
    <w:rsid w:val="0008540B"/>
    <w:rsid w:val="0009147C"/>
    <w:rsid w:val="0009227C"/>
    <w:rsid w:val="00094076"/>
    <w:rsid w:val="0009489D"/>
    <w:rsid w:val="00095E1E"/>
    <w:rsid w:val="00096C6C"/>
    <w:rsid w:val="000A007E"/>
    <w:rsid w:val="000A35B4"/>
    <w:rsid w:val="000A5EAC"/>
    <w:rsid w:val="000B1734"/>
    <w:rsid w:val="000B528C"/>
    <w:rsid w:val="000B7964"/>
    <w:rsid w:val="000C229E"/>
    <w:rsid w:val="000C5D00"/>
    <w:rsid w:val="000C7E31"/>
    <w:rsid w:val="000D0109"/>
    <w:rsid w:val="000D0715"/>
    <w:rsid w:val="000D251E"/>
    <w:rsid w:val="000D34E2"/>
    <w:rsid w:val="000D40FD"/>
    <w:rsid w:val="000D426C"/>
    <w:rsid w:val="000D53BC"/>
    <w:rsid w:val="000E037C"/>
    <w:rsid w:val="000E043A"/>
    <w:rsid w:val="000E1AF1"/>
    <w:rsid w:val="000E6A55"/>
    <w:rsid w:val="000E6EB5"/>
    <w:rsid w:val="000F0B82"/>
    <w:rsid w:val="000F3591"/>
    <w:rsid w:val="000F4642"/>
    <w:rsid w:val="000F56AC"/>
    <w:rsid w:val="00100AA8"/>
    <w:rsid w:val="0010179E"/>
    <w:rsid w:val="00101849"/>
    <w:rsid w:val="00102A05"/>
    <w:rsid w:val="001045EA"/>
    <w:rsid w:val="00104852"/>
    <w:rsid w:val="0010705E"/>
    <w:rsid w:val="00111B54"/>
    <w:rsid w:val="0011378A"/>
    <w:rsid w:val="00115363"/>
    <w:rsid w:val="00116BF2"/>
    <w:rsid w:val="00117E30"/>
    <w:rsid w:val="0012712B"/>
    <w:rsid w:val="00130379"/>
    <w:rsid w:val="00131845"/>
    <w:rsid w:val="0013485F"/>
    <w:rsid w:val="00140585"/>
    <w:rsid w:val="001429EE"/>
    <w:rsid w:val="001438C4"/>
    <w:rsid w:val="001458A9"/>
    <w:rsid w:val="00153A79"/>
    <w:rsid w:val="00155757"/>
    <w:rsid w:val="00162A47"/>
    <w:rsid w:val="00163BAB"/>
    <w:rsid w:val="001660F3"/>
    <w:rsid w:val="00170062"/>
    <w:rsid w:val="00171037"/>
    <w:rsid w:val="00171252"/>
    <w:rsid w:val="00172A27"/>
    <w:rsid w:val="00173C65"/>
    <w:rsid w:val="00180485"/>
    <w:rsid w:val="001837CF"/>
    <w:rsid w:val="00183EC7"/>
    <w:rsid w:val="00190E42"/>
    <w:rsid w:val="00193188"/>
    <w:rsid w:val="001931C6"/>
    <w:rsid w:val="00194088"/>
    <w:rsid w:val="00195978"/>
    <w:rsid w:val="00195BC3"/>
    <w:rsid w:val="001A7094"/>
    <w:rsid w:val="001A7F57"/>
    <w:rsid w:val="001B384A"/>
    <w:rsid w:val="001B47DF"/>
    <w:rsid w:val="001B73F6"/>
    <w:rsid w:val="001C3151"/>
    <w:rsid w:val="001C365E"/>
    <w:rsid w:val="001C5002"/>
    <w:rsid w:val="001C5E99"/>
    <w:rsid w:val="001C6484"/>
    <w:rsid w:val="001C708C"/>
    <w:rsid w:val="001D1346"/>
    <w:rsid w:val="001D1CC2"/>
    <w:rsid w:val="001D5C27"/>
    <w:rsid w:val="001D63AC"/>
    <w:rsid w:val="001E0517"/>
    <w:rsid w:val="001E062D"/>
    <w:rsid w:val="001E226B"/>
    <w:rsid w:val="001E70D1"/>
    <w:rsid w:val="001F0BEE"/>
    <w:rsid w:val="001F1B02"/>
    <w:rsid w:val="001F7AAF"/>
    <w:rsid w:val="0020034B"/>
    <w:rsid w:val="0020614C"/>
    <w:rsid w:val="00206A84"/>
    <w:rsid w:val="002110E3"/>
    <w:rsid w:val="002125EF"/>
    <w:rsid w:val="00212CBF"/>
    <w:rsid w:val="00223358"/>
    <w:rsid w:val="002236CF"/>
    <w:rsid w:val="002250A0"/>
    <w:rsid w:val="00230767"/>
    <w:rsid w:val="002317C0"/>
    <w:rsid w:val="00234DD3"/>
    <w:rsid w:val="0023505E"/>
    <w:rsid w:val="00235969"/>
    <w:rsid w:val="00243DB2"/>
    <w:rsid w:val="002440A3"/>
    <w:rsid w:val="00244927"/>
    <w:rsid w:val="002478CD"/>
    <w:rsid w:val="00247B7F"/>
    <w:rsid w:val="002520DD"/>
    <w:rsid w:val="00254F82"/>
    <w:rsid w:val="00254F98"/>
    <w:rsid w:val="002564E1"/>
    <w:rsid w:val="00263792"/>
    <w:rsid w:val="002641EF"/>
    <w:rsid w:val="00264580"/>
    <w:rsid w:val="00266A8B"/>
    <w:rsid w:val="00266DF6"/>
    <w:rsid w:val="00266FBF"/>
    <w:rsid w:val="002729A8"/>
    <w:rsid w:val="00275128"/>
    <w:rsid w:val="002751CA"/>
    <w:rsid w:val="002756A5"/>
    <w:rsid w:val="00280D2A"/>
    <w:rsid w:val="00281BBA"/>
    <w:rsid w:val="002852B8"/>
    <w:rsid w:val="00285E14"/>
    <w:rsid w:val="00290D0D"/>
    <w:rsid w:val="00293439"/>
    <w:rsid w:val="00296711"/>
    <w:rsid w:val="00297BD6"/>
    <w:rsid w:val="002A13D8"/>
    <w:rsid w:val="002A1EAB"/>
    <w:rsid w:val="002A2F64"/>
    <w:rsid w:val="002A48A1"/>
    <w:rsid w:val="002A4D2D"/>
    <w:rsid w:val="002A6AFB"/>
    <w:rsid w:val="002B029E"/>
    <w:rsid w:val="002B3048"/>
    <w:rsid w:val="002B31F2"/>
    <w:rsid w:val="002B4395"/>
    <w:rsid w:val="002B5B38"/>
    <w:rsid w:val="002D0DF6"/>
    <w:rsid w:val="002D153B"/>
    <w:rsid w:val="002D1B77"/>
    <w:rsid w:val="002D2729"/>
    <w:rsid w:val="002D5D1A"/>
    <w:rsid w:val="002E22D1"/>
    <w:rsid w:val="002F1188"/>
    <w:rsid w:val="002F1F29"/>
    <w:rsid w:val="002F2369"/>
    <w:rsid w:val="002F699E"/>
    <w:rsid w:val="002F7280"/>
    <w:rsid w:val="0030039B"/>
    <w:rsid w:val="00301634"/>
    <w:rsid w:val="00301A65"/>
    <w:rsid w:val="00303518"/>
    <w:rsid w:val="0030479A"/>
    <w:rsid w:val="0030758B"/>
    <w:rsid w:val="00307A41"/>
    <w:rsid w:val="003118DE"/>
    <w:rsid w:val="00313841"/>
    <w:rsid w:val="003147A4"/>
    <w:rsid w:val="0031765C"/>
    <w:rsid w:val="0031780C"/>
    <w:rsid w:val="00317D38"/>
    <w:rsid w:val="0032051F"/>
    <w:rsid w:val="00323E8F"/>
    <w:rsid w:val="00323ED7"/>
    <w:rsid w:val="00325138"/>
    <w:rsid w:val="003256B6"/>
    <w:rsid w:val="00325ED0"/>
    <w:rsid w:val="00326E1F"/>
    <w:rsid w:val="00330396"/>
    <w:rsid w:val="00331031"/>
    <w:rsid w:val="003344EB"/>
    <w:rsid w:val="00335B43"/>
    <w:rsid w:val="00341FF1"/>
    <w:rsid w:val="0034474A"/>
    <w:rsid w:val="003451C7"/>
    <w:rsid w:val="0034546D"/>
    <w:rsid w:val="00353D42"/>
    <w:rsid w:val="00354B11"/>
    <w:rsid w:val="0035506B"/>
    <w:rsid w:val="003575AB"/>
    <w:rsid w:val="0036031B"/>
    <w:rsid w:val="003612F7"/>
    <w:rsid w:val="003627E5"/>
    <w:rsid w:val="00362BA8"/>
    <w:rsid w:val="00363C1F"/>
    <w:rsid w:val="003667B3"/>
    <w:rsid w:val="00374AC2"/>
    <w:rsid w:val="00374C7F"/>
    <w:rsid w:val="00375C80"/>
    <w:rsid w:val="003760CA"/>
    <w:rsid w:val="0038047B"/>
    <w:rsid w:val="0038077A"/>
    <w:rsid w:val="00381208"/>
    <w:rsid w:val="00382B07"/>
    <w:rsid w:val="00384D38"/>
    <w:rsid w:val="00385F7A"/>
    <w:rsid w:val="00390D0C"/>
    <w:rsid w:val="00390E70"/>
    <w:rsid w:val="003A17A0"/>
    <w:rsid w:val="003A1D88"/>
    <w:rsid w:val="003A428C"/>
    <w:rsid w:val="003A4F54"/>
    <w:rsid w:val="003B0611"/>
    <w:rsid w:val="003B1D1B"/>
    <w:rsid w:val="003B50C0"/>
    <w:rsid w:val="003C1EC3"/>
    <w:rsid w:val="003C239C"/>
    <w:rsid w:val="003C612F"/>
    <w:rsid w:val="003C6185"/>
    <w:rsid w:val="003C71CB"/>
    <w:rsid w:val="003D321E"/>
    <w:rsid w:val="003D3782"/>
    <w:rsid w:val="003D7FE6"/>
    <w:rsid w:val="003E21D8"/>
    <w:rsid w:val="003E60AD"/>
    <w:rsid w:val="003F37C9"/>
    <w:rsid w:val="003F4A9F"/>
    <w:rsid w:val="003F5165"/>
    <w:rsid w:val="00400D86"/>
    <w:rsid w:val="0040122A"/>
    <w:rsid w:val="004023AB"/>
    <w:rsid w:val="00410A59"/>
    <w:rsid w:val="00411B07"/>
    <w:rsid w:val="00422267"/>
    <w:rsid w:val="004226B3"/>
    <w:rsid w:val="004256AE"/>
    <w:rsid w:val="00431CAA"/>
    <w:rsid w:val="0043253F"/>
    <w:rsid w:val="00452F54"/>
    <w:rsid w:val="004553DC"/>
    <w:rsid w:val="00456435"/>
    <w:rsid w:val="0046017C"/>
    <w:rsid w:val="00461C22"/>
    <w:rsid w:val="004632EE"/>
    <w:rsid w:val="00463892"/>
    <w:rsid w:val="00466473"/>
    <w:rsid w:val="0046708F"/>
    <w:rsid w:val="0046755F"/>
    <w:rsid w:val="00472B76"/>
    <w:rsid w:val="0047761A"/>
    <w:rsid w:val="00481E6C"/>
    <w:rsid w:val="004845EE"/>
    <w:rsid w:val="00484CA1"/>
    <w:rsid w:val="0048615F"/>
    <w:rsid w:val="00487D3B"/>
    <w:rsid w:val="00492964"/>
    <w:rsid w:val="0049298A"/>
    <w:rsid w:val="0049333A"/>
    <w:rsid w:val="00496A2F"/>
    <w:rsid w:val="004A1955"/>
    <w:rsid w:val="004A1CB0"/>
    <w:rsid w:val="004A3650"/>
    <w:rsid w:val="004A461B"/>
    <w:rsid w:val="004A64C4"/>
    <w:rsid w:val="004C4E4D"/>
    <w:rsid w:val="004C5702"/>
    <w:rsid w:val="004C5DAB"/>
    <w:rsid w:val="004C7034"/>
    <w:rsid w:val="004C7933"/>
    <w:rsid w:val="004D3F88"/>
    <w:rsid w:val="004E2556"/>
    <w:rsid w:val="004E30F3"/>
    <w:rsid w:val="004F2B26"/>
    <w:rsid w:val="004F2CD0"/>
    <w:rsid w:val="004F3EEB"/>
    <w:rsid w:val="004F7940"/>
    <w:rsid w:val="00500527"/>
    <w:rsid w:val="00501C60"/>
    <w:rsid w:val="00510908"/>
    <w:rsid w:val="00512112"/>
    <w:rsid w:val="00517926"/>
    <w:rsid w:val="00522470"/>
    <w:rsid w:val="00522741"/>
    <w:rsid w:val="00523295"/>
    <w:rsid w:val="00545208"/>
    <w:rsid w:val="00546AF9"/>
    <w:rsid w:val="00550A63"/>
    <w:rsid w:val="005515AA"/>
    <w:rsid w:val="0055239D"/>
    <w:rsid w:val="005547F5"/>
    <w:rsid w:val="005554CE"/>
    <w:rsid w:val="0055580C"/>
    <w:rsid w:val="00556EE1"/>
    <w:rsid w:val="00561300"/>
    <w:rsid w:val="0056668D"/>
    <w:rsid w:val="00572AF7"/>
    <w:rsid w:val="00581B92"/>
    <w:rsid w:val="0058490A"/>
    <w:rsid w:val="00585AC8"/>
    <w:rsid w:val="00587C1E"/>
    <w:rsid w:val="00592738"/>
    <w:rsid w:val="00595DE5"/>
    <w:rsid w:val="005970BC"/>
    <w:rsid w:val="005B097B"/>
    <w:rsid w:val="005B105F"/>
    <w:rsid w:val="005B2299"/>
    <w:rsid w:val="005B3B11"/>
    <w:rsid w:val="005C26F9"/>
    <w:rsid w:val="005C354F"/>
    <w:rsid w:val="005C4A43"/>
    <w:rsid w:val="005C7505"/>
    <w:rsid w:val="005D13BB"/>
    <w:rsid w:val="005D3407"/>
    <w:rsid w:val="005D4D1D"/>
    <w:rsid w:val="005D5211"/>
    <w:rsid w:val="005D60E6"/>
    <w:rsid w:val="005D7CA5"/>
    <w:rsid w:val="005E26C7"/>
    <w:rsid w:val="005E2855"/>
    <w:rsid w:val="005E6A8D"/>
    <w:rsid w:val="005F013D"/>
    <w:rsid w:val="005F10E2"/>
    <w:rsid w:val="005F1B10"/>
    <w:rsid w:val="005F33E9"/>
    <w:rsid w:val="005F341F"/>
    <w:rsid w:val="005F52D3"/>
    <w:rsid w:val="00600A12"/>
    <w:rsid w:val="006014C0"/>
    <w:rsid w:val="00601680"/>
    <w:rsid w:val="00601812"/>
    <w:rsid w:val="0062674C"/>
    <w:rsid w:val="00626C1D"/>
    <w:rsid w:val="00630025"/>
    <w:rsid w:val="00630542"/>
    <w:rsid w:val="0063510B"/>
    <w:rsid w:val="00635769"/>
    <w:rsid w:val="006370A5"/>
    <w:rsid w:val="00651948"/>
    <w:rsid w:val="00653328"/>
    <w:rsid w:val="00655EA3"/>
    <w:rsid w:val="0065698F"/>
    <w:rsid w:val="006573C7"/>
    <w:rsid w:val="00661568"/>
    <w:rsid w:val="006637E9"/>
    <w:rsid w:val="00667DB0"/>
    <w:rsid w:val="006702EE"/>
    <w:rsid w:val="006764C3"/>
    <w:rsid w:val="006767F3"/>
    <w:rsid w:val="00680916"/>
    <w:rsid w:val="00680E47"/>
    <w:rsid w:val="006813D0"/>
    <w:rsid w:val="0068242D"/>
    <w:rsid w:val="00683DE8"/>
    <w:rsid w:val="00684467"/>
    <w:rsid w:val="006844E4"/>
    <w:rsid w:val="006906BD"/>
    <w:rsid w:val="00694102"/>
    <w:rsid w:val="006A392A"/>
    <w:rsid w:val="006A614D"/>
    <w:rsid w:val="006B0C09"/>
    <w:rsid w:val="006D0847"/>
    <w:rsid w:val="006D2A8A"/>
    <w:rsid w:val="006D2AD8"/>
    <w:rsid w:val="006D3EEE"/>
    <w:rsid w:val="006D5663"/>
    <w:rsid w:val="006D6D08"/>
    <w:rsid w:val="006D72ED"/>
    <w:rsid w:val="006D7826"/>
    <w:rsid w:val="006E29FE"/>
    <w:rsid w:val="006F3677"/>
    <w:rsid w:val="006F4041"/>
    <w:rsid w:val="006F75E8"/>
    <w:rsid w:val="00701A00"/>
    <w:rsid w:val="0070701D"/>
    <w:rsid w:val="00712802"/>
    <w:rsid w:val="00712E1C"/>
    <w:rsid w:val="007157B6"/>
    <w:rsid w:val="00721EDD"/>
    <w:rsid w:val="007229E2"/>
    <w:rsid w:val="00727046"/>
    <w:rsid w:val="00732A11"/>
    <w:rsid w:val="007339DE"/>
    <w:rsid w:val="00736D3B"/>
    <w:rsid w:val="00741BB3"/>
    <w:rsid w:val="007421FF"/>
    <w:rsid w:val="0074227E"/>
    <w:rsid w:val="00742A22"/>
    <w:rsid w:val="00744CF8"/>
    <w:rsid w:val="0074544A"/>
    <w:rsid w:val="00750257"/>
    <w:rsid w:val="00756B35"/>
    <w:rsid w:val="00763490"/>
    <w:rsid w:val="0076739F"/>
    <w:rsid w:val="00767E0E"/>
    <w:rsid w:val="007706CB"/>
    <w:rsid w:val="007742C9"/>
    <w:rsid w:val="00775DC0"/>
    <w:rsid w:val="00777912"/>
    <w:rsid w:val="00784E32"/>
    <w:rsid w:val="007910EE"/>
    <w:rsid w:val="00797A74"/>
    <w:rsid w:val="007A30E5"/>
    <w:rsid w:val="007A3DBB"/>
    <w:rsid w:val="007A5AC9"/>
    <w:rsid w:val="007A6122"/>
    <w:rsid w:val="007C2223"/>
    <w:rsid w:val="007C76FF"/>
    <w:rsid w:val="007C7F0E"/>
    <w:rsid w:val="007D05B6"/>
    <w:rsid w:val="007D119F"/>
    <w:rsid w:val="007D1856"/>
    <w:rsid w:val="007D4515"/>
    <w:rsid w:val="007D48F7"/>
    <w:rsid w:val="007D4D61"/>
    <w:rsid w:val="007D6140"/>
    <w:rsid w:val="007D69DC"/>
    <w:rsid w:val="007D70A1"/>
    <w:rsid w:val="007D7BED"/>
    <w:rsid w:val="007E495C"/>
    <w:rsid w:val="007E5FBA"/>
    <w:rsid w:val="007E653F"/>
    <w:rsid w:val="007F016C"/>
    <w:rsid w:val="007F304B"/>
    <w:rsid w:val="007F4FFC"/>
    <w:rsid w:val="007F7417"/>
    <w:rsid w:val="007F79A8"/>
    <w:rsid w:val="0080254D"/>
    <w:rsid w:val="00802AFB"/>
    <w:rsid w:val="00804EF9"/>
    <w:rsid w:val="00811553"/>
    <w:rsid w:val="008146D0"/>
    <w:rsid w:val="008221AC"/>
    <w:rsid w:val="008236C3"/>
    <w:rsid w:val="00830833"/>
    <w:rsid w:val="00834BDC"/>
    <w:rsid w:val="00836205"/>
    <w:rsid w:val="008418A9"/>
    <w:rsid w:val="008443AF"/>
    <w:rsid w:val="0085098F"/>
    <w:rsid w:val="00856383"/>
    <w:rsid w:val="0085764A"/>
    <w:rsid w:val="00864D09"/>
    <w:rsid w:val="00866C00"/>
    <w:rsid w:val="008717D9"/>
    <w:rsid w:val="00872A21"/>
    <w:rsid w:val="00872A39"/>
    <w:rsid w:val="00884DC1"/>
    <w:rsid w:val="00890F6E"/>
    <w:rsid w:val="0089244A"/>
    <w:rsid w:val="00893861"/>
    <w:rsid w:val="00893A6B"/>
    <w:rsid w:val="00895E0E"/>
    <w:rsid w:val="0089732C"/>
    <w:rsid w:val="008A0160"/>
    <w:rsid w:val="008A02E5"/>
    <w:rsid w:val="008A131F"/>
    <w:rsid w:val="008A1AE8"/>
    <w:rsid w:val="008A55FD"/>
    <w:rsid w:val="008A6E28"/>
    <w:rsid w:val="008A7C4F"/>
    <w:rsid w:val="008B5A66"/>
    <w:rsid w:val="008B6642"/>
    <w:rsid w:val="008B73FC"/>
    <w:rsid w:val="008B7E59"/>
    <w:rsid w:val="008C0B19"/>
    <w:rsid w:val="008C1D38"/>
    <w:rsid w:val="008C4B29"/>
    <w:rsid w:val="008C5FC0"/>
    <w:rsid w:val="008C6C27"/>
    <w:rsid w:val="008D63E7"/>
    <w:rsid w:val="008D6C0A"/>
    <w:rsid w:val="008D720A"/>
    <w:rsid w:val="008D7BA4"/>
    <w:rsid w:val="008E4EB0"/>
    <w:rsid w:val="008E6E29"/>
    <w:rsid w:val="008F0503"/>
    <w:rsid w:val="008F4581"/>
    <w:rsid w:val="008F74C5"/>
    <w:rsid w:val="008F7502"/>
    <w:rsid w:val="009020EB"/>
    <w:rsid w:val="00903061"/>
    <w:rsid w:val="00906F99"/>
    <w:rsid w:val="00907E75"/>
    <w:rsid w:val="00912F18"/>
    <w:rsid w:val="00914283"/>
    <w:rsid w:val="00914760"/>
    <w:rsid w:val="0092273D"/>
    <w:rsid w:val="0093223C"/>
    <w:rsid w:val="00934E82"/>
    <w:rsid w:val="00936AE8"/>
    <w:rsid w:val="00941105"/>
    <w:rsid w:val="009443AC"/>
    <w:rsid w:val="0094528C"/>
    <w:rsid w:val="00950EBD"/>
    <w:rsid w:val="00951327"/>
    <w:rsid w:val="00951B86"/>
    <w:rsid w:val="009524F4"/>
    <w:rsid w:val="00955D23"/>
    <w:rsid w:val="0096238D"/>
    <w:rsid w:val="0096484B"/>
    <w:rsid w:val="00966E4D"/>
    <w:rsid w:val="00975D4F"/>
    <w:rsid w:val="009779E4"/>
    <w:rsid w:val="009801E5"/>
    <w:rsid w:val="00984D8E"/>
    <w:rsid w:val="00987DB5"/>
    <w:rsid w:val="00990151"/>
    <w:rsid w:val="00994191"/>
    <w:rsid w:val="0099592D"/>
    <w:rsid w:val="009A044F"/>
    <w:rsid w:val="009A7C96"/>
    <w:rsid w:val="009A7CA7"/>
    <w:rsid w:val="009B632E"/>
    <w:rsid w:val="009B70C8"/>
    <w:rsid w:val="009C0EDD"/>
    <w:rsid w:val="009C5B79"/>
    <w:rsid w:val="009C61F6"/>
    <w:rsid w:val="009D30D3"/>
    <w:rsid w:val="009D3A24"/>
    <w:rsid w:val="009D3C05"/>
    <w:rsid w:val="009D48A1"/>
    <w:rsid w:val="009D7D58"/>
    <w:rsid w:val="009D7D8C"/>
    <w:rsid w:val="009E08A7"/>
    <w:rsid w:val="009E1EE4"/>
    <w:rsid w:val="009E2DCB"/>
    <w:rsid w:val="009E343B"/>
    <w:rsid w:val="009E4187"/>
    <w:rsid w:val="009E577A"/>
    <w:rsid w:val="009F6035"/>
    <w:rsid w:val="009F7C0F"/>
    <w:rsid w:val="00A024E9"/>
    <w:rsid w:val="00A07382"/>
    <w:rsid w:val="00A07BE7"/>
    <w:rsid w:val="00A10161"/>
    <w:rsid w:val="00A106DD"/>
    <w:rsid w:val="00A11FAE"/>
    <w:rsid w:val="00A1395D"/>
    <w:rsid w:val="00A178B7"/>
    <w:rsid w:val="00A2719B"/>
    <w:rsid w:val="00A27484"/>
    <w:rsid w:val="00A30C2A"/>
    <w:rsid w:val="00A327D3"/>
    <w:rsid w:val="00A32859"/>
    <w:rsid w:val="00A328E4"/>
    <w:rsid w:val="00A33C90"/>
    <w:rsid w:val="00A344EE"/>
    <w:rsid w:val="00A357CC"/>
    <w:rsid w:val="00A36A04"/>
    <w:rsid w:val="00A42D77"/>
    <w:rsid w:val="00A446E9"/>
    <w:rsid w:val="00A462E6"/>
    <w:rsid w:val="00A47B4A"/>
    <w:rsid w:val="00A519AA"/>
    <w:rsid w:val="00A53EE9"/>
    <w:rsid w:val="00A5705D"/>
    <w:rsid w:val="00A602A6"/>
    <w:rsid w:val="00A6132D"/>
    <w:rsid w:val="00A72600"/>
    <w:rsid w:val="00A727D5"/>
    <w:rsid w:val="00A74DDB"/>
    <w:rsid w:val="00A80FBA"/>
    <w:rsid w:val="00A8314B"/>
    <w:rsid w:val="00A85B35"/>
    <w:rsid w:val="00A86916"/>
    <w:rsid w:val="00A90110"/>
    <w:rsid w:val="00A95F48"/>
    <w:rsid w:val="00A96BEA"/>
    <w:rsid w:val="00AA227D"/>
    <w:rsid w:val="00AA48FA"/>
    <w:rsid w:val="00AA5196"/>
    <w:rsid w:val="00AA54D1"/>
    <w:rsid w:val="00AB1F97"/>
    <w:rsid w:val="00AB351A"/>
    <w:rsid w:val="00AB4F03"/>
    <w:rsid w:val="00AB7548"/>
    <w:rsid w:val="00AC2F3E"/>
    <w:rsid w:val="00AC7840"/>
    <w:rsid w:val="00AC7FB9"/>
    <w:rsid w:val="00AD0858"/>
    <w:rsid w:val="00AD1D0E"/>
    <w:rsid w:val="00AD1ED1"/>
    <w:rsid w:val="00AD21D6"/>
    <w:rsid w:val="00AD280B"/>
    <w:rsid w:val="00AD4693"/>
    <w:rsid w:val="00AD529E"/>
    <w:rsid w:val="00AE3638"/>
    <w:rsid w:val="00AE476A"/>
    <w:rsid w:val="00AE6A2D"/>
    <w:rsid w:val="00AE75F5"/>
    <w:rsid w:val="00AF00D2"/>
    <w:rsid w:val="00AF0755"/>
    <w:rsid w:val="00AF0CD9"/>
    <w:rsid w:val="00AF224F"/>
    <w:rsid w:val="00B05693"/>
    <w:rsid w:val="00B105CD"/>
    <w:rsid w:val="00B130D5"/>
    <w:rsid w:val="00B1345C"/>
    <w:rsid w:val="00B16F1A"/>
    <w:rsid w:val="00B177EA"/>
    <w:rsid w:val="00B2292B"/>
    <w:rsid w:val="00B243C5"/>
    <w:rsid w:val="00B25790"/>
    <w:rsid w:val="00B26233"/>
    <w:rsid w:val="00B302FB"/>
    <w:rsid w:val="00B30E6B"/>
    <w:rsid w:val="00B31E0D"/>
    <w:rsid w:val="00B332A7"/>
    <w:rsid w:val="00B34369"/>
    <w:rsid w:val="00B344E9"/>
    <w:rsid w:val="00B37CAE"/>
    <w:rsid w:val="00B41DD8"/>
    <w:rsid w:val="00B41F49"/>
    <w:rsid w:val="00B43912"/>
    <w:rsid w:val="00B51490"/>
    <w:rsid w:val="00B54808"/>
    <w:rsid w:val="00B563DE"/>
    <w:rsid w:val="00B57AC5"/>
    <w:rsid w:val="00B60CEF"/>
    <w:rsid w:val="00B61984"/>
    <w:rsid w:val="00B61CD3"/>
    <w:rsid w:val="00B722A0"/>
    <w:rsid w:val="00B73AD6"/>
    <w:rsid w:val="00B8044D"/>
    <w:rsid w:val="00B8386F"/>
    <w:rsid w:val="00B84730"/>
    <w:rsid w:val="00B86557"/>
    <w:rsid w:val="00B90AEE"/>
    <w:rsid w:val="00B90C86"/>
    <w:rsid w:val="00B9375B"/>
    <w:rsid w:val="00B9661D"/>
    <w:rsid w:val="00B97D85"/>
    <w:rsid w:val="00BA1708"/>
    <w:rsid w:val="00BA1C03"/>
    <w:rsid w:val="00BA29F9"/>
    <w:rsid w:val="00BA4141"/>
    <w:rsid w:val="00BB48FD"/>
    <w:rsid w:val="00BE0115"/>
    <w:rsid w:val="00BE3AC7"/>
    <w:rsid w:val="00BE468A"/>
    <w:rsid w:val="00BE579E"/>
    <w:rsid w:val="00BE71B5"/>
    <w:rsid w:val="00BF065C"/>
    <w:rsid w:val="00BF074D"/>
    <w:rsid w:val="00BF2D1C"/>
    <w:rsid w:val="00BF494E"/>
    <w:rsid w:val="00C03BF1"/>
    <w:rsid w:val="00C046AF"/>
    <w:rsid w:val="00C062FC"/>
    <w:rsid w:val="00C07B7D"/>
    <w:rsid w:val="00C07E09"/>
    <w:rsid w:val="00C126B0"/>
    <w:rsid w:val="00C14D90"/>
    <w:rsid w:val="00C14FB2"/>
    <w:rsid w:val="00C20880"/>
    <w:rsid w:val="00C210A1"/>
    <w:rsid w:val="00C217A3"/>
    <w:rsid w:val="00C2453E"/>
    <w:rsid w:val="00C3085C"/>
    <w:rsid w:val="00C3133C"/>
    <w:rsid w:val="00C31BCD"/>
    <w:rsid w:val="00C346C0"/>
    <w:rsid w:val="00C4179B"/>
    <w:rsid w:val="00C41BC3"/>
    <w:rsid w:val="00C44283"/>
    <w:rsid w:val="00C52692"/>
    <w:rsid w:val="00C5325A"/>
    <w:rsid w:val="00C53A95"/>
    <w:rsid w:val="00C55857"/>
    <w:rsid w:val="00C60AF7"/>
    <w:rsid w:val="00C60DFA"/>
    <w:rsid w:val="00C61F23"/>
    <w:rsid w:val="00C623DB"/>
    <w:rsid w:val="00C6251F"/>
    <w:rsid w:val="00C643F9"/>
    <w:rsid w:val="00C64FE1"/>
    <w:rsid w:val="00C700CB"/>
    <w:rsid w:val="00C81D12"/>
    <w:rsid w:val="00C8697B"/>
    <w:rsid w:val="00C86AEE"/>
    <w:rsid w:val="00C90890"/>
    <w:rsid w:val="00C9268A"/>
    <w:rsid w:val="00C94BCF"/>
    <w:rsid w:val="00C95319"/>
    <w:rsid w:val="00C95551"/>
    <w:rsid w:val="00C95A72"/>
    <w:rsid w:val="00CA2CC1"/>
    <w:rsid w:val="00CA4485"/>
    <w:rsid w:val="00CA5BB2"/>
    <w:rsid w:val="00CB4815"/>
    <w:rsid w:val="00CB56AC"/>
    <w:rsid w:val="00CC22F3"/>
    <w:rsid w:val="00CC4920"/>
    <w:rsid w:val="00CC4BF3"/>
    <w:rsid w:val="00CC7401"/>
    <w:rsid w:val="00CD0AB7"/>
    <w:rsid w:val="00CD125C"/>
    <w:rsid w:val="00CD30CE"/>
    <w:rsid w:val="00CD4ABB"/>
    <w:rsid w:val="00CD5685"/>
    <w:rsid w:val="00CD56AE"/>
    <w:rsid w:val="00CE1660"/>
    <w:rsid w:val="00CE239C"/>
    <w:rsid w:val="00CE46B0"/>
    <w:rsid w:val="00CE4EC9"/>
    <w:rsid w:val="00CF25DB"/>
    <w:rsid w:val="00CF3468"/>
    <w:rsid w:val="00CF55BB"/>
    <w:rsid w:val="00D024A1"/>
    <w:rsid w:val="00D02957"/>
    <w:rsid w:val="00D04144"/>
    <w:rsid w:val="00D105C1"/>
    <w:rsid w:val="00D23853"/>
    <w:rsid w:val="00D324E3"/>
    <w:rsid w:val="00D325F6"/>
    <w:rsid w:val="00D35D2C"/>
    <w:rsid w:val="00D411E0"/>
    <w:rsid w:val="00D45E18"/>
    <w:rsid w:val="00D52ADA"/>
    <w:rsid w:val="00D55D1A"/>
    <w:rsid w:val="00D60A97"/>
    <w:rsid w:val="00D62D2B"/>
    <w:rsid w:val="00D679A1"/>
    <w:rsid w:val="00D70698"/>
    <w:rsid w:val="00D70D54"/>
    <w:rsid w:val="00D74064"/>
    <w:rsid w:val="00D76DFB"/>
    <w:rsid w:val="00D77AD7"/>
    <w:rsid w:val="00D82C3A"/>
    <w:rsid w:val="00D835DD"/>
    <w:rsid w:val="00D8382B"/>
    <w:rsid w:val="00D85128"/>
    <w:rsid w:val="00D878D3"/>
    <w:rsid w:val="00D9023B"/>
    <w:rsid w:val="00D90303"/>
    <w:rsid w:val="00D90740"/>
    <w:rsid w:val="00D90894"/>
    <w:rsid w:val="00D95EA3"/>
    <w:rsid w:val="00D97050"/>
    <w:rsid w:val="00DA41AC"/>
    <w:rsid w:val="00DB2E27"/>
    <w:rsid w:val="00DB45B2"/>
    <w:rsid w:val="00DB6064"/>
    <w:rsid w:val="00DC67C0"/>
    <w:rsid w:val="00DC765F"/>
    <w:rsid w:val="00DD167E"/>
    <w:rsid w:val="00DE1A11"/>
    <w:rsid w:val="00DE2AE0"/>
    <w:rsid w:val="00DF34A3"/>
    <w:rsid w:val="00E03E16"/>
    <w:rsid w:val="00E17405"/>
    <w:rsid w:val="00E20CCA"/>
    <w:rsid w:val="00E23558"/>
    <w:rsid w:val="00E251CA"/>
    <w:rsid w:val="00E34F6C"/>
    <w:rsid w:val="00E37F51"/>
    <w:rsid w:val="00E42474"/>
    <w:rsid w:val="00E42D2D"/>
    <w:rsid w:val="00E43F55"/>
    <w:rsid w:val="00E53548"/>
    <w:rsid w:val="00E54E89"/>
    <w:rsid w:val="00E56106"/>
    <w:rsid w:val="00E6168F"/>
    <w:rsid w:val="00E62262"/>
    <w:rsid w:val="00E62468"/>
    <w:rsid w:val="00E6266F"/>
    <w:rsid w:val="00E668FC"/>
    <w:rsid w:val="00E66ADB"/>
    <w:rsid w:val="00E723A5"/>
    <w:rsid w:val="00E7250B"/>
    <w:rsid w:val="00E72CC8"/>
    <w:rsid w:val="00E75FC9"/>
    <w:rsid w:val="00E77536"/>
    <w:rsid w:val="00E80A9C"/>
    <w:rsid w:val="00E84F15"/>
    <w:rsid w:val="00E857AE"/>
    <w:rsid w:val="00E92A32"/>
    <w:rsid w:val="00E92E0B"/>
    <w:rsid w:val="00EA2AEF"/>
    <w:rsid w:val="00EA4355"/>
    <w:rsid w:val="00EA491E"/>
    <w:rsid w:val="00EB042C"/>
    <w:rsid w:val="00EB4DAA"/>
    <w:rsid w:val="00EB5529"/>
    <w:rsid w:val="00EB5CFB"/>
    <w:rsid w:val="00EC2306"/>
    <w:rsid w:val="00EC43B2"/>
    <w:rsid w:val="00ED0674"/>
    <w:rsid w:val="00ED1912"/>
    <w:rsid w:val="00ED1C5F"/>
    <w:rsid w:val="00ED3D1F"/>
    <w:rsid w:val="00ED3E2B"/>
    <w:rsid w:val="00ED45E8"/>
    <w:rsid w:val="00ED5265"/>
    <w:rsid w:val="00ED6EF9"/>
    <w:rsid w:val="00EE0016"/>
    <w:rsid w:val="00EE208C"/>
    <w:rsid w:val="00EE2AAE"/>
    <w:rsid w:val="00EE3CD3"/>
    <w:rsid w:val="00EE45AD"/>
    <w:rsid w:val="00EE48AF"/>
    <w:rsid w:val="00EE4A65"/>
    <w:rsid w:val="00EF41F7"/>
    <w:rsid w:val="00F0716A"/>
    <w:rsid w:val="00F071BE"/>
    <w:rsid w:val="00F07B82"/>
    <w:rsid w:val="00F20D99"/>
    <w:rsid w:val="00F215FA"/>
    <w:rsid w:val="00F23CF8"/>
    <w:rsid w:val="00F24157"/>
    <w:rsid w:val="00F2554D"/>
    <w:rsid w:val="00F31466"/>
    <w:rsid w:val="00F32A16"/>
    <w:rsid w:val="00F33AD6"/>
    <w:rsid w:val="00F33F6F"/>
    <w:rsid w:val="00F40065"/>
    <w:rsid w:val="00F50376"/>
    <w:rsid w:val="00F50DFE"/>
    <w:rsid w:val="00F554C8"/>
    <w:rsid w:val="00F60507"/>
    <w:rsid w:val="00F63BAC"/>
    <w:rsid w:val="00F65153"/>
    <w:rsid w:val="00F674B2"/>
    <w:rsid w:val="00F75AED"/>
    <w:rsid w:val="00F806E3"/>
    <w:rsid w:val="00F8218E"/>
    <w:rsid w:val="00F829E5"/>
    <w:rsid w:val="00F905EA"/>
    <w:rsid w:val="00F90CDE"/>
    <w:rsid w:val="00F93951"/>
    <w:rsid w:val="00F962E7"/>
    <w:rsid w:val="00F96D07"/>
    <w:rsid w:val="00FA05EE"/>
    <w:rsid w:val="00FA57CE"/>
    <w:rsid w:val="00FA5FC4"/>
    <w:rsid w:val="00FB07AE"/>
    <w:rsid w:val="00FB3CD4"/>
    <w:rsid w:val="00FB6C92"/>
    <w:rsid w:val="00FB7971"/>
    <w:rsid w:val="00FC0961"/>
    <w:rsid w:val="00FC385B"/>
    <w:rsid w:val="00FC40DC"/>
    <w:rsid w:val="00FC79D2"/>
    <w:rsid w:val="00FD2097"/>
    <w:rsid w:val="00FD5218"/>
    <w:rsid w:val="00FE0088"/>
    <w:rsid w:val="00FE145A"/>
    <w:rsid w:val="00FE2FEC"/>
    <w:rsid w:val="00FF00A7"/>
    <w:rsid w:val="00FF5BF3"/>
    <w:rsid w:val="00FF5C7F"/>
    <w:rsid w:val="00FF766C"/>
    <w:rsid w:val="01282E62"/>
    <w:rsid w:val="013759AE"/>
    <w:rsid w:val="01944054"/>
    <w:rsid w:val="01AC2A27"/>
    <w:rsid w:val="02005B8D"/>
    <w:rsid w:val="021C72CE"/>
    <w:rsid w:val="025A2046"/>
    <w:rsid w:val="02721781"/>
    <w:rsid w:val="027348B5"/>
    <w:rsid w:val="0273635F"/>
    <w:rsid w:val="028D00AA"/>
    <w:rsid w:val="02B45F74"/>
    <w:rsid w:val="02BE65AC"/>
    <w:rsid w:val="02C637E1"/>
    <w:rsid w:val="02DE7965"/>
    <w:rsid w:val="02FA082F"/>
    <w:rsid w:val="02FC539B"/>
    <w:rsid w:val="03084C36"/>
    <w:rsid w:val="03343D40"/>
    <w:rsid w:val="0341385C"/>
    <w:rsid w:val="034A0A30"/>
    <w:rsid w:val="03523C42"/>
    <w:rsid w:val="0356004D"/>
    <w:rsid w:val="03656F0C"/>
    <w:rsid w:val="037879DA"/>
    <w:rsid w:val="03A252E7"/>
    <w:rsid w:val="03B2024F"/>
    <w:rsid w:val="03B3702A"/>
    <w:rsid w:val="03FD2FB8"/>
    <w:rsid w:val="040916E0"/>
    <w:rsid w:val="040A6C75"/>
    <w:rsid w:val="041F2C36"/>
    <w:rsid w:val="043B2EAD"/>
    <w:rsid w:val="04505222"/>
    <w:rsid w:val="046F4344"/>
    <w:rsid w:val="047E1A78"/>
    <w:rsid w:val="04956A61"/>
    <w:rsid w:val="049B394B"/>
    <w:rsid w:val="04AE7B23"/>
    <w:rsid w:val="04C85BF5"/>
    <w:rsid w:val="0520214C"/>
    <w:rsid w:val="05285162"/>
    <w:rsid w:val="054B5EC6"/>
    <w:rsid w:val="055B0860"/>
    <w:rsid w:val="055C2603"/>
    <w:rsid w:val="05887ED4"/>
    <w:rsid w:val="05CD222A"/>
    <w:rsid w:val="05D13F09"/>
    <w:rsid w:val="05EA490E"/>
    <w:rsid w:val="05EE467B"/>
    <w:rsid w:val="06000F4D"/>
    <w:rsid w:val="062F78B9"/>
    <w:rsid w:val="06361B7E"/>
    <w:rsid w:val="0639691E"/>
    <w:rsid w:val="065A3ABE"/>
    <w:rsid w:val="067D6210"/>
    <w:rsid w:val="068A7F9C"/>
    <w:rsid w:val="06922FFA"/>
    <w:rsid w:val="07012B3E"/>
    <w:rsid w:val="072365A6"/>
    <w:rsid w:val="07391925"/>
    <w:rsid w:val="078E7641"/>
    <w:rsid w:val="07C53BD8"/>
    <w:rsid w:val="07F718A5"/>
    <w:rsid w:val="082C7314"/>
    <w:rsid w:val="082F1661"/>
    <w:rsid w:val="08415F88"/>
    <w:rsid w:val="08500461"/>
    <w:rsid w:val="085A307C"/>
    <w:rsid w:val="088237AA"/>
    <w:rsid w:val="08900E24"/>
    <w:rsid w:val="08A07782"/>
    <w:rsid w:val="08A2799E"/>
    <w:rsid w:val="08A63100"/>
    <w:rsid w:val="08A90824"/>
    <w:rsid w:val="08C51F88"/>
    <w:rsid w:val="08C64E40"/>
    <w:rsid w:val="08F35AAD"/>
    <w:rsid w:val="090904DE"/>
    <w:rsid w:val="09245453"/>
    <w:rsid w:val="092E4D8E"/>
    <w:rsid w:val="095D5673"/>
    <w:rsid w:val="09657CB8"/>
    <w:rsid w:val="09746C3E"/>
    <w:rsid w:val="099F2993"/>
    <w:rsid w:val="09C44AB1"/>
    <w:rsid w:val="09CB45B8"/>
    <w:rsid w:val="09CF4D4B"/>
    <w:rsid w:val="09DB702E"/>
    <w:rsid w:val="09F314C1"/>
    <w:rsid w:val="09FC3642"/>
    <w:rsid w:val="0A0475D0"/>
    <w:rsid w:val="0A115F02"/>
    <w:rsid w:val="0A151942"/>
    <w:rsid w:val="0A2E3FC5"/>
    <w:rsid w:val="0A3D2864"/>
    <w:rsid w:val="0A531227"/>
    <w:rsid w:val="0A6D128C"/>
    <w:rsid w:val="0A870BFA"/>
    <w:rsid w:val="0A961435"/>
    <w:rsid w:val="0AC23D37"/>
    <w:rsid w:val="0AC459AA"/>
    <w:rsid w:val="0B085DF4"/>
    <w:rsid w:val="0B260313"/>
    <w:rsid w:val="0B34384A"/>
    <w:rsid w:val="0B350617"/>
    <w:rsid w:val="0B3D3CC8"/>
    <w:rsid w:val="0B472834"/>
    <w:rsid w:val="0B6D6042"/>
    <w:rsid w:val="0B75026C"/>
    <w:rsid w:val="0B840330"/>
    <w:rsid w:val="0B87083F"/>
    <w:rsid w:val="0BCD6FB0"/>
    <w:rsid w:val="0BD47E6F"/>
    <w:rsid w:val="0BD55EB7"/>
    <w:rsid w:val="0BEC2882"/>
    <w:rsid w:val="0BFD487B"/>
    <w:rsid w:val="0C2E279F"/>
    <w:rsid w:val="0C2E4A21"/>
    <w:rsid w:val="0C310D8F"/>
    <w:rsid w:val="0C44536A"/>
    <w:rsid w:val="0C81648E"/>
    <w:rsid w:val="0C94360C"/>
    <w:rsid w:val="0CC07C94"/>
    <w:rsid w:val="0CDF3155"/>
    <w:rsid w:val="0CEB684C"/>
    <w:rsid w:val="0CF04FE7"/>
    <w:rsid w:val="0CF4418A"/>
    <w:rsid w:val="0D144B62"/>
    <w:rsid w:val="0D1C154D"/>
    <w:rsid w:val="0D5D3392"/>
    <w:rsid w:val="0D6012AA"/>
    <w:rsid w:val="0D697C23"/>
    <w:rsid w:val="0D832544"/>
    <w:rsid w:val="0D892EDB"/>
    <w:rsid w:val="0DB8444D"/>
    <w:rsid w:val="0DCB52A1"/>
    <w:rsid w:val="0DD5780D"/>
    <w:rsid w:val="0DF67FFA"/>
    <w:rsid w:val="0E664FCA"/>
    <w:rsid w:val="0E927B6D"/>
    <w:rsid w:val="0E975183"/>
    <w:rsid w:val="0E980FA6"/>
    <w:rsid w:val="0EC046DA"/>
    <w:rsid w:val="0EE87164"/>
    <w:rsid w:val="0F215CB0"/>
    <w:rsid w:val="0F6F1338"/>
    <w:rsid w:val="0F730042"/>
    <w:rsid w:val="0F7A347F"/>
    <w:rsid w:val="0F7E14DB"/>
    <w:rsid w:val="0F7E5664"/>
    <w:rsid w:val="0F9A3CAA"/>
    <w:rsid w:val="0FCE6DFD"/>
    <w:rsid w:val="1010343F"/>
    <w:rsid w:val="10300DA1"/>
    <w:rsid w:val="10521664"/>
    <w:rsid w:val="10596B94"/>
    <w:rsid w:val="105B405A"/>
    <w:rsid w:val="10662B2B"/>
    <w:rsid w:val="10790FE5"/>
    <w:rsid w:val="107C1B07"/>
    <w:rsid w:val="108D683E"/>
    <w:rsid w:val="10975377"/>
    <w:rsid w:val="10A62F44"/>
    <w:rsid w:val="10B53B51"/>
    <w:rsid w:val="10E0325E"/>
    <w:rsid w:val="112000BF"/>
    <w:rsid w:val="113373E5"/>
    <w:rsid w:val="114853EC"/>
    <w:rsid w:val="114A5E54"/>
    <w:rsid w:val="11513D10"/>
    <w:rsid w:val="119500A0"/>
    <w:rsid w:val="119B31DD"/>
    <w:rsid w:val="11F7415A"/>
    <w:rsid w:val="123571D6"/>
    <w:rsid w:val="123F625E"/>
    <w:rsid w:val="124504B7"/>
    <w:rsid w:val="124B7735"/>
    <w:rsid w:val="124D2729"/>
    <w:rsid w:val="12540265"/>
    <w:rsid w:val="125B325B"/>
    <w:rsid w:val="12624DFB"/>
    <w:rsid w:val="1271355F"/>
    <w:rsid w:val="128D6607"/>
    <w:rsid w:val="12AA3A8C"/>
    <w:rsid w:val="12BD4314"/>
    <w:rsid w:val="12EC1F42"/>
    <w:rsid w:val="12EE149E"/>
    <w:rsid w:val="13361F99"/>
    <w:rsid w:val="13634763"/>
    <w:rsid w:val="13655850"/>
    <w:rsid w:val="137A28C2"/>
    <w:rsid w:val="13802684"/>
    <w:rsid w:val="139F6FB4"/>
    <w:rsid w:val="139F711B"/>
    <w:rsid w:val="13C756F5"/>
    <w:rsid w:val="13D34EB0"/>
    <w:rsid w:val="13D85498"/>
    <w:rsid w:val="13F07810"/>
    <w:rsid w:val="13F945CA"/>
    <w:rsid w:val="141E365C"/>
    <w:rsid w:val="14246148"/>
    <w:rsid w:val="14310FC1"/>
    <w:rsid w:val="1442379D"/>
    <w:rsid w:val="148D45DC"/>
    <w:rsid w:val="14975E17"/>
    <w:rsid w:val="14A00775"/>
    <w:rsid w:val="14AD1B9F"/>
    <w:rsid w:val="14DB41A0"/>
    <w:rsid w:val="14F60FB2"/>
    <w:rsid w:val="14F72EB4"/>
    <w:rsid w:val="15303C50"/>
    <w:rsid w:val="15574AC0"/>
    <w:rsid w:val="155C1C50"/>
    <w:rsid w:val="155D33EE"/>
    <w:rsid w:val="15747FCD"/>
    <w:rsid w:val="15893431"/>
    <w:rsid w:val="15B07DB1"/>
    <w:rsid w:val="15B26787"/>
    <w:rsid w:val="15C154CF"/>
    <w:rsid w:val="15CF16A7"/>
    <w:rsid w:val="15F75B75"/>
    <w:rsid w:val="160116A0"/>
    <w:rsid w:val="16094319"/>
    <w:rsid w:val="160D26F5"/>
    <w:rsid w:val="16893F4C"/>
    <w:rsid w:val="16CE0E1C"/>
    <w:rsid w:val="16D43419"/>
    <w:rsid w:val="16E31A9A"/>
    <w:rsid w:val="16FE2244"/>
    <w:rsid w:val="172D5A53"/>
    <w:rsid w:val="173558CE"/>
    <w:rsid w:val="173D69EE"/>
    <w:rsid w:val="17460160"/>
    <w:rsid w:val="174B7723"/>
    <w:rsid w:val="17594E38"/>
    <w:rsid w:val="175C5F2D"/>
    <w:rsid w:val="17604CAC"/>
    <w:rsid w:val="178E217A"/>
    <w:rsid w:val="17A776A1"/>
    <w:rsid w:val="17C33973"/>
    <w:rsid w:val="17C40F61"/>
    <w:rsid w:val="17C57A86"/>
    <w:rsid w:val="180E4708"/>
    <w:rsid w:val="18285BB1"/>
    <w:rsid w:val="182C52BE"/>
    <w:rsid w:val="182D2923"/>
    <w:rsid w:val="1833766A"/>
    <w:rsid w:val="18381785"/>
    <w:rsid w:val="1859647D"/>
    <w:rsid w:val="185E1ECD"/>
    <w:rsid w:val="186B3909"/>
    <w:rsid w:val="18744F23"/>
    <w:rsid w:val="18772045"/>
    <w:rsid w:val="187E095C"/>
    <w:rsid w:val="189C3682"/>
    <w:rsid w:val="18B20FCE"/>
    <w:rsid w:val="18C8788D"/>
    <w:rsid w:val="190A0907"/>
    <w:rsid w:val="19153875"/>
    <w:rsid w:val="191C3075"/>
    <w:rsid w:val="196172BC"/>
    <w:rsid w:val="19766863"/>
    <w:rsid w:val="19785F62"/>
    <w:rsid w:val="19801C10"/>
    <w:rsid w:val="19831DC7"/>
    <w:rsid w:val="199148E8"/>
    <w:rsid w:val="19957A1F"/>
    <w:rsid w:val="199826A2"/>
    <w:rsid w:val="19DA18DC"/>
    <w:rsid w:val="19DC10B7"/>
    <w:rsid w:val="1A0B5171"/>
    <w:rsid w:val="1A0D6DB6"/>
    <w:rsid w:val="1A1C3E5D"/>
    <w:rsid w:val="1A27385F"/>
    <w:rsid w:val="1A2C1963"/>
    <w:rsid w:val="1A375AAD"/>
    <w:rsid w:val="1A680241"/>
    <w:rsid w:val="1A797E25"/>
    <w:rsid w:val="1A86178D"/>
    <w:rsid w:val="1A903AFB"/>
    <w:rsid w:val="1A952EBF"/>
    <w:rsid w:val="1A9C00AB"/>
    <w:rsid w:val="1AAF4DA4"/>
    <w:rsid w:val="1AE32516"/>
    <w:rsid w:val="1AFA5418"/>
    <w:rsid w:val="1AFD32CD"/>
    <w:rsid w:val="1B045C3F"/>
    <w:rsid w:val="1B0512A5"/>
    <w:rsid w:val="1B36527E"/>
    <w:rsid w:val="1B3A5427"/>
    <w:rsid w:val="1B4A4017"/>
    <w:rsid w:val="1B956AB3"/>
    <w:rsid w:val="1B9B2757"/>
    <w:rsid w:val="1BAF4FD7"/>
    <w:rsid w:val="1BCE1A9A"/>
    <w:rsid w:val="1BD07A41"/>
    <w:rsid w:val="1BE02EEA"/>
    <w:rsid w:val="1C0539A1"/>
    <w:rsid w:val="1C13053F"/>
    <w:rsid w:val="1C360A22"/>
    <w:rsid w:val="1C4736FE"/>
    <w:rsid w:val="1C5E7E41"/>
    <w:rsid w:val="1C611D5B"/>
    <w:rsid w:val="1C710218"/>
    <w:rsid w:val="1C8256C5"/>
    <w:rsid w:val="1C8C02F2"/>
    <w:rsid w:val="1C931452"/>
    <w:rsid w:val="1CAC64A5"/>
    <w:rsid w:val="1CC65C36"/>
    <w:rsid w:val="1CC759D5"/>
    <w:rsid w:val="1CCE7A3C"/>
    <w:rsid w:val="1D19735C"/>
    <w:rsid w:val="1D545F62"/>
    <w:rsid w:val="1D550812"/>
    <w:rsid w:val="1D670DAF"/>
    <w:rsid w:val="1D864D41"/>
    <w:rsid w:val="1D961AAB"/>
    <w:rsid w:val="1DC840FC"/>
    <w:rsid w:val="1DCD471E"/>
    <w:rsid w:val="1DED3012"/>
    <w:rsid w:val="1E136F19"/>
    <w:rsid w:val="1E206F43"/>
    <w:rsid w:val="1E4B3A17"/>
    <w:rsid w:val="1EA01E32"/>
    <w:rsid w:val="1EBB4EBE"/>
    <w:rsid w:val="1EDF6241"/>
    <w:rsid w:val="1EF50E2C"/>
    <w:rsid w:val="1EFA136F"/>
    <w:rsid w:val="1F1A4831"/>
    <w:rsid w:val="1F1E6A08"/>
    <w:rsid w:val="1F3674A4"/>
    <w:rsid w:val="1F3A78BB"/>
    <w:rsid w:val="1F5654A6"/>
    <w:rsid w:val="1F6A2B6C"/>
    <w:rsid w:val="1F75023B"/>
    <w:rsid w:val="1F7A031D"/>
    <w:rsid w:val="1F7A75C4"/>
    <w:rsid w:val="1FA36E16"/>
    <w:rsid w:val="1FB35D44"/>
    <w:rsid w:val="20036B1D"/>
    <w:rsid w:val="201A3449"/>
    <w:rsid w:val="20256A93"/>
    <w:rsid w:val="20670714"/>
    <w:rsid w:val="20696AB7"/>
    <w:rsid w:val="20866C6D"/>
    <w:rsid w:val="208A0BA0"/>
    <w:rsid w:val="20906196"/>
    <w:rsid w:val="209D2780"/>
    <w:rsid w:val="20A00A01"/>
    <w:rsid w:val="20AE2D02"/>
    <w:rsid w:val="20BC5B59"/>
    <w:rsid w:val="20DD736E"/>
    <w:rsid w:val="20E902CB"/>
    <w:rsid w:val="210E17D3"/>
    <w:rsid w:val="213F50B4"/>
    <w:rsid w:val="215B571C"/>
    <w:rsid w:val="215F7C07"/>
    <w:rsid w:val="21713662"/>
    <w:rsid w:val="219519E3"/>
    <w:rsid w:val="219519F6"/>
    <w:rsid w:val="21C522EA"/>
    <w:rsid w:val="21F66836"/>
    <w:rsid w:val="22110519"/>
    <w:rsid w:val="22160D89"/>
    <w:rsid w:val="223718C4"/>
    <w:rsid w:val="224551CB"/>
    <w:rsid w:val="224D2C19"/>
    <w:rsid w:val="227106AC"/>
    <w:rsid w:val="227321C4"/>
    <w:rsid w:val="228B7208"/>
    <w:rsid w:val="228C1F46"/>
    <w:rsid w:val="229A54F9"/>
    <w:rsid w:val="229E2B2D"/>
    <w:rsid w:val="22A068A5"/>
    <w:rsid w:val="22B42350"/>
    <w:rsid w:val="22C52943"/>
    <w:rsid w:val="22D27325"/>
    <w:rsid w:val="22E82F02"/>
    <w:rsid w:val="22E83DA8"/>
    <w:rsid w:val="22EF3388"/>
    <w:rsid w:val="23130E25"/>
    <w:rsid w:val="23681EC9"/>
    <w:rsid w:val="2390627A"/>
    <w:rsid w:val="23B95B4B"/>
    <w:rsid w:val="23EC251C"/>
    <w:rsid w:val="23F14B82"/>
    <w:rsid w:val="24244F5F"/>
    <w:rsid w:val="243376EE"/>
    <w:rsid w:val="24474BEB"/>
    <w:rsid w:val="2462195D"/>
    <w:rsid w:val="247374C9"/>
    <w:rsid w:val="24A02B38"/>
    <w:rsid w:val="24BF7666"/>
    <w:rsid w:val="24C86E4A"/>
    <w:rsid w:val="24CA19B7"/>
    <w:rsid w:val="24CA251F"/>
    <w:rsid w:val="24CC710A"/>
    <w:rsid w:val="25001D8E"/>
    <w:rsid w:val="25015C8D"/>
    <w:rsid w:val="250354B1"/>
    <w:rsid w:val="25316DBC"/>
    <w:rsid w:val="25374B08"/>
    <w:rsid w:val="25755DC7"/>
    <w:rsid w:val="258C049F"/>
    <w:rsid w:val="259D179A"/>
    <w:rsid w:val="259F2E44"/>
    <w:rsid w:val="25B54415"/>
    <w:rsid w:val="25C4208D"/>
    <w:rsid w:val="25E16874"/>
    <w:rsid w:val="25EF3BEC"/>
    <w:rsid w:val="25F41E72"/>
    <w:rsid w:val="26684698"/>
    <w:rsid w:val="267616F4"/>
    <w:rsid w:val="2677349D"/>
    <w:rsid w:val="267E7EE2"/>
    <w:rsid w:val="269E3515"/>
    <w:rsid w:val="26C8412D"/>
    <w:rsid w:val="26D35A29"/>
    <w:rsid w:val="26E56F7C"/>
    <w:rsid w:val="27022491"/>
    <w:rsid w:val="27221C47"/>
    <w:rsid w:val="277D67DE"/>
    <w:rsid w:val="279D3E9C"/>
    <w:rsid w:val="27AC4934"/>
    <w:rsid w:val="27AF2DBA"/>
    <w:rsid w:val="27C05DEB"/>
    <w:rsid w:val="27D368EF"/>
    <w:rsid w:val="27D50D9F"/>
    <w:rsid w:val="27D72D69"/>
    <w:rsid w:val="27D73FF6"/>
    <w:rsid w:val="27D75D4C"/>
    <w:rsid w:val="27E11438"/>
    <w:rsid w:val="27EF7BD3"/>
    <w:rsid w:val="2819068F"/>
    <w:rsid w:val="285E45DB"/>
    <w:rsid w:val="288B5901"/>
    <w:rsid w:val="288D3427"/>
    <w:rsid w:val="28956780"/>
    <w:rsid w:val="28A32C4B"/>
    <w:rsid w:val="28AC7BC6"/>
    <w:rsid w:val="28C01A4F"/>
    <w:rsid w:val="28C22248"/>
    <w:rsid w:val="28E53263"/>
    <w:rsid w:val="28E73839"/>
    <w:rsid w:val="28FC0E5D"/>
    <w:rsid w:val="28FE2577"/>
    <w:rsid w:val="29197407"/>
    <w:rsid w:val="291E0523"/>
    <w:rsid w:val="29203ADB"/>
    <w:rsid w:val="293F3248"/>
    <w:rsid w:val="29497B7B"/>
    <w:rsid w:val="295019C0"/>
    <w:rsid w:val="2964577C"/>
    <w:rsid w:val="2999706E"/>
    <w:rsid w:val="29BD1AEA"/>
    <w:rsid w:val="29DE4856"/>
    <w:rsid w:val="29E25CCA"/>
    <w:rsid w:val="29EB6945"/>
    <w:rsid w:val="29ED386E"/>
    <w:rsid w:val="29F01B4E"/>
    <w:rsid w:val="29F179E6"/>
    <w:rsid w:val="2A2B2EF8"/>
    <w:rsid w:val="2A6E4820"/>
    <w:rsid w:val="2A793801"/>
    <w:rsid w:val="2A7E248F"/>
    <w:rsid w:val="2AAE58D7"/>
    <w:rsid w:val="2AD25A69"/>
    <w:rsid w:val="2AE52D81"/>
    <w:rsid w:val="2B547A60"/>
    <w:rsid w:val="2B734B48"/>
    <w:rsid w:val="2BA45AD6"/>
    <w:rsid w:val="2BD0363D"/>
    <w:rsid w:val="2BF07EFC"/>
    <w:rsid w:val="2C136A03"/>
    <w:rsid w:val="2C2A155C"/>
    <w:rsid w:val="2C561EEC"/>
    <w:rsid w:val="2C6E13AE"/>
    <w:rsid w:val="2CD0422B"/>
    <w:rsid w:val="2CE104C0"/>
    <w:rsid w:val="2CE767D6"/>
    <w:rsid w:val="2D074563"/>
    <w:rsid w:val="2D460F4F"/>
    <w:rsid w:val="2D480265"/>
    <w:rsid w:val="2D67208B"/>
    <w:rsid w:val="2D7900E3"/>
    <w:rsid w:val="2D7A6E9A"/>
    <w:rsid w:val="2DC62459"/>
    <w:rsid w:val="2DDD629F"/>
    <w:rsid w:val="2E09613E"/>
    <w:rsid w:val="2E1746FA"/>
    <w:rsid w:val="2E222864"/>
    <w:rsid w:val="2E2E1209"/>
    <w:rsid w:val="2E347FE6"/>
    <w:rsid w:val="2E437485"/>
    <w:rsid w:val="2E471B58"/>
    <w:rsid w:val="2E4E5407"/>
    <w:rsid w:val="2E5F3401"/>
    <w:rsid w:val="2E8044A4"/>
    <w:rsid w:val="2E8A1F76"/>
    <w:rsid w:val="2EAA79F7"/>
    <w:rsid w:val="2EBA2A9C"/>
    <w:rsid w:val="2EC60BB1"/>
    <w:rsid w:val="2EFE0BDB"/>
    <w:rsid w:val="2F071DB4"/>
    <w:rsid w:val="2F105615"/>
    <w:rsid w:val="2F244019"/>
    <w:rsid w:val="2F44456A"/>
    <w:rsid w:val="2FBE5224"/>
    <w:rsid w:val="2FC963EA"/>
    <w:rsid w:val="30010852"/>
    <w:rsid w:val="301C5A0E"/>
    <w:rsid w:val="301D6B03"/>
    <w:rsid w:val="30596B25"/>
    <w:rsid w:val="30DC344D"/>
    <w:rsid w:val="30E23CB1"/>
    <w:rsid w:val="30E24DDB"/>
    <w:rsid w:val="30E618EA"/>
    <w:rsid w:val="30E6596A"/>
    <w:rsid w:val="30ED6EBE"/>
    <w:rsid w:val="31266E06"/>
    <w:rsid w:val="31303ABD"/>
    <w:rsid w:val="31360422"/>
    <w:rsid w:val="31381C0C"/>
    <w:rsid w:val="313F38FB"/>
    <w:rsid w:val="314A1CA8"/>
    <w:rsid w:val="315D46CB"/>
    <w:rsid w:val="319C46DB"/>
    <w:rsid w:val="31AF2BF4"/>
    <w:rsid w:val="31B42F86"/>
    <w:rsid w:val="31B720F2"/>
    <w:rsid w:val="31BF6929"/>
    <w:rsid w:val="31CB077D"/>
    <w:rsid w:val="31EC5663"/>
    <w:rsid w:val="31FB60B6"/>
    <w:rsid w:val="31FE5B4B"/>
    <w:rsid w:val="32022351"/>
    <w:rsid w:val="320902DE"/>
    <w:rsid w:val="3248259E"/>
    <w:rsid w:val="3264344B"/>
    <w:rsid w:val="328A6E09"/>
    <w:rsid w:val="32CE6213"/>
    <w:rsid w:val="32CE765F"/>
    <w:rsid w:val="32E763D3"/>
    <w:rsid w:val="32EB46F7"/>
    <w:rsid w:val="33024A12"/>
    <w:rsid w:val="3317670F"/>
    <w:rsid w:val="3320497C"/>
    <w:rsid w:val="332570A8"/>
    <w:rsid w:val="3352162D"/>
    <w:rsid w:val="33582F3A"/>
    <w:rsid w:val="336A0B90"/>
    <w:rsid w:val="337E22EA"/>
    <w:rsid w:val="33B51A84"/>
    <w:rsid w:val="33C51C50"/>
    <w:rsid w:val="33E96246"/>
    <w:rsid w:val="34077D73"/>
    <w:rsid w:val="340B7DE9"/>
    <w:rsid w:val="341615CD"/>
    <w:rsid w:val="34291EBA"/>
    <w:rsid w:val="342B71FC"/>
    <w:rsid w:val="34366616"/>
    <w:rsid w:val="34437189"/>
    <w:rsid w:val="34437DE0"/>
    <w:rsid w:val="34A72A94"/>
    <w:rsid w:val="34F32864"/>
    <w:rsid w:val="35091707"/>
    <w:rsid w:val="35160AA0"/>
    <w:rsid w:val="351729F7"/>
    <w:rsid w:val="35211D0E"/>
    <w:rsid w:val="35260E8C"/>
    <w:rsid w:val="354F336C"/>
    <w:rsid w:val="355210D0"/>
    <w:rsid w:val="361651B5"/>
    <w:rsid w:val="362F1FC2"/>
    <w:rsid w:val="36452593"/>
    <w:rsid w:val="36494616"/>
    <w:rsid w:val="365E6403"/>
    <w:rsid w:val="365E73B1"/>
    <w:rsid w:val="36625EF3"/>
    <w:rsid w:val="366B0FB7"/>
    <w:rsid w:val="36750F60"/>
    <w:rsid w:val="367C56C9"/>
    <w:rsid w:val="36B34424"/>
    <w:rsid w:val="36C14A43"/>
    <w:rsid w:val="36D466C5"/>
    <w:rsid w:val="36DB2AF7"/>
    <w:rsid w:val="36EA5A89"/>
    <w:rsid w:val="36F32FEF"/>
    <w:rsid w:val="37046FAB"/>
    <w:rsid w:val="371C2878"/>
    <w:rsid w:val="3720430A"/>
    <w:rsid w:val="374A385F"/>
    <w:rsid w:val="37511C4C"/>
    <w:rsid w:val="37682A67"/>
    <w:rsid w:val="37702A00"/>
    <w:rsid w:val="37936580"/>
    <w:rsid w:val="37A023EF"/>
    <w:rsid w:val="37AF33BA"/>
    <w:rsid w:val="37AF6CD2"/>
    <w:rsid w:val="37C26B65"/>
    <w:rsid w:val="380908CD"/>
    <w:rsid w:val="380F0952"/>
    <w:rsid w:val="38156F95"/>
    <w:rsid w:val="38211866"/>
    <w:rsid w:val="38356656"/>
    <w:rsid w:val="384761DC"/>
    <w:rsid w:val="384956BC"/>
    <w:rsid w:val="384E559F"/>
    <w:rsid w:val="38725AAB"/>
    <w:rsid w:val="389C3C67"/>
    <w:rsid w:val="38AA6B44"/>
    <w:rsid w:val="38BE13DB"/>
    <w:rsid w:val="38C74D5D"/>
    <w:rsid w:val="38CE55DC"/>
    <w:rsid w:val="393565A8"/>
    <w:rsid w:val="394D6D52"/>
    <w:rsid w:val="3962549D"/>
    <w:rsid w:val="396F7468"/>
    <w:rsid w:val="397353CB"/>
    <w:rsid w:val="39772D95"/>
    <w:rsid w:val="39A73CA5"/>
    <w:rsid w:val="39BF3306"/>
    <w:rsid w:val="39D555F0"/>
    <w:rsid w:val="39D80468"/>
    <w:rsid w:val="39E24C0B"/>
    <w:rsid w:val="39FD2B64"/>
    <w:rsid w:val="3A186C52"/>
    <w:rsid w:val="3A237EAC"/>
    <w:rsid w:val="3A2F4904"/>
    <w:rsid w:val="3A3C6A5B"/>
    <w:rsid w:val="3A591731"/>
    <w:rsid w:val="3A6022D2"/>
    <w:rsid w:val="3A610E7B"/>
    <w:rsid w:val="3A655FB2"/>
    <w:rsid w:val="3A6C5666"/>
    <w:rsid w:val="3A791A5E"/>
    <w:rsid w:val="3A8C2A28"/>
    <w:rsid w:val="3A9D3900"/>
    <w:rsid w:val="3AA04ECA"/>
    <w:rsid w:val="3AA21583"/>
    <w:rsid w:val="3AAB2255"/>
    <w:rsid w:val="3ADA0651"/>
    <w:rsid w:val="3AED33A6"/>
    <w:rsid w:val="3B141786"/>
    <w:rsid w:val="3B411D0E"/>
    <w:rsid w:val="3B46166B"/>
    <w:rsid w:val="3B4C7172"/>
    <w:rsid w:val="3B6049CB"/>
    <w:rsid w:val="3B893FFA"/>
    <w:rsid w:val="3B903503"/>
    <w:rsid w:val="3B965493"/>
    <w:rsid w:val="3BA71DF8"/>
    <w:rsid w:val="3BD466BC"/>
    <w:rsid w:val="3BD90D62"/>
    <w:rsid w:val="3C046F9E"/>
    <w:rsid w:val="3C345458"/>
    <w:rsid w:val="3C3A7564"/>
    <w:rsid w:val="3C447595"/>
    <w:rsid w:val="3C585DB9"/>
    <w:rsid w:val="3C590E34"/>
    <w:rsid w:val="3C735C71"/>
    <w:rsid w:val="3CB45D1C"/>
    <w:rsid w:val="3CC24379"/>
    <w:rsid w:val="3CC47274"/>
    <w:rsid w:val="3CDB69FF"/>
    <w:rsid w:val="3D124605"/>
    <w:rsid w:val="3D1E5F2E"/>
    <w:rsid w:val="3D51281E"/>
    <w:rsid w:val="3D55049D"/>
    <w:rsid w:val="3D66752E"/>
    <w:rsid w:val="3D6764E5"/>
    <w:rsid w:val="3D7477C9"/>
    <w:rsid w:val="3D832F6C"/>
    <w:rsid w:val="3D8355D3"/>
    <w:rsid w:val="3D8D2EB0"/>
    <w:rsid w:val="3DAF2283"/>
    <w:rsid w:val="3DCE5637"/>
    <w:rsid w:val="3DEA0921"/>
    <w:rsid w:val="3DEA7988"/>
    <w:rsid w:val="3E510035"/>
    <w:rsid w:val="3E625925"/>
    <w:rsid w:val="3E6B1752"/>
    <w:rsid w:val="3E742DDB"/>
    <w:rsid w:val="3E7560B2"/>
    <w:rsid w:val="3E832B8C"/>
    <w:rsid w:val="3E8A5EF5"/>
    <w:rsid w:val="3E8D3D29"/>
    <w:rsid w:val="3E937104"/>
    <w:rsid w:val="3EA00548"/>
    <w:rsid w:val="3EA6208F"/>
    <w:rsid w:val="3EB86F6D"/>
    <w:rsid w:val="3EC2059B"/>
    <w:rsid w:val="3EC25FD7"/>
    <w:rsid w:val="3ED3317C"/>
    <w:rsid w:val="3EE020AB"/>
    <w:rsid w:val="3EF1250A"/>
    <w:rsid w:val="3F4D0892"/>
    <w:rsid w:val="3F5E56C6"/>
    <w:rsid w:val="3F7E0437"/>
    <w:rsid w:val="3F84512C"/>
    <w:rsid w:val="3F8B6965"/>
    <w:rsid w:val="3F960A1B"/>
    <w:rsid w:val="3FA30040"/>
    <w:rsid w:val="3FBB73C9"/>
    <w:rsid w:val="3FE13309"/>
    <w:rsid w:val="3FF10422"/>
    <w:rsid w:val="3FF7590D"/>
    <w:rsid w:val="3FF83425"/>
    <w:rsid w:val="40294E6F"/>
    <w:rsid w:val="40353AA7"/>
    <w:rsid w:val="406330B7"/>
    <w:rsid w:val="406659D4"/>
    <w:rsid w:val="406E0A2E"/>
    <w:rsid w:val="406F52BF"/>
    <w:rsid w:val="40B84D47"/>
    <w:rsid w:val="40C87655"/>
    <w:rsid w:val="40D140B5"/>
    <w:rsid w:val="40D53766"/>
    <w:rsid w:val="40EB2F89"/>
    <w:rsid w:val="40FE0F0E"/>
    <w:rsid w:val="410822AE"/>
    <w:rsid w:val="41105E87"/>
    <w:rsid w:val="411E79D5"/>
    <w:rsid w:val="417452B0"/>
    <w:rsid w:val="41886A2A"/>
    <w:rsid w:val="418D5EB5"/>
    <w:rsid w:val="41B82E6B"/>
    <w:rsid w:val="41C62E3A"/>
    <w:rsid w:val="41E965F5"/>
    <w:rsid w:val="420E5CD2"/>
    <w:rsid w:val="423D7335"/>
    <w:rsid w:val="425B0CB6"/>
    <w:rsid w:val="42AB3D97"/>
    <w:rsid w:val="42AB6724"/>
    <w:rsid w:val="431C04DF"/>
    <w:rsid w:val="432033BE"/>
    <w:rsid w:val="43452BC5"/>
    <w:rsid w:val="43572C1C"/>
    <w:rsid w:val="4364272C"/>
    <w:rsid w:val="43671945"/>
    <w:rsid w:val="438254A7"/>
    <w:rsid w:val="438B3ED0"/>
    <w:rsid w:val="43AE32D9"/>
    <w:rsid w:val="43D63C39"/>
    <w:rsid w:val="43E07371"/>
    <w:rsid w:val="44006D4C"/>
    <w:rsid w:val="44AC0997"/>
    <w:rsid w:val="44B25A40"/>
    <w:rsid w:val="44B7378C"/>
    <w:rsid w:val="44CB55AC"/>
    <w:rsid w:val="450B7FC6"/>
    <w:rsid w:val="451505D5"/>
    <w:rsid w:val="4521341D"/>
    <w:rsid w:val="453C298C"/>
    <w:rsid w:val="4558167C"/>
    <w:rsid w:val="4558210B"/>
    <w:rsid w:val="45712FED"/>
    <w:rsid w:val="45DC7897"/>
    <w:rsid w:val="45EB5E6A"/>
    <w:rsid w:val="463C0071"/>
    <w:rsid w:val="466E0287"/>
    <w:rsid w:val="4674536F"/>
    <w:rsid w:val="46B0304F"/>
    <w:rsid w:val="46B42F90"/>
    <w:rsid w:val="46C4551D"/>
    <w:rsid w:val="46C67A90"/>
    <w:rsid w:val="46D83FB0"/>
    <w:rsid w:val="46E56143"/>
    <w:rsid w:val="470D1DC4"/>
    <w:rsid w:val="471E51AA"/>
    <w:rsid w:val="472B6F91"/>
    <w:rsid w:val="476529CC"/>
    <w:rsid w:val="476E0C2F"/>
    <w:rsid w:val="477320E2"/>
    <w:rsid w:val="477416FE"/>
    <w:rsid w:val="47AF3061"/>
    <w:rsid w:val="4807663C"/>
    <w:rsid w:val="48124C91"/>
    <w:rsid w:val="4814271D"/>
    <w:rsid w:val="4817728E"/>
    <w:rsid w:val="481B63C6"/>
    <w:rsid w:val="48284AC3"/>
    <w:rsid w:val="483B59A8"/>
    <w:rsid w:val="484E4529"/>
    <w:rsid w:val="48653621"/>
    <w:rsid w:val="48883FAF"/>
    <w:rsid w:val="48A00AFD"/>
    <w:rsid w:val="48DB77BF"/>
    <w:rsid w:val="48F06888"/>
    <w:rsid w:val="48F6744F"/>
    <w:rsid w:val="49322CB9"/>
    <w:rsid w:val="493A1BE1"/>
    <w:rsid w:val="495C6F05"/>
    <w:rsid w:val="498126DD"/>
    <w:rsid w:val="49913F18"/>
    <w:rsid w:val="49916460"/>
    <w:rsid w:val="499B3E8C"/>
    <w:rsid w:val="49DC3DB7"/>
    <w:rsid w:val="4A0B211B"/>
    <w:rsid w:val="4A370FED"/>
    <w:rsid w:val="4A6528E0"/>
    <w:rsid w:val="4A673417"/>
    <w:rsid w:val="4A875AD1"/>
    <w:rsid w:val="4AAA7A11"/>
    <w:rsid w:val="4AB03279"/>
    <w:rsid w:val="4ABC6B6C"/>
    <w:rsid w:val="4ABE4E5C"/>
    <w:rsid w:val="4AD93481"/>
    <w:rsid w:val="4B137364"/>
    <w:rsid w:val="4B1A4B97"/>
    <w:rsid w:val="4B306D59"/>
    <w:rsid w:val="4B447E66"/>
    <w:rsid w:val="4B525B6F"/>
    <w:rsid w:val="4B596C8E"/>
    <w:rsid w:val="4B6C61F1"/>
    <w:rsid w:val="4BAD77B9"/>
    <w:rsid w:val="4BC0119A"/>
    <w:rsid w:val="4BC845E0"/>
    <w:rsid w:val="4BCB52A8"/>
    <w:rsid w:val="4BE34F89"/>
    <w:rsid w:val="4BEE0D35"/>
    <w:rsid w:val="4C0F7509"/>
    <w:rsid w:val="4C136147"/>
    <w:rsid w:val="4C3752D5"/>
    <w:rsid w:val="4C6C2A35"/>
    <w:rsid w:val="4CB35C07"/>
    <w:rsid w:val="4CC402ED"/>
    <w:rsid w:val="4CCD3EB0"/>
    <w:rsid w:val="4CFB24DA"/>
    <w:rsid w:val="4D1E2107"/>
    <w:rsid w:val="4D1F5A48"/>
    <w:rsid w:val="4D355CB8"/>
    <w:rsid w:val="4D407E56"/>
    <w:rsid w:val="4D616C23"/>
    <w:rsid w:val="4D6420F9"/>
    <w:rsid w:val="4D85197B"/>
    <w:rsid w:val="4D875DE8"/>
    <w:rsid w:val="4DF43316"/>
    <w:rsid w:val="4E28149C"/>
    <w:rsid w:val="4E4A12EF"/>
    <w:rsid w:val="4E524648"/>
    <w:rsid w:val="4E616913"/>
    <w:rsid w:val="4E6F51FA"/>
    <w:rsid w:val="4E727F06"/>
    <w:rsid w:val="4E7955FA"/>
    <w:rsid w:val="4E7A3D43"/>
    <w:rsid w:val="4E9911BC"/>
    <w:rsid w:val="4EA115E0"/>
    <w:rsid w:val="4EA35395"/>
    <w:rsid w:val="4EC703E0"/>
    <w:rsid w:val="4ED4439C"/>
    <w:rsid w:val="4EEC578E"/>
    <w:rsid w:val="4F0E67C1"/>
    <w:rsid w:val="4F3A75B6"/>
    <w:rsid w:val="4F430EB3"/>
    <w:rsid w:val="4F827102"/>
    <w:rsid w:val="4F9E7CCA"/>
    <w:rsid w:val="4FCF7919"/>
    <w:rsid w:val="4FD4504B"/>
    <w:rsid w:val="4FF15EC7"/>
    <w:rsid w:val="500C5118"/>
    <w:rsid w:val="5019759F"/>
    <w:rsid w:val="50576452"/>
    <w:rsid w:val="50655768"/>
    <w:rsid w:val="50723D8A"/>
    <w:rsid w:val="50C35970"/>
    <w:rsid w:val="50E26FDF"/>
    <w:rsid w:val="50FB4B23"/>
    <w:rsid w:val="5107796B"/>
    <w:rsid w:val="51077C63"/>
    <w:rsid w:val="510C62EA"/>
    <w:rsid w:val="51257DF2"/>
    <w:rsid w:val="512D1D23"/>
    <w:rsid w:val="512E314A"/>
    <w:rsid w:val="51522536"/>
    <w:rsid w:val="51611ED1"/>
    <w:rsid w:val="517B64FE"/>
    <w:rsid w:val="517E02D6"/>
    <w:rsid w:val="51CB0F54"/>
    <w:rsid w:val="51CD2F0F"/>
    <w:rsid w:val="51DE6839"/>
    <w:rsid w:val="51E63245"/>
    <w:rsid w:val="51E657BD"/>
    <w:rsid w:val="51F02CB6"/>
    <w:rsid w:val="51F6353C"/>
    <w:rsid w:val="52014762"/>
    <w:rsid w:val="52220D7A"/>
    <w:rsid w:val="524021AC"/>
    <w:rsid w:val="524F093C"/>
    <w:rsid w:val="5267525C"/>
    <w:rsid w:val="5288177F"/>
    <w:rsid w:val="529800BF"/>
    <w:rsid w:val="52B665F5"/>
    <w:rsid w:val="52BC4786"/>
    <w:rsid w:val="52F96ACC"/>
    <w:rsid w:val="531133C7"/>
    <w:rsid w:val="53247CD4"/>
    <w:rsid w:val="53292681"/>
    <w:rsid w:val="533A753E"/>
    <w:rsid w:val="535B21AD"/>
    <w:rsid w:val="536223FA"/>
    <w:rsid w:val="538319C4"/>
    <w:rsid w:val="53C47D96"/>
    <w:rsid w:val="53CC510F"/>
    <w:rsid w:val="53CF02CD"/>
    <w:rsid w:val="53DC464A"/>
    <w:rsid w:val="54197AEC"/>
    <w:rsid w:val="54314647"/>
    <w:rsid w:val="544D7446"/>
    <w:rsid w:val="54576514"/>
    <w:rsid w:val="54751090"/>
    <w:rsid w:val="54C34DD3"/>
    <w:rsid w:val="54C67D59"/>
    <w:rsid w:val="54CD37CC"/>
    <w:rsid w:val="54DF20E2"/>
    <w:rsid w:val="54EF0E42"/>
    <w:rsid w:val="54F416B3"/>
    <w:rsid w:val="54F93A6F"/>
    <w:rsid w:val="555E653C"/>
    <w:rsid w:val="55990BA9"/>
    <w:rsid w:val="55EC5382"/>
    <w:rsid w:val="55F10BEA"/>
    <w:rsid w:val="56116B96"/>
    <w:rsid w:val="561454D8"/>
    <w:rsid w:val="562C577E"/>
    <w:rsid w:val="563646D2"/>
    <w:rsid w:val="56385CF2"/>
    <w:rsid w:val="5644548A"/>
    <w:rsid w:val="564B683B"/>
    <w:rsid w:val="56766BEA"/>
    <w:rsid w:val="567A7AAD"/>
    <w:rsid w:val="568127DC"/>
    <w:rsid w:val="568C7B87"/>
    <w:rsid w:val="56911EA5"/>
    <w:rsid w:val="569451A6"/>
    <w:rsid w:val="56A75AEB"/>
    <w:rsid w:val="572A4C26"/>
    <w:rsid w:val="572D35E6"/>
    <w:rsid w:val="574216FD"/>
    <w:rsid w:val="57661158"/>
    <w:rsid w:val="57870BC6"/>
    <w:rsid w:val="579637F7"/>
    <w:rsid w:val="57CF3412"/>
    <w:rsid w:val="581B1F4E"/>
    <w:rsid w:val="583E3A5A"/>
    <w:rsid w:val="5841471C"/>
    <w:rsid w:val="58460EE3"/>
    <w:rsid w:val="584E6E60"/>
    <w:rsid w:val="585A57CC"/>
    <w:rsid w:val="58704048"/>
    <w:rsid w:val="58711B6E"/>
    <w:rsid w:val="58796074"/>
    <w:rsid w:val="58871D28"/>
    <w:rsid w:val="58A93115"/>
    <w:rsid w:val="58D2142B"/>
    <w:rsid w:val="58EE5006"/>
    <w:rsid w:val="58F76517"/>
    <w:rsid w:val="59175852"/>
    <w:rsid w:val="591B6207"/>
    <w:rsid w:val="59337CAA"/>
    <w:rsid w:val="593E407D"/>
    <w:rsid w:val="594E6328"/>
    <w:rsid w:val="595F6B5F"/>
    <w:rsid w:val="597638E0"/>
    <w:rsid w:val="59771406"/>
    <w:rsid w:val="599C00E4"/>
    <w:rsid w:val="59DB3743"/>
    <w:rsid w:val="59E3084A"/>
    <w:rsid w:val="5A184997"/>
    <w:rsid w:val="5A3F3D7F"/>
    <w:rsid w:val="5A7E1016"/>
    <w:rsid w:val="5A807374"/>
    <w:rsid w:val="5A850A59"/>
    <w:rsid w:val="5ABF282E"/>
    <w:rsid w:val="5AEE6194"/>
    <w:rsid w:val="5B0D392F"/>
    <w:rsid w:val="5B270145"/>
    <w:rsid w:val="5B381C08"/>
    <w:rsid w:val="5B466C30"/>
    <w:rsid w:val="5B6E2CDB"/>
    <w:rsid w:val="5B790776"/>
    <w:rsid w:val="5BC03170"/>
    <w:rsid w:val="5BCC5A39"/>
    <w:rsid w:val="5BCD2D42"/>
    <w:rsid w:val="5BF72AE4"/>
    <w:rsid w:val="5BFE7BBD"/>
    <w:rsid w:val="5C0A6562"/>
    <w:rsid w:val="5C111FC8"/>
    <w:rsid w:val="5C1473E0"/>
    <w:rsid w:val="5C246B2C"/>
    <w:rsid w:val="5C4211A9"/>
    <w:rsid w:val="5C842ABA"/>
    <w:rsid w:val="5CBC2305"/>
    <w:rsid w:val="5CD94B1D"/>
    <w:rsid w:val="5CF66C96"/>
    <w:rsid w:val="5CFC40FC"/>
    <w:rsid w:val="5D7C523D"/>
    <w:rsid w:val="5DA15354"/>
    <w:rsid w:val="5DA17670"/>
    <w:rsid w:val="5DC50372"/>
    <w:rsid w:val="5DC94533"/>
    <w:rsid w:val="5DD24E5D"/>
    <w:rsid w:val="5DD72473"/>
    <w:rsid w:val="5DE66B5A"/>
    <w:rsid w:val="5DF23751"/>
    <w:rsid w:val="5DFF43DE"/>
    <w:rsid w:val="5E211531"/>
    <w:rsid w:val="5E3B75FD"/>
    <w:rsid w:val="5E4A0E97"/>
    <w:rsid w:val="5E4A1119"/>
    <w:rsid w:val="5E957A5C"/>
    <w:rsid w:val="5EC428DB"/>
    <w:rsid w:val="5ED12CA8"/>
    <w:rsid w:val="5ED509A5"/>
    <w:rsid w:val="5EF7101F"/>
    <w:rsid w:val="5F1228CC"/>
    <w:rsid w:val="5F1A0FD8"/>
    <w:rsid w:val="5F231C25"/>
    <w:rsid w:val="5F3E58C0"/>
    <w:rsid w:val="5F7D7167"/>
    <w:rsid w:val="5FBB1644"/>
    <w:rsid w:val="5FCA6EB5"/>
    <w:rsid w:val="5FCF3D4A"/>
    <w:rsid w:val="5FD257C2"/>
    <w:rsid w:val="5FFC02EC"/>
    <w:rsid w:val="5FFE53D0"/>
    <w:rsid w:val="6022192C"/>
    <w:rsid w:val="6023339D"/>
    <w:rsid w:val="603737DD"/>
    <w:rsid w:val="60567FC7"/>
    <w:rsid w:val="60702C40"/>
    <w:rsid w:val="60884FB9"/>
    <w:rsid w:val="609C67F0"/>
    <w:rsid w:val="60B54550"/>
    <w:rsid w:val="60E01508"/>
    <w:rsid w:val="60EF2757"/>
    <w:rsid w:val="610A7DBC"/>
    <w:rsid w:val="611D00EF"/>
    <w:rsid w:val="61432D9A"/>
    <w:rsid w:val="614E6EF1"/>
    <w:rsid w:val="61581B1D"/>
    <w:rsid w:val="6166423A"/>
    <w:rsid w:val="61793671"/>
    <w:rsid w:val="617A7CE6"/>
    <w:rsid w:val="619F7A9A"/>
    <w:rsid w:val="61E04298"/>
    <w:rsid w:val="61F555BE"/>
    <w:rsid w:val="620A075F"/>
    <w:rsid w:val="62175534"/>
    <w:rsid w:val="622B128F"/>
    <w:rsid w:val="623115E6"/>
    <w:rsid w:val="62400005"/>
    <w:rsid w:val="624126D0"/>
    <w:rsid w:val="627D7A8D"/>
    <w:rsid w:val="62B226C9"/>
    <w:rsid w:val="62BD4921"/>
    <w:rsid w:val="62D54756"/>
    <w:rsid w:val="62D8406E"/>
    <w:rsid w:val="631250C8"/>
    <w:rsid w:val="632E6981"/>
    <w:rsid w:val="63442359"/>
    <w:rsid w:val="63447021"/>
    <w:rsid w:val="634D4D93"/>
    <w:rsid w:val="6362757D"/>
    <w:rsid w:val="63733AA8"/>
    <w:rsid w:val="638B1726"/>
    <w:rsid w:val="63BA4CBB"/>
    <w:rsid w:val="63E75A88"/>
    <w:rsid w:val="6402578D"/>
    <w:rsid w:val="641F4B74"/>
    <w:rsid w:val="64252661"/>
    <w:rsid w:val="64486F95"/>
    <w:rsid w:val="64876519"/>
    <w:rsid w:val="64A56B97"/>
    <w:rsid w:val="64A85D79"/>
    <w:rsid w:val="64AE26C6"/>
    <w:rsid w:val="64B46E27"/>
    <w:rsid w:val="64E556A9"/>
    <w:rsid w:val="64ED07CF"/>
    <w:rsid w:val="64F87A99"/>
    <w:rsid w:val="64FA53BB"/>
    <w:rsid w:val="64FD5FA7"/>
    <w:rsid w:val="65095591"/>
    <w:rsid w:val="65144757"/>
    <w:rsid w:val="65240694"/>
    <w:rsid w:val="652D27EE"/>
    <w:rsid w:val="6531690D"/>
    <w:rsid w:val="654404B1"/>
    <w:rsid w:val="654E0736"/>
    <w:rsid w:val="655B553D"/>
    <w:rsid w:val="657513D6"/>
    <w:rsid w:val="659E2A46"/>
    <w:rsid w:val="65AF0979"/>
    <w:rsid w:val="65B51D67"/>
    <w:rsid w:val="65C82364"/>
    <w:rsid w:val="65C936A6"/>
    <w:rsid w:val="65DB6D58"/>
    <w:rsid w:val="65E81919"/>
    <w:rsid w:val="66477914"/>
    <w:rsid w:val="669D1BD8"/>
    <w:rsid w:val="66C01E90"/>
    <w:rsid w:val="66CA0D51"/>
    <w:rsid w:val="66D02156"/>
    <w:rsid w:val="66FE3167"/>
    <w:rsid w:val="671850B3"/>
    <w:rsid w:val="6739419F"/>
    <w:rsid w:val="673F7930"/>
    <w:rsid w:val="67417141"/>
    <w:rsid w:val="677F6056"/>
    <w:rsid w:val="67983ABC"/>
    <w:rsid w:val="67B9299C"/>
    <w:rsid w:val="67BF1B44"/>
    <w:rsid w:val="67D02A2A"/>
    <w:rsid w:val="67E82071"/>
    <w:rsid w:val="680B5B3B"/>
    <w:rsid w:val="681B74A6"/>
    <w:rsid w:val="68213B87"/>
    <w:rsid w:val="682D3D04"/>
    <w:rsid w:val="68520577"/>
    <w:rsid w:val="686D1E05"/>
    <w:rsid w:val="687C2D74"/>
    <w:rsid w:val="68811093"/>
    <w:rsid w:val="68B7181F"/>
    <w:rsid w:val="68B73708"/>
    <w:rsid w:val="68BB03CC"/>
    <w:rsid w:val="68BC1203"/>
    <w:rsid w:val="68C335B2"/>
    <w:rsid w:val="68D77A31"/>
    <w:rsid w:val="68F064E9"/>
    <w:rsid w:val="68F640F6"/>
    <w:rsid w:val="690A5D6E"/>
    <w:rsid w:val="691177C7"/>
    <w:rsid w:val="69514BFC"/>
    <w:rsid w:val="695C2B81"/>
    <w:rsid w:val="695D3DA7"/>
    <w:rsid w:val="695D6686"/>
    <w:rsid w:val="696D441A"/>
    <w:rsid w:val="69765236"/>
    <w:rsid w:val="698024FA"/>
    <w:rsid w:val="698B192D"/>
    <w:rsid w:val="69B0517D"/>
    <w:rsid w:val="69CC46F8"/>
    <w:rsid w:val="6A2429FA"/>
    <w:rsid w:val="6A6F6AFC"/>
    <w:rsid w:val="6AAB4CB0"/>
    <w:rsid w:val="6AB26742"/>
    <w:rsid w:val="6B0967D2"/>
    <w:rsid w:val="6B171A04"/>
    <w:rsid w:val="6B561487"/>
    <w:rsid w:val="6B6364BD"/>
    <w:rsid w:val="6B6926E0"/>
    <w:rsid w:val="6B7B7159"/>
    <w:rsid w:val="6B7D68A8"/>
    <w:rsid w:val="6B817C03"/>
    <w:rsid w:val="6B841E8D"/>
    <w:rsid w:val="6B8F555B"/>
    <w:rsid w:val="6B916358"/>
    <w:rsid w:val="6BAC7798"/>
    <w:rsid w:val="6BB27DB4"/>
    <w:rsid w:val="6BD91AAD"/>
    <w:rsid w:val="6BE40822"/>
    <w:rsid w:val="6BF6440D"/>
    <w:rsid w:val="6BF73767"/>
    <w:rsid w:val="6C6A0E2B"/>
    <w:rsid w:val="6C964109"/>
    <w:rsid w:val="6CA83FFB"/>
    <w:rsid w:val="6CA87DFD"/>
    <w:rsid w:val="6CB34B3B"/>
    <w:rsid w:val="6CC02668"/>
    <w:rsid w:val="6CE150BD"/>
    <w:rsid w:val="6CE772EA"/>
    <w:rsid w:val="6CF471E3"/>
    <w:rsid w:val="6CF5088D"/>
    <w:rsid w:val="6CF71B3F"/>
    <w:rsid w:val="6CF952B4"/>
    <w:rsid w:val="6D066806"/>
    <w:rsid w:val="6D08089B"/>
    <w:rsid w:val="6D0B1D5B"/>
    <w:rsid w:val="6D3135F4"/>
    <w:rsid w:val="6D602485"/>
    <w:rsid w:val="6DA22F30"/>
    <w:rsid w:val="6DAF7423"/>
    <w:rsid w:val="6DB660AC"/>
    <w:rsid w:val="6DB74A19"/>
    <w:rsid w:val="6E0779DC"/>
    <w:rsid w:val="6E0A2842"/>
    <w:rsid w:val="6E3222C6"/>
    <w:rsid w:val="6E380D0C"/>
    <w:rsid w:val="6E3C417A"/>
    <w:rsid w:val="6E8B16E4"/>
    <w:rsid w:val="6E9B7109"/>
    <w:rsid w:val="6ED962E7"/>
    <w:rsid w:val="6F045C56"/>
    <w:rsid w:val="6F125ADD"/>
    <w:rsid w:val="6F356DDA"/>
    <w:rsid w:val="6F59550F"/>
    <w:rsid w:val="6F6873CF"/>
    <w:rsid w:val="6F753DFA"/>
    <w:rsid w:val="6F8227B2"/>
    <w:rsid w:val="6FA36659"/>
    <w:rsid w:val="6FB7683A"/>
    <w:rsid w:val="6FCA1239"/>
    <w:rsid w:val="6FD4771A"/>
    <w:rsid w:val="70156086"/>
    <w:rsid w:val="702A6C39"/>
    <w:rsid w:val="704141D2"/>
    <w:rsid w:val="70496352"/>
    <w:rsid w:val="706B1A0E"/>
    <w:rsid w:val="70757707"/>
    <w:rsid w:val="708C5396"/>
    <w:rsid w:val="70970597"/>
    <w:rsid w:val="709C0183"/>
    <w:rsid w:val="70AE175A"/>
    <w:rsid w:val="70B61536"/>
    <w:rsid w:val="70CE3BAA"/>
    <w:rsid w:val="70D340B6"/>
    <w:rsid w:val="70EB2ED6"/>
    <w:rsid w:val="70ED76C7"/>
    <w:rsid w:val="70F42ADA"/>
    <w:rsid w:val="70FD48F5"/>
    <w:rsid w:val="710E1AF9"/>
    <w:rsid w:val="711D5A16"/>
    <w:rsid w:val="71285068"/>
    <w:rsid w:val="715A7A98"/>
    <w:rsid w:val="715E0807"/>
    <w:rsid w:val="71753CA0"/>
    <w:rsid w:val="717906ED"/>
    <w:rsid w:val="718F4678"/>
    <w:rsid w:val="719E1205"/>
    <w:rsid w:val="71AF2002"/>
    <w:rsid w:val="71BB412E"/>
    <w:rsid w:val="71D8006E"/>
    <w:rsid w:val="72297139"/>
    <w:rsid w:val="722B08F1"/>
    <w:rsid w:val="723B30F9"/>
    <w:rsid w:val="723F4D5F"/>
    <w:rsid w:val="724A3704"/>
    <w:rsid w:val="728063A7"/>
    <w:rsid w:val="72960D09"/>
    <w:rsid w:val="72A42E14"/>
    <w:rsid w:val="72B240D9"/>
    <w:rsid w:val="72C35F13"/>
    <w:rsid w:val="72CA21FE"/>
    <w:rsid w:val="73013330"/>
    <w:rsid w:val="730D1A7F"/>
    <w:rsid w:val="732F6B4F"/>
    <w:rsid w:val="733C4DFB"/>
    <w:rsid w:val="735E35D8"/>
    <w:rsid w:val="735E7467"/>
    <w:rsid w:val="736B3932"/>
    <w:rsid w:val="737A089E"/>
    <w:rsid w:val="73880BCD"/>
    <w:rsid w:val="7388368D"/>
    <w:rsid w:val="7391343C"/>
    <w:rsid w:val="73981611"/>
    <w:rsid w:val="739970F5"/>
    <w:rsid w:val="73C24192"/>
    <w:rsid w:val="73E31BE1"/>
    <w:rsid w:val="73F97190"/>
    <w:rsid w:val="7404785C"/>
    <w:rsid w:val="740E1BEA"/>
    <w:rsid w:val="740F729D"/>
    <w:rsid w:val="74220495"/>
    <w:rsid w:val="74237D69"/>
    <w:rsid w:val="74260706"/>
    <w:rsid w:val="743A7791"/>
    <w:rsid w:val="744877CF"/>
    <w:rsid w:val="74CF7DDD"/>
    <w:rsid w:val="74D34C17"/>
    <w:rsid w:val="74D85048"/>
    <w:rsid w:val="74F35D48"/>
    <w:rsid w:val="75045261"/>
    <w:rsid w:val="75226DAD"/>
    <w:rsid w:val="75281F95"/>
    <w:rsid w:val="755820BB"/>
    <w:rsid w:val="755F3023"/>
    <w:rsid w:val="75747E57"/>
    <w:rsid w:val="757D534F"/>
    <w:rsid w:val="7589197D"/>
    <w:rsid w:val="75AB1644"/>
    <w:rsid w:val="75B86BA4"/>
    <w:rsid w:val="75C23B36"/>
    <w:rsid w:val="75D73501"/>
    <w:rsid w:val="75DB07CF"/>
    <w:rsid w:val="75E858CF"/>
    <w:rsid w:val="761905AB"/>
    <w:rsid w:val="761D3C95"/>
    <w:rsid w:val="761D6CDC"/>
    <w:rsid w:val="76300070"/>
    <w:rsid w:val="76361FD5"/>
    <w:rsid w:val="764B1CBF"/>
    <w:rsid w:val="7650389E"/>
    <w:rsid w:val="7656207F"/>
    <w:rsid w:val="76593F16"/>
    <w:rsid w:val="766D6E7A"/>
    <w:rsid w:val="767A2538"/>
    <w:rsid w:val="767D6EE6"/>
    <w:rsid w:val="76B5566B"/>
    <w:rsid w:val="76BD7F94"/>
    <w:rsid w:val="76C44A92"/>
    <w:rsid w:val="76D26D4E"/>
    <w:rsid w:val="76E45ED5"/>
    <w:rsid w:val="76E65F5E"/>
    <w:rsid w:val="77140608"/>
    <w:rsid w:val="771728F8"/>
    <w:rsid w:val="772511A5"/>
    <w:rsid w:val="772636E9"/>
    <w:rsid w:val="77732DB5"/>
    <w:rsid w:val="779A3F44"/>
    <w:rsid w:val="77A13FDF"/>
    <w:rsid w:val="77A22BF4"/>
    <w:rsid w:val="77B61BA8"/>
    <w:rsid w:val="77D72EF4"/>
    <w:rsid w:val="780F3AA6"/>
    <w:rsid w:val="7810510F"/>
    <w:rsid w:val="781F337D"/>
    <w:rsid w:val="78236589"/>
    <w:rsid w:val="78244A5D"/>
    <w:rsid w:val="7826045F"/>
    <w:rsid w:val="784C3D32"/>
    <w:rsid w:val="78525509"/>
    <w:rsid w:val="7859644F"/>
    <w:rsid w:val="787603B5"/>
    <w:rsid w:val="7883386E"/>
    <w:rsid w:val="789D5DA5"/>
    <w:rsid w:val="78AD18DE"/>
    <w:rsid w:val="78D81510"/>
    <w:rsid w:val="78E75DA3"/>
    <w:rsid w:val="78F971DB"/>
    <w:rsid w:val="78FE08A5"/>
    <w:rsid w:val="79181E66"/>
    <w:rsid w:val="791F174B"/>
    <w:rsid w:val="792417A2"/>
    <w:rsid w:val="794175E4"/>
    <w:rsid w:val="794403D0"/>
    <w:rsid w:val="79687467"/>
    <w:rsid w:val="79703A50"/>
    <w:rsid w:val="79955969"/>
    <w:rsid w:val="79983E20"/>
    <w:rsid w:val="79C67B14"/>
    <w:rsid w:val="79D9517B"/>
    <w:rsid w:val="79DB2893"/>
    <w:rsid w:val="79E41D48"/>
    <w:rsid w:val="79F53F55"/>
    <w:rsid w:val="79F74697"/>
    <w:rsid w:val="7A0676A2"/>
    <w:rsid w:val="7A281E19"/>
    <w:rsid w:val="7A431165"/>
    <w:rsid w:val="7A4F53D5"/>
    <w:rsid w:val="7A55391A"/>
    <w:rsid w:val="7A625229"/>
    <w:rsid w:val="7A6624AB"/>
    <w:rsid w:val="7A684727"/>
    <w:rsid w:val="7ADB48B0"/>
    <w:rsid w:val="7B05466C"/>
    <w:rsid w:val="7B152CE2"/>
    <w:rsid w:val="7B387814"/>
    <w:rsid w:val="7B3C7150"/>
    <w:rsid w:val="7B51418C"/>
    <w:rsid w:val="7B876E2F"/>
    <w:rsid w:val="7BB76807"/>
    <w:rsid w:val="7BD05EC4"/>
    <w:rsid w:val="7BE14791"/>
    <w:rsid w:val="7BE252E1"/>
    <w:rsid w:val="7BEF62B7"/>
    <w:rsid w:val="7C15268D"/>
    <w:rsid w:val="7C18217D"/>
    <w:rsid w:val="7C2610D5"/>
    <w:rsid w:val="7C3170CD"/>
    <w:rsid w:val="7C3362DB"/>
    <w:rsid w:val="7C632D86"/>
    <w:rsid w:val="7C83492B"/>
    <w:rsid w:val="7C865339"/>
    <w:rsid w:val="7C896BD7"/>
    <w:rsid w:val="7C985B01"/>
    <w:rsid w:val="7CA37C99"/>
    <w:rsid w:val="7CA5437A"/>
    <w:rsid w:val="7CA665FA"/>
    <w:rsid w:val="7CD7330C"/>
    <w:rsid w:val="7CF46F83"/>
    <w:rsid w:val="7D073EA8"/>
    <w:rsid w:val="7D2B6D8D"/>
    <w:rsid w:val="7D3B4375"/>
    <w:rsid w:val="7D473285"/>
    <w:rsid w:val="7D485454"/>
    <w:rsid w:val="7D5C1858"/>
    <w:rsid w:val="7D67516A"/>
    <w:rsid w:val="7D746231"/>
    <w:rsid w:val="7D807FDA"/>
    <w:rsid w:val="7D851DEF"/>
    <w:rsid w:val="7D867805"/>
    <w:rsid w:val="7DAF714D"/>
    <w:rsid w:val="7DB3477D"/>
    <w:rsid w:val="7DF21AFA"/>
    <w:rsid w:val="7DF764EE"/>
    <w:rsid w:val="7E026C41"/>
    <w:rsid w:val="7E040C0B"/>
    <w:rsid w:val="7E3C7D0D"/>
    <w:rsid w:val="7E3F45C2"/>
    <w:rsid w:val="7E3F6877"/>
    <w:rsid w:val="7E6C50BF"/>
    <w:rsid w:val="7EAC05F7"/>
    <w:rsid w:val="7EE07A0E"/>
    <w:rsid w:val="7EF3140C"/>
    <w:rsid w:val="7F48034D"/>
    <w:rsid w:val="7F582BD6"/>
    <w:rsid w:val="7F6649C2"/>
    <w:rsid w:val="7F673200"/>
    <w:rsid w:val="7F715E01"/>
    <w:rsid w:val="7FAF2DF8"/>
    <w:rsid w:val="7FB65F35"/>
    <w:rsid w:val="7FB80F18"/>
    <w:rsid w:val="7FB87AE8"/>
    <w:rsid w:val="BC7EE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104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49"/>
    <w:qFormat/>
    <w:uiPriority w:val="0"/>
    <w:pPr>
      <w:snapToGrid w:val="0"/>
      <w:spacing w:before="50" w:beforeLines="50" w:after="50" w:afterLines="50" w:line="240" w:lineRule="auto"/>
      <w:jc w:val="left"/>
      <w:outlineLvl w:val="0"/>
    </w:pPr>
    <w:rPr>
      <w:rFonts w:ascii="宋体" w:hAnsi="宋体" w:eastAsia="黑体"/>
      <w:b/>
      <w:sz w:val="28"/>
      <w:szCs w:val="44"/>
    </w:rPr>
  </w:style>
  <w:style w:type="paragraph" w:styleId="3">
    <w:name w:val="heading 2"/>
    <w:basedOn w:val="1"/>
    <w:next w:val="1"/>
    <w:link w:val="55"/>
    <w:qFormat/>
    <w:uiPriority w:val="0"/>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50"/>
    <w:qFormat/>
    <w:uiPriority w:val="0"/>
    <w:pPr>
      <w:keepNext/>
      <w:keepLines/>
      <w:spacing w:before="260" w:after="260" w:line="416" w:lineRule="auto"/>
      <w:outlineLvl w:val="2"/>
    </w:pPr>
    <w:rPr>
      <w:b/>
      <w:bCs/>
      <w:sz w:val="32"/>
      <w:szCs w:val="32"/>
    </w:rPr>
  </w:style>
  <w:style w:type="paragraph" w:styleId="5">
    <w:name w:val="heading 4"/>
    <w:basedOn w:val="1"/>
    <w:next w:val="1"/>
    <w:link w:val="59"/>
    <w:qFormat/>
    <w:uiPriority w:val="0"/>
    <w:pPr>
      <w:keepNext/>
      <w:keepLines/>
      <w:widowControl/>
      <w:spacing w:after="104" w:line="256" w:lineRule="auto"/>
      <w:ind w:left="10" w:hanging="10"/>
      <w:jc w:val="left"/>
      <w:outlineLvl w:val="3"/>
    </w:pPr>
    <w:rPr>
      <w:rFonts w:hint="eastAsia" w:ascii="微软雅黑" w:hAnsi="微软雅黑" w:eastAsia="微软雅黑"/>
      <w:color w:val="000000"/>
      <w:sz w:val="30"/>
      <w:szCs w:val="22"/>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440"/>
      <w:jc w:val="left"/>
    </w:pPr>
    <w:rPr>
      <w:rFonts w:ascii="等线" w:eastAsia="等线"/>
      <w:sz w:val="20"/>
      <w:szCs w:val="20"/>
    </w:rPr>
  </w:style>
  <w:style w:type="paragraph" w:styleId="7">
    <w:name w:val="index 8"/>
    <w:basedOn w:val="1"/>
    <w:next w:val="1"/>
    <w:qFormat/>
    <w:uiPriority w:val="0"/>
    <w:pPr>
      <w:ind w:left="1680" w:hanging="210"/>
    </w:pPr>
  </w:style>
  <w:style w:type="paragraph" w:styleId="8">
    <w:name w:val="index 5"/>
    <w:basedOn w:val="1"/>
    <w:next w:val="1"/>
    <w:qFormat/>
    <w:uiPriority w:val="0"/>
    <w:pPr>
      <w:ind w:left="1050" w:hanging="210"/>
    </w:pPr>
  </w:style>
  <w:style w:type="paragraph" w:styleId="9">
    <w:name w:val="Document Map"/>
    <w:basedOn w:val="1"/>
    <w:link w:val="51"/>
    <w:qFormat/>
    <w:uiPriority w:val="0"/>
  </w:style>
  <w:style w:type="paragraph" w:styleId="10">
    <w:name w:val="annotation text"/>
    <w:basedOn w:val="1"/>
    <w:link w:val="57"/>
    <w:qFormat/>
    <w:uiPriority w:val="0"/>
    <w:pPr>
      <w:jc w:val="left"/>
    </w:pPr>
  </w:style>
  <w:style w:type="paragraph" w:styleId="11">
    <w:name w:val="index 6"/>
    <w:basedOn w:val="1"/>
    <w:next w:val="1"/>
    <w:qFormat/>
    <w:uiPriority w:val="0"/>
    <w:pPr>
      <w:ind w:left="1260" w:hanging="210"/>
    </w:pPr>
  </w:style>
  <w:style w:type="paragraph" w:styleId="12">
    <w:name w:val="Salutation"/>
    <w:basedOn w:val="1"/>
    <w:next w:val="1"/>
    <w:qFormat/>
    <w:uiPriority w:val="0"/>
  </w:style>
  <w:style w:type="paragraph" w:styleId="13">
    <w:name w:val="Body Text"/>
    <w:basedOn w:val="1"/>
    <w:next w:val="7"/>
    <w:qFormat/>
    <w:uiPriority w:val="0"/>
    <w:pPr>
      <w:spacing w:after="120" w:afterLines="0" w:afterAutospacing="0"/>
    </w:pPr>
  </w:style>
  <w:style w:type="paragraph" w:styleId="14">
    <w:name w:val="Body Text Indent"/>
    <w:basedOn w:val="1"/>
    <w:next w:val="15"/>
    <w:qFormat/>
    <w:uiPriority w:val="0"/>
    <w:pPr>
      <w:ind w:left="482"/>
    </w:pPr>
    <w:rPr>
      <w:rFonts w:ascii="宋体" w:hAnsi="宋体"/>
      <w:b/>
      <w:bCs/>
    </w:rPr>
  </w:style>
  <w:style w:type="paragraph" w:styleId="15">
    <w:name w:val="Body Text First Indent 2"/>
    <w:basedOn w:val="14"/>
    <w:next w:val="16"/>
    <w:qFormat/>
    <w:uiPriority w:val="0"/>
    <w:pPr>
      <w:ind w:firstLine="420"/>
    </w:pPr>
  </w:style>
  <w:style w:type="paragraph" w:styleId="16">
    <w:name w:val="Plain Text"/>
    <w:basedOn w:val="1"/>
    <w:qFormat/>
    <w:uiPriority w:val="0"/>
    <w:rPr>
      <w:rFonts w:ascii="宋体" w:hAnsi="Courier New"/>
      <w:sz w:val="21"/>
      <w:szCs w:val="21"/>
    </w:rPr>
  </w:style>
  <w:style w:type="paragraph" w:styleId="17">
    <w:name w:val="index 4"/>
    <w:basedOn w:val="1"/>
    <w:next w:val="1"/>
    <w:qFormat/>
    <w:uiPriority w:val="0"/>
    <w:pPr>
      <w:ind w:left="840" w:hanging="210"/>
    </w:pPr>
  </w:style>
  <w:style w:type="paragraph" w:styleId="18">
    <w:name w:val="toc 5"/>
    <w:basedOn w:val="1"/>
    <w:next w:val="1"/>
    <w:qFormat/>
    <w:uiPriority w:val="0"/>
    <w:pPr>
      <w:ind w:left="960"/>
      <w:jc w:val="left"/>
    </w:pPr>
    <w:rPr>
      <w:rFonts w:ascii="等线" w:eastAsia="等线"/>
      <w:sz w:val="20"/>
      <w:szCs w:val="20"/>
    </w:rPr>
  </w:style>
  <w:style w:type="paragraph" w:styleId="19">
    <w:name w:val="toc 3"/>
    <w:basedOn w:val="1"/>
    <w:next w:val="1"/>
    <w:unhideWhenUsed/>
    <w:qFormat/>
    <w:uiPriority w:val="39"/>
    <w:pPr>
      <w:ind w:left="480"/>
      <w:jc w:val="left"/>
    </w:pPr>
    <w:rPr>
      <w:rFonts w:ascii="等线" w:eastAsia="等线"/>
      <w:sz w:val="22"/>
      <w:szCs w:val="22"/>
    </w:rPr>
  </w:style>
  <w:style w:type="paragraph" w:styleId="20">
    <w:name w:val="toc 8"/>
    <w:basedOn w:val="1"/>
    <w:next w:val="1"/>
    <w:qFormat/>
    <w:uiPriority w:val="0"/>
    <w:pPr>
      <w:ind w:left="1680"/>
      <w:jc w:val="left"/>
    </w:pPr>
    <w:rPr>
      <w:rFonts w:ascii="等线" w:eastAsia="等线"/>
      <w:sz w:val="20"/>
      <w:szCs w:val="20"/>
    </w:rPr>
  </w:style>
  <w:style w:type="paragraph" w:styleId="21">
    <w:name w:val="index 3"/>
    <w:basedOn w:val="1"/>
    <w:next w:val="1"/>
    <w:qFormat/>
    <w:uiPriority w:val="0"/>
    <w:pPr>
      <w:ind w:left="630" w:hanging="210"/>
    </w:pPr>
  </w:style>
  <w:style w:type="paragraph" w:styleId="22">
    <w:name w:val="Body Text Indent 2"/>
    <w:basedOn w:val="1"/>
    <w:qFormat/>
    <w:uiPriority w:val="0"/>
    <w:pPr>
      <w:ind w:firstLine="570"/>
    </w:pPr>
    <w:rPr>
      <w:rFonts w:ascii="楷体_GB2312" w:eastAsia="楷体_GB2312"/>
      <w:szCs w:val="20"/>
    </w:rPr>
  </w:style>
  <w:style w:type="paragraph" w:styleId="23">
    <w:name w:val="Balloon Text"/>
    <w:basedOn w:val="1"/>
    <w:link w:val="56"/>
    <w:qFormat/>
    <w:uiPriority w:val="0"/>
    <w:pPr>
      <w:spacing w:line="240" w:lineRule="auto"/>
    </w:pPr>
    <w:rPr>
      <w:sz w:val="18"/>
      <w:szCs w:val="18"/>
    </w:rPr>
  </w:style>
  <w:style w:type="paragraph" w:styleId="24">
    <w:name w:val="footer"/>
    <w:basedOn w:val="1"/>
    <w:qFormat/>
    <w:uiPriority w:val="0"/>
    <w:pPr>
      <w:tabs>
        <w:tab w:val="center" w:pos="4153"/>
        <w:tab w:val="right" w:pos="8306"/>
      </w:tabs>
      <w:snapToGrid w:val="0"/>
      <w:jc w:val="left"/>
    </w:pPr>
    <w:rPr>
      <w:sz w:val="18"/>
      <w:szCs w:val="18"/>
    </w:rPr>
  </w:style>
  <w:style w:type="paragraph" w:styleId="25">
    <w:name w:val="header"/>
    <w:basedOn w:val="1"/>
    <w:link w:val="54"/>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unhideWhenUsed/>
    <w:qFormat/>
    <w:uiPriority w:val="39"/>
    <w:pPr>
      <w:spacing w:before="120"/>
      <w:jc w:val="left"/>
    </w:pPr>
    <w:rPr>
      <w:rFonts w:ascii="等线" w:eastAsia="等线"/>
      <w:b/>
      <w:bCs/>
    </w:rPr>
  </w:style>
  <w:style w:type="paragraph" w:styleId="27">
    <w:name w:val="toc 4"/>
    <w:basedOn w:val="1"/>
    <w:next w:val="1"/>
    <w:qFormat/>
    <w:uiPriority w:val="0"/>
    <w:pPr>
      <w:ind w:left="720"/>
      <w:jc w:val="left"/>
    </w:pPr>
    <w:rPr>
      <w:rFonts w:ascii="等线" w:eastAsia="等线"/>
      <w:sz w:val="20"/>
      <w:szCs w:val="20"/>
    </w:rPr>
  </w:style>
  <w:style w:type="paragraph" w:styleId="28">
    <w:name w:val="index heading"/>
    <w:basedOn w:val="1"/>
    <w:next w:val="29"/>
    <w:qFormat/>
    <w:uiPriority w:val="0"/>
  </w:style>
  <w:style w:type="paragraph" w:styleId="29">
    <w:name w:val="index 1"/>
    <w:basedOn w:val="1"/>
    <w:next w:val="1"/>
    <w:qFormat/>
    <w:uiPriority w:val="0"/>
    <w:pPr>
      <w:ind w:left="210" w:hanging="210"/>
    </w:pPr>
  </w:style>
  <w:style w:type="paragraph" w:styleId="30">
    <w:name w:val="footnote text"/>
    <w:basedOn w:val="1"/>
    <w:link w:val="47"/>
    <w:qFormat/>
    <w:uiPriority w:val="0"/>
    <w:pPr>
      <w:snapToGrid w:val="0"/>
      <w:jc w:val="left"/>
    </w:pPr>
    <w:rPr>
      <w:sz w:val="18"/>
      <w:szCs w:val="18"/>
    </w:rPr>
  </w:style>
  <w:style w:type="paragraph" w:styleId="31">
    <w:name w:val="toc 6"/>
    <w:basedOn w:val="1"/>
    <w:next w:val="1"/>
    <w:qFormat/>
    <w:uiPriority w:val="0"/>
    <w:pPr>
      <w:ind w:left="1200"/>
      <w:jc w:val="left"/>
    </w:pPr>
    <w:rPr>
      <w:rFonts w:ascii="等线" w:eastAsia="等线"/>
      <w:sz w:val="20"/>
      <w:szCs w:val="20"/>
    </w:rPr>
  </w:style>
  <w:style w:type="paragraph" w:styleId="32">
    <w:name w:val="index 7"/>
    <w:basedOn w:val="1"/>
    <w:next w:val="1"/>
    <w:qFormat/>
    <w:uiPriority w:val="0"/>
    <w:pPr>
      <w:ind w:left="1470" w:hanging="210"/>
    </w:pPr>
  </w:style>
  <w:style w:type="paragraph" w:styleId="33">
    <w:name w:val="index 9"/>
    <w:basedOn w:val="1"/>
    <w:next w:val="1"/>
    <w:qFormat/>
    <w:uiPriority w:val="0"/>
    <w:pPr>
      <w:ind w:left="1890" w:hanging="210"/>
    </w:pPr>
  </w:style>
  <w:style w:type="paragraph" w:styleId="34">
    <w:name w:val="table of figures"/>
    <w:basedOn w:val="1"/>
    <w:next w:val="1"/>
    <w:qFormat/>
    <w:uiPriority w:val="0"/>
    <w:pPr>
      <w:ind w:left="420" w:hanging="420"/>
    </w:pPr>
  </w:style>
  <w:style w:type="paragraph" w:styleId="35">
    <w:name w:val="toc 2"/>
    <w:basedOn w:val="1"/>
    <w:next w:val="1"/>
    <w:unhideWhenUsed/>
    <w:qFormat/>
    <w:uiPriority w:val="39"/>
    <w:pPr>
      <w:ind w:left="240"/>
      <w:jc w:val="left"/>
    </w:pPr>
    <w:rPr>
      <w:rFonts w:ascii="等线" w:eastAsia="等线"/>
      <w:b/>
      <w:bCs/>
      <w:sz w:val="22"/>
      <w:szCs w:val="22"/>
    </w:rPr>
  </w:style>
  <w:style w:type="paragraph" w:styleId="36">
    <w:name w:val="toc 9"/>
    <w:basedOn w:val="1"/>
    <w:next w:val="1"/>
    <w:qFormat/>
    <w:uiPriority w:val="0"/>
    <w:pPr>
      <w:ind w:left="1920"/>
      <w:jc w:val="left"/>
    </w:pPr>
    <w:rPr>
      <w:rFonts w:ascii="等线" w:eastAsia="等线"/>
      <w:sz w:val="20"/>
      <w:szCs w:val="20"/>
    </w:rPr>
  </w:style>
  <w:style w:type="paragraph" w:styleId="37">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cs="宋体"/>
      <w:kern w:val="0"/>
    </w:rPr>
  </w:style>
  <w:style w:type="paragraph" w:styleId="38">
    <w:name w:val="index 2"/>
    <w:basedOn w:val="1"/>
    <w:next w:val="1"/>
    <w:qFormat/>
    <w:uiPriority w:val="0"/>
    <w:pPr>
      <w:ind w:left="420" w:hanging="210"/>
    </w:pPr>
  </w:style>
  <w:style w:type="paragraph" w:styleId="39">
    <w:name w:val="annotation subject"/>
    <w:basedOn w:val="10"/>
    <w:next w:val="10"/>
    <w:link w:val="60"/>
    <w:qFormat/>
    <w:uiPriority w:val="0"/>
    <w:rPr>
      <w:b/>
      <w:bCs/>
    </w:rPr>
  </w:style>
  <w:style w:type="table" w:styleId="41">
    <w:name w:val="Table Grid"/>
    <w:basedOn w:val="4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page number"/>
    <w:basedOn w:val="42"/>
    <w:qFormat/>
    <w:uiPriority w:val="0"/>
  </w:style>
  <w:style w:type="character" w:styleId="44">
    <w:name w:val="Hyperlink"/>
    <w:unhideWhenUsed/>
    <w:qFormat/>
    <w:uiPriority w:val="99"/>
    <w:rPr>
      <w:color w:val="0563C1"/>
      <w:u w:val="single"/>
    </w:rPr>
  </w:style>
  <w:style w:type="character" w:styleId="45">
    <w:name w:val="annotation reference"/>
    <w:qFormat/>
    <w:uiPriority w:val="0"/>
    <w:rPr>
      <w:sz w:val="21"/>
      <w:szCs w:val="21"/>
    </w:rPr>
  </w:style>
  <w:style w:type="character" w:styleId="46">
    <w:name w:val="footnote reference"/>
    <w:qFormat/>
    <w:uiPriority w:val="0"/>
    <w:rPr>
      <w:vertAlign w:val="superscript"/>
    </w:rPr>
  </w:style>
  <w:style w:type="character" w:customStyle="1" w:styleId="47">
    <w:name w:val="脚注文本 字符"/>
    <w:link w:val="30"/>
    <w:qFormat/>
    <w:uiPriority w:val="0"/>
    <w:rPr>
      <w:kern w:val="2"/>
      <w:sz w:val="18"/>
      <w:szCs w:val="18"/>
    </w:rPr>
  </w:style>
  <w:style w:type="character" w:customStyle="1" w:styleId="48">
    <w:name w:val="font41"/>
    <w:qFormat/>
    <w:uiPriority w:val="0"/>
    <w:rPr>
      <w:rFonts w:hint="eastAsia" w:ascii="宋体" w:hAnsi="宋体" w:eastAsia="宋体" w:cs="宋体"/>
      <w:color w:val="000000"/>
      <w:sz w:val="16"/>
      <w:szCs w:val="16"/>
      <w:u w:val="none"/>
    </w:rPr>
  </w:style>
  <w:style w:type="character" w:customStyle="1" w:styleId="49">
    <w:name w:val="标题 1 字符"/>
    <w:link w:val="2"/>
    <w:qFormat/>
    <w:uiPriority w:val="0"/>
    <w:rPr>
      <w:rFonts w:ascii="宋体" w:hAnsi="宋体" w:eastAsia="黑体"/>
      <w:b/>
      <w:kern w:val="2"/>
      <w:sz w:val="28"/>
      <w:szCs w:val="44"/>
    </w:rPr>
  </w:style>
  <w:style w:type="character" w:customStyle="1" w:styleId="50">
    <w:name w:val="标题 3 字符"/>
    <w:link w:val="4"/>
    <w:semiHidden/>
    <w:qFormat/>
    <w:uiPriority w:val="0"/>
    <w:rPr>
      <w:b/>
      <w:bCs/>
      <w:kern w:val="2"/>
      <w:sz w:val="32"/>
      <w:szCs w:val="32"/>
    </w:rPr>
  </w:style>
  <w:style w:type="character" w:customStyle="1" w:styleId="51">
    <w:name w:val="文档结构图 字符"/>
    <w:link w:val="9"/>
    <w:qFormat/>
    <w:uiPriority w:val="0"/>
    <w:rPr>
      <w:kern w:val="2"/>
      <w:sz w:val="24"/>
      <w:szCs w:val="24"/>
    </w:rPr>
  </w:style>
  <w:style w:type="character" w:customStyle="1" w:styleId="52">
    <w:name w:val="font01"/>
    <w:qFormat/>
    <w:uiPriority w:val="0"/>
    <w:rPr>
      <w:rFonts w:ascii="Wingdings 2" w:hAnsi="Wingdings 2" w:eastAsia="Wingdings 2" w:cs="Wingdings 2"/>
      <w:color w:val="000000"/>
      <w:sz w:val="16"/>
      <w:szCs w:val="16"/>
      <w:u w:val="none"/>
    </w:rPr>
  </w:style>
  <w:style w:type="character" w:customStyle="1" w:styleId="53">
    <w:name w:val="font11"/>
    <w:qFormat/>
    <w:uiPriority w:val="0"/>
    <w:rPr>
      <w:rFonts w:hint="eastAsia" w:ascii="宋体" w:hAnsi="宋体" w:eastAsia="宋体" w:cs="宋体"/>
      <w:color w:val="000000"/>
      <w:sz w:val="16"/>
      <w:szCs w:val="16"/>
      <w:u w:val="none"/>
    </w:rPr>
  </w:style>
  <w:style w:type="character" w:customStyle="1" w:styleId="54">
    <w:name w:val="页眉 字符"/>
    <w:link w:val="25"/>
    <w:qFormat/>
    <w:uiPriority w:val="0"/>
    <w:rPr>
      <w:kern w:val="2"/>
      <w:sz w:val="18"/>
      <w:szCs w:val="18"/>
    </w:rPr>
  </w:style>
  <w:style w:type="character" w:customStyle="1" w:styleId="55">
    <w:name w:val="标题 2 字符"/>
    <w:link w:val="3"/>
    <w:semiHidden/>
    <w:qFormat/>
    <w:uiPriority w:val="0"/>
    <w:rPr>
      <w:rFonts w:ascii="等线 Light" w:hAnsi="等线 Light" w:eastAsia="等线 Light" w:cs="Times New Roman"/>
      <w:b/>
      <w:bCs/>
      <w:kern w:val="2"/>
      <w:sz w:val="32"/>
      <w:szCs w:val="32"/>
    </w:rPr>
  </w:style>
  <w:style w:type="character" w:customStyle="1" w:styleId="56">
    <w:name w:val="批注框文本 字符"/>
    <w:link w:val="23"/>
    <w:qFormat/>
    <w:uiPriority w:val="0"/>
    <w:rPr>
      <w:kern w:val="2"/>
      <w:sz w:val="18"/>
      <w:szCs w:val="18"/>
    </w:rPr>
  </w:style>
  <w:style w:type="character" w:customStyle="1" w:styleId="57">
    <w:name w:val="批注文字 字符"/>
    <w:link w:val="10"/>
    <w:qFormat/>
    <w:uiPriority w:val="0"/>
    <w:rPr>
      <w:kern w:val="2"/>
      <w:sz w:val="24"/>
      <w:szCs w:val="24"/>
    </w:rPr>
  </w:style>
  <w:style w:type="character" w:customStyle="1" w:styleId="58">
    <w:name w:val="font21"/>
    <w:qFormat/>
    <w:uiPriority w:val="0"/>
    <w:rPr>
      <w:rFonts w:hint="eastAsia" w:ascii="宋体" w:hAnsi="宋体" w:eastAsia="宋体" w:cs="宋体"/>
      <w:color w:val="000000"/>
      <w:sz w:val="16"/>
      <w:szCs w:val="16"/>
      <w:u w:val="none"/>
    </w:rPr>
  </w:style>
  <w:style w:type="character" w:customStyle="1" w:styleId="59">
    <w:name w:val="标题 4 字符"/>
    <w:link w:val="5"/>
    <w:qFormat/>
    <w:uiPriority w:val="0"/>
    <w:rPr>
      <w:rFonts w:hint="eastAsia" w:ascii="微软雅黑" w:hAnsi="微软雅黑" w:eastAsia="微软雅黑" w:cs="微软雅黑"/>
      <w:color w:val="000000"/>
      <w:sz w:val="30"/>
    </w:rPr>
  </w:style>
  <w:style w:type="character" w:customStyle="1" w:styleId="60">
    <w:name w:val="批注主题 字符"/>
    <w:link w:val="39"/>
    <w:qFormat/>
    <w:uiPriority w:val="0"/>
    <w:rPr>
      <w:b/>
      <w:bCs/>
      <w:kern w:val="2"/>
      <w:sz w:val="24"/>
      <w:szCs w:val="24"/>
    </w:rPr>
  </w:style>
  <w:style w:type="paragraph" w:customStyle="1" w:styleId="61">
    <w:name w:val="Char"/>
    <w:basedOn w:val="1"/>
    <w:qFormat/>
    <w:uiPriority w:val="0"/>
    <w:pPr>
      <w:widowControl/>
      <w:spacing w:after="160" w:line="240" w:lineRule="exact"/>
      <w:jc w:val="left"/>
    </w:pPr>
    <w:rPr>
      <w:rFonts w:ascii="Arial" w:hAnsi="Arial" w:eastAsia="Times New Roman" w:cs="Verdana"/>
      <w:b/>
      <w:kern w:val="0"/>
      <w:lang w:eastAsia="en-US"/>
    </w:rPr>
  </w:style>
  <w:style w:type="paragraph" w:customStyle="1" w:styleId="62">
    <w:name w:val="Char Char Char Char Char Char Char Char Char Char Char Char Char"/>
    <w:basedOn w:val="1"/>
    <w:next w:val="1"/>
    <w:qFormat/>
    <w:uiPriority w:val="0"/>
    <w:pPr>
      <w:ind w:firstLine="200"/>
    </w:pPr>
  </w:style>
  <w:style w:type="paragraph" w:customStyle="1" w:styleId="63">
    <w:name w:val="目录标题"/>
    <w:basedOn w:val="2"/>
    <w:next w:val="1"/>
    <w:qFormat/>
    <w:uiPriority w:val="39"/>
    <w:pPr>
      <w:widowControl/>
      <w:spacing w:before="480" w:after="0" w:line="276" w:lineRule="auto"/>
      <w:outlineLvl w:val="9"/>
    </w:pPr>
    <w:rPr>
      <w:rFonts w:ascii="等线 Light" w:hAnsi="等线 Light" w:eastAsia="等线 Light"/>
      <w:color w:val="2F5496"/>
      <w:kern w:val="0"/>
      <w:szCs w:val="28"/>
    </w:rPr>
  </w:style>
  <w:style w:type="paragraph" w:customStyle="1" w:styleId="64">
    <w:name w:val="标题②"/>
    <w:basedOn w:val="3"/>
    <w:next w:val="3"/>
    <w:qFormat/>
    <w:uiPriority w:val="0"/>
    <w:pPr>
      <w:widowControl/>
      <w:spacing w:before="50" w:beforeLines="50" w:after="50" w:afterLines="50" w:line="240" w:lineRule="auto"/>
      <w:jc w:val="left"/>
    </w:pPr>
    <w:rPr>
      <w:rFonts w:ascii="楷体_GB2312" w:hAnsi="楷体_GB2312" w:eastAsia="楷体"/>
      <w:color w:val="000000"/>
      <w:sz w:val="24"/>
    </w:rPr>
  </w:style>
  <w:style w:type="paragraph" w:customStyle="1" w:styleId="65">
    <w:name w:val="表格"/>
    <w:basedOn w:val="1"/>
    <w:next w:val="1"/>
    <w:qFormat/>
    <w:uiPriority w:val="0"/>
    <w:pPr>
      <w:adjustRightInd w:val="0"/>
      <w:snapToGrid w:val="0"/>
      <w:spacing w:line="180" w:lineRule="exact"/>
      <w:ind w:firstLine="0" w:firstLineChars="0"/>
    </w:pPr>
    <w:rPr>
      <w:sz w:val="13"/>
    </w:rPr>
  </w:style>
  <w:style w:type="paragraph" w:customStyle="1" w:styleId="66">
    <w:name w:val="标题2"/>
    <w:basedOn w:val="3"/>
    <w:next w:val="3"/>
    <w:qFormat/>
    <w:uiPriority w:val="0"/>
    <w:pPr>
      <w:spacing w:before="50" w:beforeLines="50" w:after="50" w:afterLines="50" w:line="240" w:lineRule="auto"/>
      <w:jc w:val="left"/>
    </w:pPr>
    <w:rPr>
      <w:rFonts w:ascii="楷体_GB2312" w:hAnsi="楷体_GB2312" w:eastAsia="楷体"/>
      <w:color w:val="000000"/>
      <w:sz w:val="24"/>
    </w:rPr>
  </w:style>
  <w:style w:type="paragraph" w:customStyle="1" w:styleId="67">
    <w:name w:val="默认段落字体 Para Char Char Char Char"/>
    <w:basedOn w:val="1"/>
    <w:qFormat/>
    <w:uiPriority w:val="0"/>
    <w:rPr>
      <w:szCs w:val="20"/>
    </w:rPr>
  </w:style>
  <w:style w:type="paragraph" w:customStyle="1" w:styleId="68">
    <w:name w:val="标题3"/>
    <w:basedOn w:val="4"/>
    <w:next w:val="4"/>
    <w:qFormat/>
    <w:uiPriority w:val="0"/>
    <w:pPr>
      <w:spacing w:before="100" w:after="100" w:line="240" w:lineRule="auto"/>
      <w:jc w:val="left"/>
    </w:pPr>
    <w:rPr>
      <w:rFonts w:eastAsia="楷体"/>
      <w:b w:val="0"/>
      <w:sz w:val="24"/>
    </w:rPr>
  </w:style>
  <w:style w:type="paragraph" w:customStyle="1" w:styleId="69">
    <w:name w:val="Char4 Char Char Char"/>
    <w:basedOn w:val="1"/>
    <w:qFormat/>
    <w:uiPriority w:val="0"/>
    <w:pPr>
      <w:adjustRightInd w:val="0"/>
      <w:snapToGrid w:val="0"/>
      <w:ind w:firstLine="200"/>
    </w:pPr>
  </w:style>
  <w:style w:type="paragraph" w:customStyle="1" w:styleId="70">
    <w:name w:val="Char Char Char Char Char Char Char Char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71">
    <w:name w:val="四号正文"/>
    <w:basedOn w:val="1"/>
    <w:qFormat/>
    <w:uiPriority w:val="0"/>
    <w:pPr>
      <w:spacing w:line="360" w:lineRule="auto"/>
    </w:pPr>
    <w:rPr>
      <w:rFonts w:ascii="??" w:hAnsi="??" w:eastAsia="宋体"/>
      <w:color w:val="000000"/>
      <w:kern w:val="0"/>
      <w:sz w:val="28"/>
      <w:szCs w:val="21"/>
    </w:rPr>
  </w:style>
  <w:style w:type="paragraph" w:customStyle="1" w:styleId="72">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rPr>
  </w:style>
  <w:style w:type="paragraph" w:customStyle="1" w:styleId="73">
    <w:name w:val="List Paragraph"/>
    <w:basedOn w:val="1"/>
    <w:qFormat/>
    <w:uiPriority w:val="0"/>
    <w:pPr>
      <w:ind w:firstLine="420" w:firstLineChars="200"/>
    </w:pPr>
    <w:rPr>
      <w:rFonts w:ascii="Calibri" w:hAnsi="Calibri"/>
      <w:szCs w:val="22"/>
    </w:rPr>
  </w:style>
  <w:style w:type="character" w:customStyle="1" w:styleId="74">
    <w:name w:val="font31"/>
    <w:basedOn w:val="42"/>
    <w:qFormat/>
    <w:uiPriority w:val="0"/>
    <w:rPr>
      <w:rFonts w:hint="eastAsia" w:ascii="仿宋_GB2312" w:eastAsia="仿宋_GB2312" w:cs="仿宋_GB2312"/>
      <w:b/>
      <w:bCs/>
      <w:color w:val="000000"/>
      <w:sz w:val="21"/>
      <w:szCs w:val="21"/>
      <w:u w:val="none"/>
    </w:rPr>
  </w:style>
  <w:style w:type="character" w:customStyle="1" w:styleId="75">
    <w:name w:val="font61"/>
    <w:basedOn w:val="42"/>
    <w:qFormat/>
    <w:uiPriority w:val="0"/>
    <w:rPr>
      <w:rFonts w:hint="default" w:ascii="Arial" w:hAnsi="Arial" w:cs="Arial"/>
      <w:color w:val="000000"/>
      <w:sz w:val="20"/>
      <w:szCs w:val="20"/>
      <w:u w:val="none"/>
    </w:rPr>
  </w:style>
  <w:style w:type="character" w:customStyle="1" w:styleId="76">
    <w:name w:val="Char Char3"/>
    <w:qFormat/>
    <w:uiPriority w:val="0"/>
    <w:rPr>
      <w:rFonts w:ascii="Times New Roman" w:hAnsi="Times New Roman" w:eastAsia="宋体"/>
      <w:kern w:val="2"/>
      <w:sz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35</Pages>
  <Words>13384</Words>
  <Characters>15725</Characters>
  <Lines>100</Lines>
  <Paragraphs>28</Paragraphs>
  <TotalTime>3</TotalTime>
  <ScaleCrop>false</ScaleCrop>
  <LinksUpToDate>false</LinksUpToDate>
  <CharactersWithSpaces>15893</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2020-11-03T00:17:00Z</dcterms:created>
  <dc:creator>friend78</dc:creator>
  <cp:lastModifiedBy>user</cp:lastModifiedBy>
  <cp:lastPrinted>2023-01-06T11:13:00Z</cp:lastPrinted>
  <dcterms:modified xsi:type="dcterms:W3CDTF">2026-04-30T15:33:41Z</dcterms:modified>
  <dc:title>项目绩效评价报告</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BB594A54D8194DF0B6B72938FDD2228C</vt:lpwstr>
  </property>
</Properties>
</file>