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阿坝县求吉玛乡河道治理工程</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b w:val="0"/>
          <w:bCs w:val="0"/>
          <w:sz w:val="30"/>
          <w:szCs w:val="30"/>
        </w:rPr>
        <mc:AlternateContent>
          <mc:Choice Requires="wps">
            <w:drawing>
              <wp:anchor distT="0" distB="0" distL="114300" distR="114300" simplePos="0" relativeHeight="251659264" behindDoc="0" locked="0" layoutInCell="1" allowOverlap="1">
                <wp:simplePos x="0" y="0"/>
                <wp:positionH relativeFrom="column">
                  <wp:posOffset>4523105</wp:posOffset>
                </wp:positionH>
                <wp:positionV relativeFrom="paragraph">
                  <wp:posOffset>50165</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6.15pt;margin-top:3.95pt;height:127.7pt;width:72pt;z-index:251659264;v-text-anchor:middle;mso-width-relative:page;mso-height-relative:page;" fillcolor="#FFFFFF [3212]" filled="t" stroked="f" coordsize="21600,21600" o:gfxdata="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MO8oqtkAAAAJAQAADwAAAAAAAAABACAAAAAiAAAAZHJzL2Rv&#10;d25yZXYueG1sUEsBAhQAFAAAAAgAh07iQEXzzxtyAgAA1wQAAA4AAAAAAAAAAQAgAAAAKAEAAGRy&#10;cy9lMm9Eb2MueG1sUEsFBgAAAAAGAAYAWQEAAAwGAAAAAA==&#10;">
                <v:fill on="t" focussize="0,0"/>
                <v:stroke on="f" weight="1pt" miterlimit="8" joinstyle="miter"/>
                <v:imagedata o:title=""/>
                <o:lock v:ext="edit" aspectratio="f"/>
              </v:rect>
            </w:pict>
          </mc:Fallback>
        </mc:AlternateContent>
      </w: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阿坝县科学技术和农业畜牧水务局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 xml:space="preserve">2023年10月21日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8"/>
              <w:szCs w:val="28"/>
              <w:lang w:val="en-US" w:eastAsia="zh-CN"/>
            </w:rPr>
            <w:fldChar w:fldCharType="begin"/>
          </w:r>
          <w:r>
            <w:rPr>
              <w:rFonts w:hint="default" w:ascii="黑体" w:hAnsi="黑体" w:eastAsia="黑体" w:cs="黑体"/>
              <w:sz w:val="28"/>
              <w:szCs w:val="28"/>
              <w:lang w:val="en-US" w:eastAsia="zh-CN"/>
            </w:rPr>
            <w:instrText xml:space="preserve">TOC \o "1-2" \h \u </w:instrText>
          </w:r>
          <w:r>
            <w:rPr>
              <w:rFonts w:hint="default" w:ascii="黑体" w:hAnsi="黑体" w:eastAsia="黑体" w:cs="黑体"/>
              <w:sz w:val="28"/>
              <w:szCs w:val="28"/>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_Toc30560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_Toc30560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_Toc27345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_Toc27345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_Toc19139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_Toc19139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_Toc27212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_Toc27212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_Toc17156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_Toc17156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_Toc29329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_Toc29329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_Toc22463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_Toc22463 \h </w:instrText>
          </w:r>
          <w:r>
            <w:rPr>
              <w:sz w:val="24"/>
              <w:szCs w:val="24"/>
            </w:rPr>
            <w:fldChar w:fldCharType="separate"/>
          </w:r>
          <w:r>
            <w:rPr>
              <w:sz w:val="24"/>
              <w:szCs w:val="24"/>
            </w:rPr>
            <w:t>10</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_Toc10723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_Toc10723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_Toc22234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_Toc22234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_Toc11392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_Toc11392 \h </w:instrText>
          </w:r>
          <w:r>
            <w:rPr>
              <w:sz w:val="24"/>
              <w:szCs w:val="24"/>
            </w:rPr>
            <w:fldChar w:fldCharType="separate"/>
          </w:r>
          <w:r>
            <w:rPr>
              <w:sz w:val="24"/>
              <w:szCs w:val="24"/>
            </w:rPr>
            <w:t>14</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_Toc479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_Toc479 \h </w:instrText>
          </w:r>
          <w:r>
            <w:rPr>
              <w:sz w:val="24"/>
              <w:szCs w:val="24"/>
            </w:rPr>
            <w:fldChar w:fldCharType="separate"/>
          </w:r>
          <w:r>
            <w:rPr>
              <w:sz w:val="24"/>
              <w:szCs w:val="24"/>
            </w:rPr>
            <w:t>18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_Toc31485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_Toc31485 \h </w:instrText>
          </w:r>
          <w:r>
            <w:rPr>
              <w:sz w:val="24"/>
              <w:szCs w:val="24"/>
            </w:rPr>
            <w:fldChar w:fldCharType="separate"/>
          </w:r>
          <w:r>
            <w:rPr>
              <w:sz w:val="24"/>
              <w:szCs w:val="24"/>
            </w:rPr>
            <w:t>22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_Toc28512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_Toc28512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_Toc20660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四、综合评价情况及评价结论</w:t>
          </w:r>
          <w:r>
            <w:rPr>
              <w:sz w:val="24"/>
              <w:szCs w:val="24"/>
            </w:rPr>
            <w:tab/>
          </w:r>
          <w:r>
            <w:rPr>
              <w:sz w:val="24"/>
              <w:szCs w:val="24"/>
            </w:rPr>
            <w:fldChar w:fldCharType="begin"/>
          </w:r>
          <w:r>
            <w:rPr>
              <w:sz w:val="24"/>
              <w:szCs w:val="24"/>
            </w:rPr>
            <w:instrText xml:space="preserve"> PAGEREF _Toc20660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_Toc6194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（一）综合评价情况</w:t>
          </w:r>
          <w:r>
            <w:rPr>
              <w:sz w:val="24"/>
              <w:szCs w:val="24"/>
            </w:rPr>
            <w:tab/>
          </w:r>
          <w:r>
            <w:rPr>
              <w:sz w:val="24"/>
              <w:szCs w:val="24"/>
            </w:rPr>
            <w:fldChar w:fldCharType="begin"/>
          </w:r>
          <w:r>
            <w:rPr>
              <w:sz w:val="24"/>
              <w:szCs w:val="24"/>
            </w:rPr>
            <w:instrText xml:space="preserve"> PAGEREF _Toc6194 \h </w:instrText>
          </w:r>
          <w:r>
            <w:rPr>
              <w:sz w:val="24"/>
              <w:szCs w:val="24"/>
            </w:rPr>
            <w:fldChar w:fldCharType="separate"/>
          </w:r>
          <w:r>
            <w:rPr>
              <w:sz w:val="24"/>
              <w:szCs w:val="24"/>
            </w:rPr>
            <w:t>27</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_Toc19068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_Toc19068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_Toc30656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五、主要经验及做法、存在的问题及原因</w:t>
          </w:r>
          <w:r>
            <w:rPr>
              <w:sz w:val="24"/>
              <w:szCs w:val="24"/>
            </w:rPr>
            <w:tab/>
          </w:r>
          <w:r>
            <w:rPr>
              <w:sz w:val="24"/>
              <w:szCs w:val="24"/>
            </w:rPr>
            <w:fldChar w:fldCharType="begin"/>
          </w:r>
          <w:r>
            <w:rPr>
              <w:sz w:val="24"/>
              <w:szCs w:val="24"/>
            </w:rPr>
            <w:instrText xml:space="preserve"> PAGEREF _Toc30656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_Toc18496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_Toc18496 \h </w:instrText>
          </w:r>
          <w:r>
            <w:rPr>
              <w:sz w:val="24"/>
              <w:szCs w:val="24"/>
            </w:rPr>
            <w:fldChar w:fldCharType="separate"/>
          </w:r>
          <w:r>
            <w:rPr>
              <w:sz w:val="24"/>
              <w:szCs w:val="24"/>
            </w:rPr>
            <w:t>28</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_Toc8140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_Toc8140 \h </w:instrText>
          </w:r>
          <w:r>
            <w:rPr>
              <w:sz w:val="24"/>
              <w:szCs w:val="24"/>
            </w:rPr>
            <w:fldChar w:fldCharType="separate"/>
          </w:r>
          <w:r>
            <w:rPr>
              <w:sz w:val="24"/>
              <w:szCs w:val="24"/>
            </w:rPr>
            <w:t>29</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_Toc2098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_Toc2098 \h </w:instrText>
          </w:r>
          <w:r>
            <w:rPr>
              <w:sz w:val="24"/>
              <w:szCs w:val="24"/>
            </w:rPr>
            <w:fldChar w:fldCharType="separate"/>
          </w:r>
          <w:r>
            <w:rPr>
              <w:sz w:val="24"/>
              <w:szCs w:val="24"/>
            </w:rPr>
            <w:t>30</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_Toc25425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_Toc25425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_Toc12459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_Toc12459 \h </w:instrText>
          </w:r>
          <w:r>
            <w:rPr>
              <w:sz w:val="24"/>
              <w:szCs w:val="24"/>
            </w:rPr>
            <w:fldChar w:fldCharType="separate"/>
          </w:r>
          <w:r>
            <w:rPr>
              <w:sz w:val="24"/>
              <w:szCs w:val="24"/>
            </w:rPr>
            <w:t>31</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_Toc6506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_Toc6506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_Toc26103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_Toc26103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_Toc16481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_Toc16481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_Toc13217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_Toc13217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00" w:lineRule="exact"/>
            <w:ind w:left="0" w:leftChars="0" w:firstLine="240" w:firstLineChars="100"/>
            <w:textAlignment w:val="auto"/>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_Toc19033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_Toc19033 \h </w:instrText>
          </w:r>
          <w:r>
            <w:rPr>
              <w:sz w:val="24"/>
              <w:szCs w:val="24"/>
            </w:rPr>
            <w:fldChar w:fldCharType="separate"/>
          </w:r>
          <w:r>
            <w:rPr>
              <w:sz w:val="24"/>
              <w:szCs w:val="24"/>
            </w:rPr>
            <w:t>32</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Cs w:val="28"/>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3056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lang w:val="en-US" w:eastAsia="zh-CN" w:bidi="ar-SA"/>
        </w:rPr>
        <w:t>阿坝县求吉</w:t>
      </w:r>
      <w:r>
        <w:rPr>
          <w:rFonts w:hint="eastAsia" w:ascii="仿宋" w:hAnsi="仿宋" w:eastAsia="仿宋" w:cs="仿宋"/>
          <w:smallCaps w:val="0"/>
          <w:kern w:val="2"/>
          <w:sz w:val="30"/>
          <w:szCs w:val="30"/>
          <w:highlight w:val="none"/>
          <w:lang w:val="en-US" w:eastAsia="zh-CN" w:bidi="ar-SA"/>
        </w:rPr>
        <w:t>玛乡河道治理工程</w:t>
      </w:r>
      <w:r>
        <w:rPr>
          <w:rFonts w:hint="eastAsia" w:ascii="仿宋" w:hAnsi="仿宋" w:eastAsia="仿宋" w:cs="仿宋"/>
          <w:b w:val="0"/>
          <w:bCs w:val="0"/>
          <w:sz w:val="30"/>
          <w:szCs w:val="30"/>
          <w:highlight w:val="none"/>
          <w:lang w:val="en-US" w:eastAsia="zh-CN"/>
        </w:rPr>
        <w:t>由阿坝县科学技术和农业畜牧水务局进行申报，成都青云致远工程咨询有限公司受阿坝县财政局委托进行本次绩效评价工作。</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由于河水流量较大，降雨集中，每到汛期，严重威胁着河道两岸居民的生命财产安全。夏容曲、札柯河段堤防工程的建设，对保障居民正常生活安全至关重要，可有效防止洪水灾害，确保当地农村居民生命财产不受洪水侵害。</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项目立项预估资金总额为2399.49万元，资金来源为2020年黄河流域生态保护和高质量发展专项奖补资金。根据阿坝州财政局、阿坝州水务局文件《阿州财预（2021）36号》，下达本项目资金2371.4万元，已下达该项目预算为19,431,519.81元。截至绩效评价日2023年10月15日，本项目已支付17,837,679.81元，其中2022年支付17,368,879.81元，2023年支付468,800.00元，项目已于2022年10月15日完工验收，验收结论为合格，未出现工程质量问题。</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本项目具有较好的项目产出和效益</w:t>
      </w:r>
      <w:r>
        <w:rPr>
          <w:rFonts w:hint="default" w:ascii="仿宋" w:hAnsi="仿宋" w:eastAsia="仿宋" w:cs="仿宋"/>
          <w:sz w:val="30"/>
          <w:szCs w:val="30"/>
          <w:highlight w:val="none"/>
          <w:lang w:val="en-US" w:eastAsia="zh-CN"/>
        </w:rPr>
        <w:t>，</w:t>
      </w:r>
      <w:r>
        <w:rPr>
          <w:rFonts w:hint="eastAsia" w:ascii="仿宋" w:hAnsi="仿宋" w:eastAsia="仿宋" w:cs="仿宋"/>
          <w:sz w:val="30"/>
          <w:szCs w:val="30"/>
          <w:highlight w:val="none"/>
          <w:lang w:val="en-US" w:eastAsia="zh-CN"/>
        </w:rPr>
        <w:t>除</w:t>
      </w:r>
      <w:r>
        <w:rPr>
          <w:rFonts w:hint="eastAsia" w:ascii="仿宋" w:hAnsi="仿宋" w:eastAsia="仿宋" w:cs="仿宋"/>
          <w:sz w:val="30"/>
          <w:szCs w:val="30"/>
          <w:lang w:val="en-US" w:eastAsia="zh-CN"/>
        </w:rPr>
        <w:t>项目财务资料编制不规范、合同管理不严谨、</w:t>
      </w:r>
      <w:r>
        <w:rPr>
          <w:rFonts w:hint="eastAsia" w:ascii="仿宋" w:hAnsi="仿宋" w:eastAsia="仿宋" w:cs="仿宋"/>
          <w:sz w:val="30"/>
          <w:szCs w:val="30"/>
          <w:highlight w:val="none"/>
          <w:lang w:val="en-US" w:eastAsia="zh-CN"/>
        </w:rPr>
        <w:t>项目未制定相应财务管理制度、业务管理制度，部分绩效目标设置不够明确外</w:t>
      </w:r>
      <w:r>
        <w:rPr>
          <w:rFonts w:hint="default" w:ascii="仿宋" w:hAnsi="仿宋" w:eastAsia="仿宋" w:cs="仿宋"/>
          <w:sz w:val="30"/>
          <w:szCs w:val="30"/>
          <w:highlight w:val="none"/>
          <w:lang w:val="en-US" w:eastAsia="zh-CN"/>
        </w:rPr>
        <w:t>，较好地完成了</w:t>
      </w:r>
      <w:r>
        <w:rPr>
          <w:rFonts w:hint="eastAsia" w:ascii="仿宋" w:hAnsi="仿宋" w:eastAsia="仿宋" w:cs="仿宋"/>
          <w:sz w:val="30"/>
          <w:szCs w:val="30"/>
          <w:highlight w:val="none"/>
          <w:lang w:val="en-US" w:eastAsia="zh-CN"/>
        </w:rPr>
        <w:t>本项目预期绩效目标</w:t>
      </w:r>
      <w:r>
        <w:rPr>
          <w:rFonts w:hint="default" w:ascii="仿宋" w:hAnsi="仿宋" w:eastAsia="仿宋" w:cs="仿宋"/>
          <w:sz w:val="30"/>
          <w:szCs w:val="30"/>
          <w:highlight w:val="none"/>
          <w:lang w:val="en-US" w:eastAsia="zh-CN"/>
        </w:rPr>
        <w:t>。从验收和调研结果以及满意度调查结果分析，项目基本实现了立项时的绩效目标，项目实施的社会效益和可持续影响较好</w:t>
      </w:r>
      <w:r>
        <w:rPr>
          <w:rFonts w:hint="eastAsia" w:ascii="仿宋" w:hAnsi="仿宋" w:eastAsia="仿宋" w:cs="仿宋"/>
          <w:color w:val="auto"/>
          <w:sz w:val="30"/>
          <w:szCs w:val="30"/>
          <w:highlight w:val="none"/>
          <w:lang w:val="en-US" w:eastAsia="zh-CN"/>
        </w:rPr>
        <w:t>，最终评分得分为92.17</w:t>
      </w:r>
      <w:r>
        <w:rPr>
          <w:rFonts w:hint="eastAsia" w:ascii="仿宋" w:hAnsi="仿宋" w:eastAsia="仿宋" w:cs="仿宋"/>
          <w:sz w:val="30"/>
          <w:szCs w:val="30"/>
          <w:highlight w:val="none"/>
          <w:lang w:val="en-US" w:eastAsia="zh-CN"/>
        </w:rPr>
        <w:t>分，属于“优”。</w:t>
      </w:r>
    </w:p>
    <w:p>
      <w:pPr>
        <w:pStyle w:val="2"/>
        <w:rPr>
          <w:rFonts w:hint="eastAsia" w:ascii="仿宋" w:hAnsi="仿宋" w:eastAsia="仿宋" w:cs="仿宋"/>
          <w:b w:val="0"/>
          <w:bCs w:val="0"/>
          <w:sz w:val="30"/>
          <w:szCs w:val="30"/>
          <w:lang w:val="en-US" w:eastAsia="zh-CN"/>
        </w:rPr>
      </w:pPr>
    </w:p>
    <w:p>
      <w:pPr>
        <w:pStyle w:val="2"/>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阿坝县求吉玛乡河道治理工程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27345"/>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19139"/>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b w:val="0"/>
          <w:bCs w:val="0"/>
          <w:sz w:val="30"/>
          <w:szCs w:val="30"/>
          <w:lang w:val="en-US" w:eastAsia="zh-CN"/>
        </w:rPr>
        <w:t>项目第一段桩号重建 Z0+000.00-重建 0+267.69 段有斜坡式面板堤，堤防总长 267.69m，迎水面采用现浇 C20 混凝土面板护坡，坡比 1:1.75，面板厚 0.20m，下设 5cm 厚砂浆垫层；堤脚基础埋深 0.5m，齿墙尺寸 0.5×0.5m（宽×高），堤顶未硬化。该已建堤防防洪标准不能满足要求，住户常遭受洪水灾害，基础埋深不足，局部基础已被掏空，局部面板损坏严重，堤身多处出现裂缝，存在安全隐患。其余段均无已建或在建堤防，目前为自然边坡，地势较低，常年受洪水侵害，岸坡土质疏松，在洪水侧向淘蚀下， 易发生塌岸现象，存在安全隐患；右岸为高边坡山体。</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第二段位于札柯河左岸，起于求吉玛乡政府上游 0.4km 处公路边，止于求吉玛乡政府下游机耕桥，第二段新建堤防段主要保护受益区为阿坝县求吉玛乡政府、小学、卫生院、派出所、污水处理厂以及近 150 户牧民房屋，保护人口 1950 余人，保护草地 60 亩，新建护岸段主要保护受益区为阿坝县求吉玛乡草地 150 亩。该段均无已建或在建堤防，目前为自然边坡，地势较低，常年受洪水侵害，岸坡土质疏松，在洪水侧向淘蚀下，易发生塌岸现象，存在安全隐患；右岸为高边坡山体。夏容曲、札柯河河道为天然河道，主流形成 s 型曲线，对基础冲刷严重，洪水主要由大到暴雨形成，每逢雨季及暴雨季节，洪灾频发。由于河水流量较大，降雨集中，每到汛期，严重威胁着河道两岸居民的生命财产安全。夏容曲、札柯河段堤防工程的建设，对保障居民正常生活安全至关重要，可有效防止洪水灾害，确保当地农村居民生命财产不受洪水侵害，为当地农村居民提供一个稳定的生活生产环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2016年12月编制审批通过了《四川省水土保持规划（2015—2030年）》，近期目标：到2020年，基本建成与国民经济发展相适应的水土流失综合防治体系，人为水土流失得到有效控制，生态环境得以持续改善，水土保持生态文明建设取得显著成效。完成新增水土流失综合治理面积26900 km²，新增水土流失综合治理率达到22.22%， 治理区植被覆盖率提高5.05%。远期目标：到2030年，全面建成与我省经济社会发展相适应的水土流失综合防治体系，生态环境步入良性循环。建设完善的水土流失监测网络和信息系统，健全水土保持法律、法规体系和监督管理体系，生产建设项目“三同时”制度得到全面落实，生产建设活动导致的人为水土流失得到全面控制。完成新增水土流失综合治理面积78200km²，新增水土流失综合治理率达到64.61%， 治理区植被覆盖率提高15.16%。</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四川省“十四五”生态环境保护规划》指出保护草原生态系统。以遏制草原退化、实现草畜平衡、提升草地生态功能为重点，开展草原生态保护建设。严格保护长江、黄河天然草原，以甘孜、阿坝为重点区域，对严重退化、沙化草原实行禁牧封育。</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阿坝藏族羌族自治州阿坝县水土保持规划（2015-2030）》2016年12月编制审批通过了《阿坝藏族羌族自治州阿坝县水土保持规划（2015-2030）》，总体目标：到2030年，建成与阿坝县社会经济可持续发展相适应的水土流失综合防治体系，生态环境步入良性循环，实现水土保持生态文明。区域水土流失治理率实现总面积的65%，人为水土流失得到控制。林草植被得到保护和恢复，覆盖状况得到明显改善，覆盖面积有相当程度的增加。水土保持监测网络完全覆盖，水土保持设施运行维护到位，科技创新支撑能力不断提高。近期目标：到2020年，基本建成与本地区社会经济发展相适应的水土流失综合防治体系，生态环境持续改善，重点治理地区生态趋向好转。区域水土流失治理率实现总面积的10%，人为水土流失得到基本控制</w:t>
      </w:r>
      <w:r>
        <w:rPr>
          <w:rFonts w:hint="default" w:ascii="仿宋" w:hAnsi="仿宋" w:eastAsia="仿宋" w:cs="仿宋"/>
          <w:color w:val="000000"/>
          <w:kern w:val="0"/>
          <w:sz w:val="30"/>
          <w:szCs w:val="30"/>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6" w:name="_Toc29008"/>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highlight w:val="none"/>
          <w:lang w:val="en-US" w:eastAsia="zh-CN"/>
        </w:rPr>
      </w:pPr>
      <w:bookmarkStart w:id="7" w:name="_Toc23348"/>
      <w:r>
        <w:rPr>
          <w:rFonts w:hint="eastAsia" w:ascii="仿宋" w:hAnsi="仿宋" w:eastAsia="仿宋" w:cs="仿宋"/>
          <w:b w:val="0"/>
          <w:bCs w:val="0"/>
          <w:sz w:val="30"/>
          <w:szCs w:val="30"/>
          <w:highlight w:val="none"/>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yellow"/>
          <w:lang w:val="en-US" w:eastAsia="zh-CN"/>
        </w:rPr>
      </w:pPr>
      <w:bookmarkStart w:id="8" w:name="_Toc16705"/>
      <w:r>
        <w:rPr>
          <w:rFonts w:hint="eastAsia" w:ascii="仿宋" w:hAnsi="仿宋" w:eastAsia="仿宋" w:cs="仿宋"/>
          <w:b w:val="0"/>
          <w:bCs w:val="0"/>
          <w:sz w:val="30"/>
          <w:szCs w:val="30"/>
          <w:highlight w:val="none"/>
          <w:lang w:val="en-US" w:eastAsia="zh-CN"/>
        </w:rPr>
        <w:t>本项目立项预估资金总额为</w:t>
      </w:r>
      <w:r>
        <w:rPr>
          <w:rFonts w:hint="eastAsia" w:ascii="仿宋" w:hAnsi="仿宋" w:eastAsia="仿宋" w:cs="仿宋"/>
          <w:sz w:val="30"/>
          <w:szCs w:val="30"/>
          <w:highlight w:val="none"/>
          <w:lang w:val="en-US" w:eastAsia="zh-CN"/>
        </w:rPr>
        <w:t>2399.49万元</w:t>
      </w:r>
      <w:r>
        <w:rPr>
          <w:rFonts w:hint="eastAsia" w:ascii="仿宋" w:hAnsi="仿宋" w:eastAsia="仿宋" w:cs="仿宋"/>
          <w:b w:val="0"/>
          <w:bCs w:val="0"/>
          <w:sz w:val="30"/>
          <w:szCs w:val="30"/>
          <w:highlight w:val="none"/>
          <w:lang w:val="en-US" w:eastAsia="zh-CN"/>
        </w:rPr>
        <w:t>，资金来源为2020年黄河流域生态保护和高质量发展专项奖补资金。根据阿坝州财政局、阿坝州水务局文件《阿州财预（2021）36号》，下达本项目资金2371.4万元，已下达</w:t>
      </w:r>
      <w:r>
        <w:rPr>
          <w:rFonts w:hint="eastAsia" w:ascii="仿宋" w:hAnsi="仿宋" w:eastAsia="仿宋" w:cs="仿宋"/>
          <w:sz w:val="30"/>
          <w:szCs w:val="30"/>
          <w:highlight w:val="none"/>
          <w:lang w:val="en-US" w:eastAsia="zh-CN"/>
        </w:rPr>
        <w:t>该项目预算为</w:t>
      </w:r>
      <w:r>
        <w:rPr>
          <w:rFonts w:hint="eastAsia" w:ascii="仿宋" w:hAnsi="仿宋" w:eastAsia="仿宋" w:cs="仿宋"/>
          <w:b w:val="0"/>
          <w:bCs w:val="0"/>
          <w:sz w:val="30"/>
          <w:szCs w:val="30"/>
          <w:highlight w:val="none"/>
          <w:lang w:val="en-US" w:eastAsia="zh-CN"/>
        </w:rPr>
        <w:t>19,431,519.81元</w:t>
      </w:r>
      <w:r>
        <w:rPr>
          <w:rFonts w:hint="eastAsia" w:ascii="仿宋" w:hAnsi="仿宋" w:eastAsia="仿宋" w:cs="仿宋"/>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bookmarkStart w:id="9" w:name="_Toc2339"/>
      <w:r>
        <w:rPr>
          <w:rFonts w:hint="eastAsia" w:ascii="仿宋" w:hAnsi="仿宋" w:eastAsia="仿宋" w:cs="仿宋"/>
          <w:b w:val="0"/>
          <w:bCs w:val="0"/>
          <w:sz w:val="30"/>
          <w:szCs w:val="30"/>
          <w:highlight w:val="none"/>
          <w:lang w:val="en-US" w:eastAsia="zh-CN"/>
        </w:rPr>
        <w:t>截至绩效评价日2023年10月15日，本项目已支付17,837,679.81元，其中2022年支付17,368,879.81元，2023年支付468,800.00元。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bookmarkStart w:id="10" w:name="_Toc21455"/>
      <w:r>
        <w:rPr>
          <w:rFonts w:hint="eastAsia" w:ascii="仿宋" w:hAnsi="仿宋" w:eastAsia="仿宋" w:cs="仿宋"/>
          <w:b w:val="0"/>
          <w:bCs w:val="0"/>
          <w:sz w:val="30"/>
          <w:szCs w:val="30"/>
          <w:highlight w:val="none"/>
          <w:lang w:val="en-US" w:eastAsia="zh-CN"/>
        </w:rPr>
        <w:t>本项目的项目地位于阿坝县求吉玛乡。建设规模为综合治理河长 7.0公里，新建堤防3.2公里。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由阿坝县科学技术和农业畜牧水务局聘请专业第三方机构编制《阿坝县求吉玛乡河道治理工程可行性研究报告》，2021年11月23日取得阿坝县发展和改革局出具《原则同意》批复（阿县发改行审〔2021〕185号），并附审批部门招投标核准意见。经符合规定的招投标程序后确定设计单位及施工单位，由</w:t>
      </w:r>
      <w:r>
        <w:rPr>
          <w:rFonts w:hint="eastAsia" w:ascii="仿宋" w:hAnsi="仿宋" w:eastAsia="仿宋" w:cs="仿宋"/>
          <w:sz w:val="30"/>
          <w:szCs w:val="30"/>
          <w:highlight w:val="none"/>
          <w:lang w:val="en-US" w:eastAsia="zh-CN"/>
        </w:rPr>
        <w:t>中建卓越建设管理有限公司</w:t>
      </w:r>
      <w:r>
        <w:rPr>
          <w:rFonts w:hint="eastAsia" w:ascii="仿宋" w:hAnsi="仿宋" w:eastAsia="仿宋" w:cs="仿宋"/>
          <w:b w:val="0"/>
          <w:bCs w:val="0"/>
          <w:sz w:val="30"/>
          <w:szCs w:val="30"/>
          <w:highlight w:val="none"/>
          <w:lang w:val="en-US" w:eastAsia="zh-CN"/>
        </w:rPr>
        <w:t>任监理单位，</w:t>
      </w:r>
      <w:r>
        <w:rPr>
          <w:rFonts w:hint="eastAsia" w:ascii="仿宋" w:hAnsi="仿宋" w:eastAsia="仿宋" w:cs="仿宋"/>
          <w:sz w:val="30"/>
          <w:szCs w:val="30"/>
          <w:highlight w:val="none"/>
          <w:lang w:val="en-US" w:eastAsia="zh-CN"/>
        </w:rPr>
        <w:t>甘孜州建兴建筑工程有限公司任施工单位，</w:t>
      </w:r>
      <w:r>
        <w:rPr>
          <w:rFonts w:hint="eastAsia" w:ascii="仿宋" w:hAnsi="仿宋" w:eastAsia="仿宋" w:cs="仿宋"/>
          <w:b w:val="0"/>
          <w:bCs w:val="0"/>
          <w:sz w:val="30"/>
          <w:szCs w:val="30"/>
          <w:highlight w:val="none"/>
          <w:lang w:val="en-US" w:eastAsia="zh-CN"/>
        </w:rPr>
        <w:t>项目已于2022年10月15日完工验收，出具完工验收鉴定书。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阿坝县科学技术和农业畜牧水务局，系阿坝县人民政府的职能部门，其主要职能之一为：负责管理全县水资源（含地表水、地下水）。组织制定全县水资源总体规划、流域规划和专业规划。负责全县水利基本建设项目前期工作；负责组织全县水利基本建设，对水利基本建设工程实施行业的监督管理；组织管理具有控制性的水利工程，组织负责水库、大坝的安全监管；农村水利工程管理；指导编制水</w:t>
      </w:r>
      <w:bookmarkStart w:id="42" w:name="_GoBack"/>
      <w:bookmarkEnd w:id="42"/>
      <w:r>
        <w:rPr>
          <w:rFonts w:hint="default" w:ascii="仿宋" w:hAnsi="仿宋" w:eastAsia="仿宋" w:cs="仿宋"/>
          <w:b w:val="0"/>
          <w:bCs w:val="0"/>
          <w:sz w:val="30"/>
          <w:szCs w:val="30"/>
          <w:lang w:val="en-US" w:eastAsia="zh-CN"/>
        </w:rPr>
        <w:t>土保持规划并监督实施。负责水土流失的预防监督和综合防治。</w:t>
      </w:r>
      <w:r>
        <w:rPr>
          <w:rFonts w:hint="eastAsia" w:ascii="仿宋" w:hAnsi="仿宋" w:eastAsia="仿宋" w:cs="仿宋"/>
          <w:sz w:val="30"/>
          <w:szCs w:val="30"/>
          <w:highlight w:val="none"/>
        </w:rPr>
        <w:t>阿坝县科学技术和农业畜牧水务局</w:t>
      </w:r>
      <w:r>
        <w:rPr>
          <w:rFonts w:hint="eastAsia" w:ascii="仿宋" w:hAnsi="仿宋" w:eastAsia="仿宋" w:cs="仿宋"/>
          <w:sz w:val="30"/>
          <w:szCs w:val="30"/>
          <w:lang w:val="en-US" w:eastAsia="zh-CN"/>
        </w:rPr>
        <w:t>作为项目实施单位和主管部门，在国家、省、州的相关规划和政策指引下，实施本项目，为其履行职能，完成国家、省、州的相关任务和规划的具体举措。</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项目主要参建单位：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施工单位：</w:t>
      </w:r>
      <w:r>
        <w:rPr>
          <w:rFonts w:hint="eastAsia" w:ascii="仿宋" w:hAnsi="仿宋" w:eastAsia="仿宋" w:cs="仿宋"/>
          <w:sz w:val="30"/>
          <w:szCs w:val="30"/>
          <w:highlight w:val="none"/>
          <w:lang w:val="en-US" w:eastAsia="zh-CN"/>
        </w:rPr>
        <w:t>甘孜州建兴建筑工程有限公司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监理单位：</w:t>
      </w:r>
      <w:r>
        <w:rPr>
          <w:rFonts w:hint="eastAsia" w:ascii="仿宋" w:hAnsi="仿宋" w:eastAsia="仿宋" w:cs="仿宋"/>
          <w:sz w:val="30"/>
          <w:szCs w:val="30"/>
          <w:highlight w:val="none"/>
          <w:lang w:val="en-US" w:eastAsia="zh-CN"/>
        </w:rPr>
        <w:t>中建卓越建设管理有限公司</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本项目施工单位及监理单位均为合法存立的具有参与本项目建设的单位，均具有相关资质条件，且参与本项目均通过符合招投标相关流程。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科学技术和农业畜牧水务局，由阿坝县科学技术和农业畜牧水务局牵头开展项目的建设实施。为推进治理区域水土流失综合治理工程的建设，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按照国务院颁发的《河道管理条例》和四川省《河道管理实施办法》及国家防总要求， 堤防工程实行按流域水系和行政区划分级管理相结合，河道管理和堤防管理相结合的管理体制。根据工程堤防线路长，管理难度大的特点，设立堤防工程管理机构，隶属阿坝县科学技术和农业畜牧水务局领导。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该工程洪水标准为重现期 10 年一遇，堤防级别为 5 级。按照国务院颁发的《河道管理条例》和四川省颁发的《河道管理实施办法》，由阿坝县科学技术和农业畜牧水务局负责统一建设管理，由求吉玛乡政府实施运行期河道管理。阿坝县求吉玛乡河道治理工程及河道管理人员编制，本着“精简高效”的原则，按照现有实际情况，尽量减少机构和非生产人员。堤防工程管理所属新建机构，根据河道堤防管理编制定员标准，结合本工程的特点，应配备管理人员1人，其中防汛办公室兼职1人。河段地处求吉玛乡，为确保堤防安全，汛期需临时增聘管理人员1名，以负责河段的巡视管理工作。由于防洪是公益事业，受益者应承担义务，因此受益区的单位和居民应选派护堤员担负维修养护和护堤任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根据与阿坝县财政局、阿坝县科学技术和农业畜牧水务局咨询，当前项目单位未针对本项目制定相关的项目管理制度。本项目沿用阿坝县类似项目管理制度执行。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w:t>
      </w:r>
      <w:bookmarkEnd w:id="14"/>
      <w:r>
        <w:rPr>
          <w:rFonts w:hint="eastAsia" w:ascii="仿宋" w:hAnsi="仿宋" w:eastAsia="仿宋" w:cs="仿宋"/>
          <w:b w:val="0"/>
          <w:bCs w:val="0"/>
          <w:sz w:val="30"/>
          <w:szCs w:val="30"/>
          <w:lang w:val="en-US" w:eastAsia="zh-CN"/>
        </w:rPr>
        <w:t>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阿坝县科学技术和农业畜牧水务局暂未针对阿坝县求吉玛乡河道治理工程制定财务管理制度，本项目财务制度沿用一般性工程项目的财务管理制度及政府部门相关财务管理制度。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27212"/>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科学技术和农业畜牧水务局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效益指标包含经济效益指标、生态效益指标、可持续影响指标、服务对象满意度指标五类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本项目受资金下达时间及施工单位进场时间和施工人员安排情况影响，于项目事中绩效监控时修订完善项目部分指标，</w:t>
      </w:r>
      <w:r>
        <w:rPr>
          <w:rFonts w:hint="eastAsia" w:ascii="仿宋" w:hAnsi="仿宋" w:eastAsia="仿宋" w:cs="仿宋"/>
          <w:smallCaps w:val="0"/>
          <w:kern w:val="2"/>
          <w:sz w:val="30"/>
          <w:szCs w:val="30"/>
          <w:lang w:val="en-US" w:eastAsia="zh-CN" w:bidi="ar-SA"/>
        </w:rPr>
        <w:t>修订内容涉及时效指标，</w:t>
      </w:r>
      <w:r>
        <w:rPr>
          <w:rFonts w:hint="eastAsia" w:ascii="仿宋" w:hAnsi="仿宋" w:eastAsia="仿宋" w:cs="仿宋"/>
          <w:b w:val="0"/>
          <w:bCs w:val="0"/>
          <w:sz w:val="30"/>
          <w:szCs w:val="30"/>
          <w:lang w:val="en-US" w:eastAsia="zh-CN"/>
        </w:rPr>
        <w:t>本项目具体绩效目标表如下：</w:t>
      </w:r>
    </w:p>
    <w:bookmarkEnd w:id="16"/>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26"/>
        <w:gridCol w:w="638"/>
        <w:gridCol w:w="1235"/>
        <w:gridCol w:w="4344"/>
        <w:gridCol w:w="1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0" w:type="auto"/>
            <w:gridSpan w:val="5"/>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填报单位（盖章）</w:t>
            </w:r>
          </w:p>
        </w:tc>
        <w:tc>
          <w:tcPr>
            <w:tcW w:w="0" w:type="auto"/>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项目名称</w:t>
            </w:r>
          </w:p>
        </w:tc>
        <w:tc>
          <w:tcPr>
            <w:tcW w:w="0" w:type="auto"/>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阿坝县求吉玛乡河道治理工程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1"/>
                <w:szCs w:val="21"/>
                <w:u w:val="none"/>
                <w:lang w:val="en-US" w:eastAsia="zh-CN" w:bidi="ar"/>
              </w:rPr>
            </w:pPr>
            <w:r>
              <w:rPr>
                <w:rFonts w:hint="eastAsia" w:ascii="黑体" w:hAnsi="宋体" w:eastAsia="黑体" w:cs="黑体"/>
                <w:i w:val="0"/>
                <w:iCs w:val="0"/>
                <w:color w:val="000000"/>
                <w:kern w:val="0"/>
                <w:sz w:val="21"/>
                <w:szCs w:val="21"/>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1"/>
                <w:szCs w:val="21"/>
                <w:u w:val="none"/>
                <w:lang w:val="en-US" w:eastAsia="zh-CN" w:bidi="ar"/>
              </w:rPr>
            </w:pPr>
            <w:r>
              <w:rPr>
                <w:rFonts w:hint="eastAsia" w:ascii="黑体" w:hAnsi="宋体" w:eastAsia="黑体" w:cs="黑体"/>
                <w:i w:val="0"/>
                <w:iCs w:val="0"/>
                <w:color w:val="000000"/>
                <w:kern w:val="0"/>
                <w:sz w:val="21"/>
                <w:szCs w:val="21"/>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1"/>
                <w:szCs w:val="21"/>
                <w:u w:val="none"/>
                <w:lang w:val="en-US" w:eastAsia="zh-CN" w:bidi="ar"/>
              </w:rPr>
            </w:pPr>
            <w:r>
              <w:rPr>
                <w:rFonts w:hint="eastAsia" w:ascii="黑体" w:hAnsi="宋体" w:eastAsia="黑体" w:cs="黑体"/>
                <w:i w:val="0"/>
                <w:iCs w:val="0"/>
                <w:color w:val="000000"/>
                <w:kern w:val="0"/>
                <w:sz w:val="21"/>
                <w:szCs w:val="21"/>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1"/>
                <w:szCs w:val="21"/>
                <w:u w:val="none"/>
                <w:lang w:val="en-US" w:eastAsia="zh-CN" w:bidi="ar"/>
              </w:rPr>
            </w:pPr>
            <w:r>
              <w:rPr>
                <w:rFonts w:hint="eastAsia" w:ascii="黑体" w:hAnsi="宋体" w:eastAsia="黑体" w:cs="黑体"/>
                <w:b/>
                <w:bCs/>
                <w:i w:val="0"/>
                <w:iCs w:val="0"/>
                <w:color w:val="000000"/>
                <w:kern w:val="0"/>
                <w:sz w:val="21"/>
                <w:szCs w:val="21"/>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1"/>
                <w:szCs w:val="21"/>
                <w:u w:val="none"/>
              </w:rPr>
            </w:pPr>
            <w:r>
              <w:rPr>
                <w:rFonts w:hint="eastAsia" w:ascii="黑体" w:hAnsi="宋体" w:eastAsia="黑体" w:cs="黑体"/>
                <w:b/>
                <w:bCs/>
                <w:i w:val="0"/>
                <w:iCs w:val="0"/>
                <w:color w:val="000000"/>
                <w:kern w:val="0"/>
                <w:sz w:val="21"/>
                <w:szCs w:val="21"/>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u w:val="none"/>
              </w:rPr>
            </w:pPr>
            <w:r>
              <w:rPr>
                <w:rFonts w:hint="eastAsia" w:ascii="黑体" w:hAnsi="宋体" w:eastAsia="黑体" w:cs="黑体"/>
                <w:b/>
                <w:bCs/>
                <w:i w:val="0"/>
                <w:iCs w:val="0"/>
                <w:color w:val="000000"/>
                <w:kern w:val="0"/>
                <w:sz w:val="21"/>
                <w:szCs w:val="21"/>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u w:val="none"/>
              </w:rPr>
            </w:pPr>
            <w:r>
              <w:rPr>
                <w:rFonts w:hint="eastAsia" w:ascii="黑体" w:hAnsi="宋体" w:eastAsia="黑体" w:cs="黑体"/>
                <w:b/>
                <w:bCs/>
                <w:i w:val="0"/>
                <w:iCs w:val="0"/>
                <w:color w:val="000000"/>
                <w:kern w:val="0"/>
                <w:sz w:val="21"/>
                <w:szCs w:val="21"/>
                <w:u w:val="none"/>
                <w:lang w:val="en-US" w:eastAsia="zh-CN" w:bidi="ar"/>
              </w:rPr>
              <w:t>三级指标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u w:val="none"/>
              </w:rPr>
            </w:pPr>
            <w:r>
              <w:rPr>
                <w:rFonts w:hint="eastAsia" w:ascii="黑体" w:hAnsi="宋体" w:eastAsia="黑体" w:cs="黑体"/>
                <w:b/>
                <w:bCs/>
                <w:i w:val="0"/>
                <w:iCs w:val="0"/>
                <w:color w:val="000000"/>
                <w:kern w:val="0"/>
                <w:sz w:val="21"/>
                <w:szCs w:val="21"/>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指标1：综合治理河流长度</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指标2：新建堤防长度</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1099.38米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指标3：拆除重建堤防长度</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267.67米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指标4：新建护岸长度</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1848.38米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指标5：新建下河梯步</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指标6：河道疏浚长度</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4.036千米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指标7：新建排水涵管</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指标1：项目竣工验收达标率</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指标2：项目设计方案变更率</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时效指标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指标1：按时取得项目开工许可证</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2022年4月28日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指标2：工程按时开工</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2022年4月29日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指标3：工程按时竣工验收</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2022年10月30日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指标1：项目建设总投资成本</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≤2399.49万元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指标1：2020年黄河流域生态保护和高质量发展</w:t>
            </w:r>
          </w:p>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专项奖补资金</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2399.49万元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指标1：减少救灾支出</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指标2：提升牧民收入</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指标1：服务社会当地群众</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指标2：改善人居环境</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生态效益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指标1：减少自然灾害</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指标2：降低水土流失率</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可持续影响</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0"/>
                <w:szCs w:val="20"/>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指标1：持续服务本地群众期限</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指标1：区域辐射人群满意度</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指标2：区域监管部门满意度</w:t>
            </w: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17156"/>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29329"/>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神，对阿坝县科学技术和农业畜牧水务局开展的阿坝县求吉玛乡河道治理工程进行事后绩效评价，从财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阿坝县科学技术和农业畜牧水务局开展的阿坝县求吉玛乡河道治理工程，评价本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阿坝县求吉玛乡河道治理工程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22463"/>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lang w:val="en-US" w:eastAsia="zh-CN"/>
        </w:rPr>
        <w:t>阿坝县求吉玛乡河道治理工程</w:t>
      </w:r>
      <w:r>
        <w:rPr>
          <w:rFonts w:hint="eastAsia" w:ascii="仿宋" w:hAnsi="仿宋" w:eastAsia="仿宋" w:cs="仿宋"/>
          <w:b w:val="0"/>
          <w:bCs w:val="0"/>
          <w:sz w:val="30"/>
          <w:szCs w:val="30"/>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10723"/>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22234"/>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11392"/>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价得分17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2016年12月编制审批通过了《四川省水土保持规划（2015—2030年）》，近期目标：到2020年，基本建成与国民经济发展相适应的水土流失综合防治体系，人为水土流失得到有效控制，生态环境得以持续改善，水土保持生态文明建设取得显著成效。完成新增水土流失综合治理面积26900 km²，新增水土流失综合治理率达到22.22%， 治理区植被覆盖率提高5.05%。远期目标：到2030年，全面建成与我省经济社会发展相适应的水土流失综合防治体系，生态环境步入良性循环。建设完善的水土流失监测网络和信息系统，健全水土保持法律、法规体系和监督管理体系，生产建设项目“三同时”制度得到全面落实，生产建设活动导致的人为水土流失得到全面控制。完成新增水土流失综合治理面积78200km²，新增水土流失综合治理率达到64.61%， 治理区植被覆盖率提高15.16%。</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十四五”生态环境保护规划》指出保护草原生态系统。以遏制草原退化、实现草畜平衡、提升草地生态功能为重点，开展草原生态保护建设。严格保护长江、黄河天然草原，以甘孜、阿坝为重点区域，对严重退化、沙化草原实行禁牧封育。</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藏族羌族自治州阿坝县水土保持规划（2015-2030）》2016年12月编制审批通过了《阿坝藏族羌族自治州阿坝县水土保持规划（2015-2030）》，总体目标：到2030年，建成与阿坝县社会经济可持续发展相适应的水土流失综合防治体系，生态环境步入良性循环，实现水土保持生态文明。区域水土流失治理率实现总面积的65%，人为水土流失得到控制。林草植被得到保护和恢复，覆盖状况得到明显改善，覆盖面积有相当程度的增加。水土保持监测网络完全覆盖，水土保持设施运行维护到位，科技创新支撑能力不断提高。近期目标：到2020年，基本建成与本地区社会经济发展相适应的水土流失综合防治体系，生态环境持续改善，重点治理地区生态趋向好转。区域水土流失治理率实现总面积的10%，人为水土流失得到基本控制。</w:t>
      </w:r>
    </w:p>
    <w:p>
      <w:pPr>
        <w:pStyle w:val="2"/>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科学技术和农业畜牧水务局水务服务中心先内部讨论决议设立该项目，经过主管部门和阿坝县财政局、阿坝县发展和改革局审核，最终项目立项，审批文件、材料符合阿坝县财政局相关要求。</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（1）绩效目标合理性，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本指标考察项目所设定的绩效目标是否依据充分，是否符合客观实际，用以反映和考核项目绩</w:t>
      </w:r>
      <w:r>
        <w:rPr>
          <w:rFonts w:hint="eastAsia" w:ascii="仿宋" w:hAnsi="仿宋" w:eastAsia="仿宋" w:cs="仿宋"/>
          <w:b w:val="0"/>
          <w:bCs w:val="0"/>
          <w:sz w:val="30"/>
          <w:szCs w:val="30"/>
          <w:lang w:val="en-US" w:eastAsia="zh-CN"/>
        </w:rPr>
        <w:t xml:space="preserve">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w:t>
      </w:r>
      <w:r>
        <w:rPr>
          <w:rFonts w:ascii="仿宋" w:hAnsi="仿宋" w:eastAsia="仿宋" w:cs="仿宋"/>
          <w:sz w:val="30"/>
          <w:szCs w:val="30"/>
        </w:rPr>
        <w:t>结合项目情况</w:t>
      </w:r>
      <w:r>
        <w:rPr>
          <w:rFonts w:hint="eastAsia" w:ascii="仿宋" w:hAnsi="仿宋" w:eastAsia="仿宋" w:cs="仿宋"/>
          <w:sz w:val="30"/>
          <w:szCs w:val="30"/>
        </w:rPr>
        <w:t>根据项目建设内容、项目预期产出、项目实施计划、资金筹措、项目服务对象、项目效益等方面的具体情况，</w:t>
      </w:r>
      <w:r>
        <w:rPr>
          <w:rFonts w:hint="eastAsia" w:ascii="仿宋" w:hAnsi="仿宋" w:eastAsia="仿宋" w:cs="仿宋"/>
          <w:sz w:val="30"/>
          <w:szCs w:val="30"/>
          <w:lang w:eastAsia="zh-CN"/>
        </w:rPr>
        <w:t>设置</w:t>
      </w:r>
      <w:r>
        <w:rPr>
          <w:rFonts w:hint="eastAsia" w:ascii="仿宋" w:hAnsi="仿宋" w:eastAsia="仿宋" w:cs="仿宋"/>
          <w:sz w:val="30"/>
          <w:szCs w:val="30"/>
        </w:rPr>
        <w:t>了三级绩效目标申报表</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产出</w:t>
      </w:r>
      <w:r>
        <w:rPr>
          <w:rFonts w:hint="eastAsia" w:ascii="仿宋" w:hAnsi="仿宋" w:eastAsia="仿宋" w:cs="仿宋"/>
          <w:sz w:val="30"/>
          <w:szCs w:val="30"/>
          <w:lang w:eastAsia="zh-CN"/>
        </w:rPr>
        <w:t>指标中数量、质量、时效指标根据该项目具体工作内容展开。</w:t>
      </w:r>
      <w:r>
        <w:rPr>
          <w:rFonts w:hint="eastAsia" w:ascii="仿宋" w:hAnsi="仿宋" w:eastAsia="仿宋" w:cs="仿宋"/>
          <w:sz w:val="30"/>
          <w:szCs w:val="30"/>
          <w:lang w:val="en-US" w:eastAsia="zh-CN"/>
        </w:rPr>
        <w:t>效益指标根据本项目所实际带来的效益而设定，三级绩效指标大部分与项目实际产出相关，绩效目标与预算确定的项目投资额或资金量相匹配，但本项目时效指标与实际开工时间有延后，未合理预估资金下达时间。绩效目标的设置不够合理。</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时效指标、成本指标、预算执行指标五类二级指标；效益指标包含经济效益指标、生态效益指标、可持续影响指标、服务对象满意度指标五类指标；一二级指标下根据项目实际情况设置三级细化指标。本项目绩效目标值设置明确具体，能够量化，可以衡量项目建设所取得的效果，与项目具体建设内容或计划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但是本项目的效益指标中多个指标的指标值设置为“达成预期目标”如经济效益指标中指标1减少救灾支出，指标值为达成预期目标；指标2提升牧民收入，指标值为达成预期目标。绩效目标和指标值设置不够明确，生态效益指标等指标后续考核难以量化。</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3、资金投入</w:t>
      </w:r>
      <w:r>
        <w:rPr>
          <w:rFonts w:hint="eastAsia" w:ascii="仿宋" w:hAnsi="仿宋" w:eastAsia="仿宋" w:cs="仿宋"/>
          <w:b/>
          <w:bCs/>
          <w:sz w:val="30"/>
          <w:szCs w:val="30"/>
          <w:highlight w:val="none"/>
          <w:lang w:val="en-US" w:eastAsia="zh-CN"/>
        </w:rPr>
        <w:t>，权重6分，得分6分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（1）预算编制科学性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本指标考察项目预算编制是否经过科学论证、有明确标准，资金额度与年度目标是否相适应，用以反映和考核项目预算编制的科学性、合理性情况。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本项目预算编制经过科学论证，预算依据为国家相关规定及项目地实际情况。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项目</w:t>
      </w:r>
      <w:r>
        <w:rPr>
          <w:rFonts w:hint="eastAsia" w:ascii="仿宋" w:hAnsi="仿宋" w:eastAsia="仿宋" w:cs="仿宋"/>
          <w:b w:val="0"/>
          <w:bCs w:val="0"/>
          <w:sz w:val="30"/>
          <w:szCs w:val="30"/>
          <w:lang w:val="en-US" w:eastAsia="zh-CN"/>
        </w:rPr>
        <w:t>预计</w:t>
      </w:r>
      <w:r>
        <w:rPr>
          <w:rFonts w:hint="default" w:ascii="仿宋" w:hAnsi="仿宋" w:eastAsia="仿宋" w:cs="仿宋"/>
          <w:b w:val="0"/>
          <w:bCs w:val="0"/>
          <w:sz w:val="30"/>
          <w:szCs w:val="30"/>
          <w:lang w:val="en-US" w:eastAsia="zh-CN"/>
        </w:rPr>
        <w:t>资金总额为</w:t>
      </w:r>
      <w:r>
        <w:rPr>
          <w:rFonts w:hint="eastAsia" w:ascii="仿宋" w:hAnsi="仿宋" w:eastAsia="仿宋" w:cs="仿宋"/>
          <w:b w:val="0"/>
          <w:bCs w:val="0"/>
          <w:sz w:val="30"/>
          <w:szCs w:val="30"/>
          <w:lang w:val="en-US" w:eastAsia="zh-CN"/>
        </w:rPr>
        <w:t>2399.49万元</w:t>
      </w:r>
      <w:r>
        <w:rPr>
          <w:rFonts w:hint="default" w:ascii="仿宋" w:hAnsi="仿宋" w:eastAsia="仿宋" w:cs="仿宋"/>
          <w:b w:val="0"/>
          <w:bCs w:val="0"/>
          <w:sz w:val="30"/>
          <w:szCs w:val="30"/>
          <w:lang w:val="en-US" w:eastAsia="zh-CN"/>
        </w:rPr>
        <w:t>，资金来源为</w:t>
      </w:r>
      <w:r>
        <w:rPr>
          <w:rFonts w:hint="eastAsia" w:ascii="仿宋" w:hAnsi="仿宋" w:eastAsia="仿宋" w:cs="仿宋"/>
          <w:b w:val="0"/>
          <w:bCs w:val="0"/>
          <w:sz w:val="30"/>
          <w:szCs w:val="30"/>
          <w:lang w:val="en-US" w:eastAsia="zh-CN"/>
        </w:rPr>
        <w:t>2020年黄河流域生态保护和高质量发展专项奖补资金。本项目立项预估资金总额为2399.49万元，资金来源为2020年黄河流域生态保护和高质量发展专项奖补资金。根据阿坝州财政局、阿坝州水务局文件《阿州财预（2021）36号》，下达资金2371.4万元，已下达该项目预算为19,431,519.81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安工程、金属结构设备及安装工程、施工临时工程、独立费用、预备费等，均按相关规定进行分配，资金实际用于本项目基础设施建设、临时工程及设施设备采购等，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479"/>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得分16.17分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权重12分，得分10.67分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本项目立项预估资金总额为2399.49万元，资金来源为2020年黄河流域生态保护和高质量发展专项奖补资金。根据阿坝州财政局、阿坝州水务局文件《阿州财预（2021）36号》，下达本项目资金2371.4万元，已下达该项目预算为19,431,519.81元</w:t>
      </w:r>
      <w:r>
        <w:rPr>
          <w:rFonts w:hint="eastAsia" w:ascii="仿宋" w:hAnsi="仿宋" w:eastAsia="仿宋" w:cs="仿宋"/>
          <w:sz w:val="30"/>
          <w:szCs w:val="30"/>
          <w:lang w:val="en-US" w:eastAsia="zh-CN"/>
        </w:rPr>
        <w:t>。资金已全部到位，</w:t>
      </w:r>
      <w:r>
        <w:rPr>
          <w:rFonts w:hint="eastAsia" w:ascii="仿宋" w:hAnsi="仿宋" w:eastAsia="仿宋" w:cs="仿宋"/>
          <w:color w:val="auto"/>
          <w:sz w:val="30"/>
          <w:szCs w:val="30"/>
          <w:highlight w:val="none"/>
          <w:lang w:val="en-US" w:eastAsia="zh-CN"/>
        </w:rPr>
        <w:t>资金到位率=（到位资金/预算资金）*100%。项目资金到位率为100%。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，权重4分，得分3.67分。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根据本项目实际情况，截至绩效评价日2023年10月15日，本项目已支付17,837,679.81元，其中2022年支付17,368,879.81元，2023年支付468,800.00元。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为91.79%。</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经查阅本项目财务资料，存在项目记账凭证均未见会计机构负责人签名或盖章，记账凭证编制不规范。</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阿坝县</w:t>
      </w:r>
      <w:r>
        <w:rPr>
          <w:rFonts w:hint="eastAsia" w:ascii="仿宋" w:hAnsi="仿宋" w:eastAsia="仿宋" w:cs="仿宋"/>
          <w:sz w:val="30"/>
          <w:szCs w:val="30"/>
          <w:highlight w:val="none"/>
          <w:lang w:val="en-US" w:eastAsia="zh-CN"/>
        </w:rPr>
        <w:t>科学技术和农业畜牧水务局</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（2）采购、合同、档案管理制度执行有效性，权重4分，得分3.5分。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项目合同书、验收报告、技术鉴定等资料齐全，并已及时归档，项目实施的人员</w:t>
      </w:r>
      <w:r>
        <w:rPr>
          <w:rFonts w:hint="eastAsia" w:ascii="仿宋" w:hAnsi="仿宋" w:eastAsia="仿宋" w:cs="仿宋"/>
          <w:b w:val="0"/>
          <w:bCs w:val="0"/>
          <w:sz w:val="30"/>
          <w:szCs w:val="30"/>
          <w:lang w:val="en-US" w:eastAsia="zh-CN"/>
        </w:rPr>
        <w:t>条件 、场地设备、信息支撑等已按时落实到位。本项目服务活动的采购方式、政府采购流程合法合规。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监理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经查阅相关资料，项目施工合同无业主单位加盖单位公章和签字，记账凭证2022年6月9日的记-33号凭证附件中的施工合同盖章页内无阿坝县科学技术和农业畜牧水务局的单位公章的签名问题，仅有甘孜州建兴建筑工程有限公司的公章和签名及双方签订日期。</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rPr>
        <w:t>阿坝县</w:t>
      </w:r>
      <w:r>
        <w:rPr>
          <w:rFonts w:hint="eastAsia" w:ascii="仿宋" w:hAnsi="仿宋" w:eastAsia="仿宋" w:cs="仿宋"/>
          <w:sz w:val="30"/>
          <w:szCs w:val="30"/>
          <w:lang w:val="en-US" w:eastAsia="zh-CN"/>
        </w:rPr>
        <w:t>科学技术和农业畜牧水务局财务股负责归档保存，包括文书档案归档、财会档案归档、基础建设文件资料归档、项目采购资料归档、档案保管期限、档案查阅和利用、档案保密、档案销毁等项目合同书、验收报告、技术鉴定等资料齐全并及时归档。但项目原始凭证资料多处存在原始凭证为复印件问题，如金额为4165419元、金额为659400元、金额为145000元、金额为372400元、金额为2498842元等在内的多处资金拨付审批表均为复印件，不符合相关规定。</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31485"/>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本指标主要考察项目实施的实际产出数与计划产出数的比率，用以反映和考核项目产出数量目标的实现程度。项目产出指标权重40%，实际评价得分39分。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（1）综合治理河流长度，权重2分，得分2分。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项目绩效目标申报表的产出指标中综合治理河流长度指标值为7千米，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，本项目已综合治理河流长度7千米，综合治理河流长度完成率为100%。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（2）新建堤防完成率，权重2分，得分2分。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项目绩效目标申报表的产出指标中新建堤防指标值为1099.38米，</w:t>
      </w:r>
      <w:r>
        <w:rPr>
          <w:rFonts w:hint="default" w:ascii="仿宋" w:hAnsi="仿宋" w:eastAsia="仿宋" w:cs="仿宋"/>
          <w:b w:val="0"/>
          <w:bCs w:val="0"/>
          <w:sz w:val="30"/>
          <w:szCs w:val="30"/>
          <w:highlight w:val="none"/>
          <w:lang w:val="en-US" w:eastAsia="zh-CN"/>
        </w:rPr>
        <w:t>根据施工单位提交的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，本项目已完成新建堤防1099.38米，综合治理河道完成率为100%。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（3）拆除重建堤防长度，权重2分，得分2分。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项目绩效目标申报表的产出指标中拆除重建堤防长度指标值为267.67米，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，本项目拆除重建堤防长度267.67米。拆除重建堤防长度完成率为83%。</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（4）新建护岸长度，权重2分，得分2分。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项目绩效目标申报表的产出指标中新建护岸长度指标值为10处，</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，本项目共新建护岸长度，布设排水涵管完成率为100%。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（5）新建下河梯步，权重2分，得分2分。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项目绩效目标申报表的产出指标中新建下河梯步指标值为6处，</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，本项目共进行新建下河梯6处，主要原因为河道疏浚完成率为100%。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（6）河道疏浚长度，权重2分，得分2分。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项目绩效目标申报表的产出指标中河道疏浚长度指标值为4.036千米，</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，本项目共进行河道疏浚长度4.036千米，河道疏浚完成率为100%。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（7）新建排水涵管，权重2分，得分2分。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项目绩效目标申报表的产出指标中新建排水涵管指标值为9处，</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、监理单位出具的监理报告等文件以及与相关负责人的访谈工作</w:t>
      </w:r>
      <w:r>
        <w:rPr>
          <w:rFonts w:hint="eastAsia" w:ascii="仿宋" w:hAnsi="仿宋" w:eastAsia="仿宋" w:cs="仿宋"/>
          <w:b w:val="0"/>
          <w:bCs w:val="0"/>
          <w:sz w:val="30"/>
          <w:szCs w:val="30"/>
          <w:highlight w:val="none"/>
          <w:lang w:val="en-US" w:eastAsia="zh-CN"/>
        </w:rPr>
        <w:t>，本项目共进行新建排水涵管9处，新建排水涵管完成率为100%。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（1）项目竣工验收达标率，权重5分，得分5分。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项目绩效目标申报表的质量指标中项目竣工验收达标率指标值为≥95%，依据项目单位</w:t>
      </w:r>
      <w:r>
        <w:rPr>
          <w:rFonts w:hint="eastAsia" w:ascii="仿宋" w:hAnsi="仿宋" w:eastAsia="仿宋" w:cs="仿宋"/>
          <w:sz w:val="30"/>
          <w:szCs w:val="30"/>
          <w:lang w:val="en-US" w:eastAsia="zh-CN"/>
        </w:rPr>
        <w:t>针对</w:t>
      </w:r>
      <w:r>
        <w:rPr>
          <w:rFonts w:hint="eastAsia" w:ascii="仿宋" w:hAnsi="仿宋" w:eastAsia="仿宋" w:cs="仿宋"/>
          <w:b w:val="0"/>
          <w:bCs w:val="0"/>
          <w:sz w:val="30"/>
          <w:szCs w:val="30"/>
          <w:highlight w:val="none"/>
          <w:lang w:val="en-US" w:eastAsia="zh-CN"/>
        </w:rPr>
        <w:t>本项目出具的完工验收鉴定书的结论列示：工程质量检查资料和评定资料齐全，施工过程中未发生质量、安全事故，合同工程质量达到合格标准。项目竣工验收达标率≥95%，项目竣工验收达标率完成率为100%。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（2）项目设计方案变更率，权重5分，得分5分。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项目绩效目标申报表的质量指标中项目设计方案变更率指标值为≤5%，项目已按设计文件全部施工完毕。项目设计方案变更率≤5%，项目竣工验收达标率完成率为100%。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b w:val="0"/>
          <w:bCs w:val="0"/>
          <w:sz w:val="30"/>
          <w:szCs w:val="30"/>
          <w:highlight w:val="none"/>
          <w:lang w:val="en-US" w:eastAsia="zh-CN"/>
        </w:rPr>
        <w:t>（1）工程按时开工</w:t>
      </w:r>
      <w:r>
        <w:rPr>
          <w:rFonts w:hint="eastAsia" w:ascii="仿宋" w:hAnsi="仿宋" w:eastAsia="仿宋" w:cs="仿宋"/>
          <w:sz w:val="30"/>
          <w:szCs w:val="30"/>
          <w:lang w:val="en-US" w:eastAsia="zh-CN"/>
        </w:rPr>
        <w:t>，权重5分，得分4分。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项目开竣工时间与项目实施方案不一致。根据本项目实施方案，项目开工时间为2022年4月29日，但项目开工时间实际为2022年6月5日，未合理预估资金下达时间，导致实际开工时间与预期不相符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lang w:val="en-US" w:eastAsia="zh-CN"/>
        </w:rPr>
        <w:t>（2）工程按时竣工验</w:t>
      </w:r>
      <w:r>
        <w:rPr>
          <w:rFonts w:hint="eastAsia" w:ascii="仿宋" w:hAnsi="仿宋" w:eastAsia="仿宋" w:cs="仿宋"/>
          <w:b w:val="0"/>
          <w:bCs w:val="0"/>
          <w:sz w:val="30"/>
          <w:szCs w:val="30"/>
          <w:highlight w:val="none"/>
          <w:lang w:val="en-US" w:eastAsia="zh-CN"/>
        </w:rPr>
        <w:t>收，权重5分，得分5分。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根据项目完工验收鉴定书，本项目已按规定时间完工验收合格。工程按时竣工验</w:t>
      </w:r>
      <w:r>
        <w:rPr>
          <w:rFonts w:hint="eastAsia" w:ascii="仿宋" w:hAnsi="仿宋" w:eastAsia="仿宋" w:cs="仿宋"/>
          <w:b w:val="0"/>
          <w:bCs w:val="0"/>
          <w:sz w:val="30"/>
          <w:szCs w:val="30"/>
          <w:highlight w:val="none"/>
          <w:lang w:val="en-US" w:eastAsia="zh-CN"/>
        </w:rPr>
        <w:t>收时间为2023年10月15日，完成率为100%，未出现偏差现象。</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red"/>
          <w:lang w:val="en-US" w:eastAsia="zh-CN"/>
        </w:rPr>
      </w:pPr>
      <w:r>
        <w:rPr>
          <w:rFonts w:hint="default" w:ascii="仿宋" w:hAnsi="仿宋" w:eastAsia="仿宋" w:cs="仿宋"/>
          <w:b w:val="0"/>
          <w:bCs w:val="0"/>
          <w:sz w:val="30"/>
          <w:szCs w:val="30"/>
          <w:highlight w:val="none"/>
          <w:lang w:val="en-US" w:eastAsia="zh-CN"/>
        </w:rPr>
        <w:t>项目建设总投资成本</w:t>
      </w:r>
      <w:r>
        <w:rPr>
          <w:rFonts w:hint="eastAsia" w:ascii="仿宋" w:hAnsi="仿宋" w:eastAsia="仿宋" w:cs="仿宋"/>
          <w:b w:val="0"/>
          <w:bCs w:val="0"/>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w:t>
      </w:r>
      <w:r>
        <w:rPr>
          <w:rFonts w:hint="default" w:ascii="仿宋" w:hAnsi="仿宋" w:eastAsia="仿宋" w:cs="仿宋"/>
          <w:b w:val="0"/>
          <w:bCs w:val="0"/>
          <w:sz w:val="30"/>
          <w:szCs w:val="30"/>
          <w:highlight w:val="none"/>
          <w:lang w:val="en-US" w:eastAsia="zh-CN"/>
        </w:rPr>
        <w:t>项目建设总投资成本≤</w:t>
      </w:r>
      <w:r>
        <w:rPr>
          <w:rFonts w:hint="eastAsia" w:ascii="仿宋" w:hAnsi="仿宋" w:eastAsia="仿宋" w:cs="仿宋"/>
          <w:b w:val="0"/>
          <w:bCs w:val="0"/>
          <w:sz w:val="30"/>
          <w:szCs w:val="30"/>
          <w:highlight w:val="none"/>
          <w:lang w:val="en-US" w:eastAsia="zh-CN"/>
        </w:rPr>
        <w:t>2399.49万元，截至项目绩效评价日，本项目已支付17,837,679.81元，其中2022年支付17,368,879.81元，2023年支付468,800.00元。</w:t>
      </w:r>
      <w:r>
        <w:rPr>
          <w:rFonts w:hint="default" w:ascii="仿宋" w:hAnsi="仿宋" w:eastAsia="仿宋" w:cs="仿宋"/>
          <w:b w:val="0"/>
          <w:bCs w:val="0"/>
          <w:sz w:val="30"/>
          <w:szCs w:val="30"/>
          <w:highlight w:val="none"/>
          <w:lang w:val="en-US" w:eastAsia="zh-CN"/>
        </w:rPr>
        <w:t>项目建设总投资成本≤</w:t>
      </w:r>
      <w:r>
        <w:rPr>
          <w:rFonts w:hint="eastAsia" w:ascii="仿宋" w:hAnsi="仿宋" w:eastAsia="仿宋" w:cs="仿宋"/>
          <w:b w:val="0"/>
          <w:bCs w:val="0"/>
          <w:sz w:val="30"/>
          <w:szCs w:val="30"/>
          <w:highlight w:val="none"/>
          <w:lang w:val="en-US" w:eastAsia="zh-CN"/>
        </w:rPr>
        <w:t>2399.49万元，完成既定绩效目标。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28512"/>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得分20分。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①减少救灾支出</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根据对项目单位、施工单位相关负责人的访谈，以及通过走访问询当地牧民群众、实地查看的方式进行统计分析，项目建成后当地水土流失减少，牧民草场受洪涝灾害影响大幅度减少，能够减少救灾支出，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②提升牧民收入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本项目施工资料，经评价组查询本项目劳务用工资料，本项目劳务人员许多来自于当地群众，切实提高当地人民群众收入，且本项目减少当地雨季对草场的伤害，将会间接提高牧民收入。经济效益指标中提升牧民收入指标值为达成预期目标，实际已达成预期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①服务社会当地群众</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评价组通过调查</w:t>
      </w:r>
      <w:r>
        <w:rPr>
          <w:rFonts w:hint="eastAsia" w:ascii="仿宋" w:hAnsi="仿宋" w:eastAsia="仿宋" w:cs="仿宋"/>
          <w:b w:val="0"/>
          <w:bCs w:val="0"/>
          <w:sz w:val="30"/>
          <w:szCs w:val="30"/>
          <w:lang w:val="en-US" w:eastAsia="zh-CN"/>
        </w:rPr>
        <w:t>走访，查阅相关资料，当地常住人口及游客等流动人口约5000人，本项目能够为其提供基础服务，故服务社会当地群众≥5000人达成指标。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②改善人居环境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评价组通过调查走访，查阅相关资料，</w:t>
      </w:r>
      <w:r>
        <w:rPr>
          <w:rFonts w:hint="eastAsia" w:ascii="仿宋" w:hAnsi="仿宋" w:eastAsia="仿宋" w:cs="仿宋"/>
          <w:smallCaps w:val="0"/>
          <w:kern w:val="2"/>
          <w:sz w:val="30"/>
          <w:szCs w:val="30"/>
          <w:highlight w:val="none"/>
          <w:lang w:val="en-US" w:eastAsia="zh-CN" w:bidi="ar-SA"/>
        </w:rPr>
        <w:t>阿坝县求吉玛乡河道治理工程周边</w:t>
      </w:r>
      <w:r>
        <w:rPr>
          <w:rFonts w:hint="eastAsia" w:ascii="仿宋" w:hAnsi="仿宋" w:eastAsia="仿宋" w:cs="仿宋"/>
          <w:b w:val="0"/>
          <w:bCs w:val="0"/>
          <w:sz w:val="30"/>
          <w:szCs w:val="30"/>
          <w:lang w:val="en-US" w:eastAsia="zh-CN"/>
        </w:rPr>
        <w:t>地理和气候条件特殊，雨季较长，土质脆弱，极易发生洪涝灾害，本项目建成后能够有效保护群众生命财产安全，改善人居环境，项目已达成预期效益目标。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①减少自然灾害</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通过调查相关设计资料，本项目主要建设内容为新建堤防，堤防建设完成后能够有效提高防洪能力，通过新建防洪堤等工程措施，提高工程河段防洪能力。项目能有效提高防洪能力，已达成预期生态效益目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②降低水土流失率</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w:t>
      </w:r>
      <w:r>
        <w:rPr>
          <w:rFonts w:hint="default" w:ascii="仿宋" w:hAnsi="仿宋" w:eastAsia="仿宋" w:cs="仿宋"/>
          <w:b w:val="0"/>
          <w:bCs w:val="0"/>
          <w:sz w:val="30"/>
          <w:szCs w:val="30"/>
          <w:lang w:val="en-US" w:eastAsia="zh-CN"/>
        </w:rPr>
        <w:t>堤线基本沿原河岸线布置，形成封闭的防洪保护圈</w:t>
      </w:r>
      <w:r>
        <w:rPr>
          <w:rFonts w:hint="eastAsia" w:ascii="仿宋" w:hAnsi="仿宋" w:eastAsia="仿宋" w:cs="仿宋"/>
          <w:b w:val="0"/>
          <w:bCs w:val="0"/>
          <w:sz w:val="30"/>
          <w:szCs w:val="30"/>
          <w:lang w:val="en-US" w:eastAsia="zh-CN"/>
        </w:rPr>
        <w:t>，能够最大程度地避免洪水灾害的威胁，保障行洪安全，减少水土流失指标值为达成预期目标，项目建成后实际已达成预期目标，能够减少水土流失。</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经评价组查阅相关设计资料，查阅本项目完工验收鉴定报告本项目设计寿命为20年，能</w:t>
      </w:r>
      <w:r>
        <w:rPr>
          <w:rFonts w:hint="eastAsia" w:ascii="仿宋" w:hAnsi="仿宋" w:eastAsia="仿宋" w:cs="仿宋"/>
          <w:b w:val="0"/>
          <w:bCs w:val="0"/>
          <w:sz w:val="30"/>
          <w:szCs w:val="30"/>
          <w:lang w:val="en-US" w:eastAsia="zh-CN"/>
        </w:rPr>
        <w:t>够持续影响项目地，绩效目标为持续服务本地群众期限≥20年，预估项目能够持续服务本地群众期限≥20年。</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6</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。问询群众10人，均为非常满意。本项目区域辐射人群满意度指标值为90%，已达成绩效目标值。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，问询两位财政局领导，均为非常满意，认为其达到项目预期目的，区域监管部门满意度指标值为90%，已达成绩效目标值。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6" w:name="_Toc20660"/>
      <w:r>
        <w:rPr>
          <w:rFonts w:hint="eastAsia" w:ascii="黑体" w:hAnsi="黑体" w:eastAsia="黑体" w:cs="黑体"/>
          <w:b w:val="0"/>
          <w:bCs w:val="0"/>
          <w:sz w:val="30"/>
          <w:szCs w:val="30"/>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27" w:name="_Toc6194"/>
      <w:r>
        <w:rPr>
          <w:rFonts w:hint="eastAsia" w:ascii="楷体" w:hAnsi="楷体" w:eastAsia="楷体" w:cs="楷体"/>
          <w:sz w:val="30"/>
          <w:szCs w:val="30"/>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该项目完成情况较好。通过较规范的项目决策、</w:t>
      </w:r>
      <w:r>
        <w:rPr>
          <w:rFonts w:hint="eastAsia" w:ascii="仿宋" w:hAnsi="仿宋" w:eastAsia="仿宋" w:cs="仿宋"/>
          <w:sz w:val="30"/>
          <w:szCs w:val="30"/>
          <w:lang w:val="en-US" w:eastAsia="zh-CN"/>
        </w:rPr>
        <w:t>较好的项目产出和效益</w:t>
      </w:r>
      <w:r>
        <w:rPr>
          <w:rFonts w:hint="default" w:ascii="仿宋" w:hAnsi="仿宋" w:eastAsia="仿宋" w:cs="仿宋"/>
          <w:sz w:val="30"/>
          <w:szCs w:val="30"/>
          <w:lang w:val="en-US" w:eastAsia="zh-CN"/>
        </w:rPr>
        <w:t>，除</w:t>
      </w:r>
      <w:r>
        <w:rPr>
          <w:rFonts w:hint="eastAsia" w:ascii="仿宋" w:hAnsi="仿宋" w:eastAsia="仿宋" w:cs="仿宋"/>
          <w:sz w:val="30"/>
          <w:szCs w:val="30"/>
          <w:lang w:val="en-US" w:eastAsia="zh-CN"/>
        </w:rPr>
        <w:t>项目财务资料编制不规范、合同管理不严谨、未制定相应财务管理制度、业务管理制度、项目时效指标未达到预期、部分绩效目标设置不够明确外</w:t>
      </w:r>
      <w:r>
        <w:rPr>
          <w:rFonts w:hint="default" w:ascii="仿宋" w:hAnsi="仿宋" w:eastAsia="仿宋" w:cs="仿宋"/>
          <w:sz w:val="30"/>
          <w:szCs w:val="30"/>
          <w:lang w:val="en-US" w:eastAsia="zh-CN"/>
        </w:rPr>
        <w:t>，较好地完成了“</w:t>
      </w:r>
      <w:r>
        <w:rPr>
          <w:rFonts w:hint="eastAsia" w:ascii="仿宋" w:hAnsi="仿宋" w:eastAsia="仿宋" w:cs="仿宋"/>
          <w:sz w:val="30"/>
          <w:szCs w:val="30"/>
          <w:lang w:val="en-US" w:eastAsia="zh-CN"/>
        </w:rPr>
        <w:t>阿坝县求吉玛乡河道治理工程</w:t>
      </w:r>
      <w:r>
        <w:rPr>
          <w:rFonts w:hint="default" w:ascii="仿宋" w:hAnsi="仿宋" w:eastAsia="仿宋" w:cs="仿宋"/>
          <w:sz w:val="30"/>
          <w:szCs w:val="30"/>
          <w:lang w:val="en-US" w:eastAsia="zh-CN"/>
        </w:rPr>
        <w:t>”。从验收和调研结果以及满意度调查结果分析，项目基本实现了立项时的绩效目标，项目实施后的社会效益和可持续影响较好。</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19068"/>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lang w:val="en-US" w:eastAsia="zh-CN"/>
        </w:rPr>
      </w:pPr>
      <w:r>
        <w:rPr>
          <w:rFonts w:hint="eastAsia" w:ascii="仿宋" w:hAnsi="仿宋" w:eastAsia="仿宋" w:cs="仿宋"/>
          <w:sz w:val="30"/>
          <w:szCs w:val="30"/>
          <w:lang w:val="en-US" w:eastAsia="zh-CN"/>
        </w:rPr>
        <w:t>评价组</w:t>
      </w:r>
      <w:r>
        <w:rPr>
          <w:rFonts w:hint="eastAsia" w:ascii="仿宋" w:hAnsi="仿宋" w:eastAsia="仿宋" w:cs="仿宋"/>
          <w:color w:val="auto"/>
          <w:sz w:val="30"/>
          <w:szCs w:val="30"/>
          <w:lang w:val="en-US" w:eastAsia="zh-CN"/>
        </w:rPr>
        <w:t>运用针对本项目设计的评价指标体系及评分标准，通过基础数据采集并核实、问卷调查及访谈获取数据，评价组对阿坝县科学技术和农业畜牧水务局开展的阿坝县求吉玛乡河道治理工程项目绩效进行独立客观评价，最终评分得分为92.17</w:t>
      </w:r>
      <w:r>
        <w:rPr>
          <w:rFonts w:hint="eastAsia" w:ascii="仿宋" w:hAnsi="仿宋" w:eastAsia="仿宋" w:cs="仿宋"/>
          <w:sz w:val="30"/>
          <w:szCs w:val="30"/>
          <w:lang w:val="en-US" w:eastAsia="zh-CN"/>
        </w:rPr>
        <w:t>分，评价等级属于“优”。具体得分情况如下表所示：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default" w:ascii="仿宋" w:hAnsi="仿宋" w:eastAsia="仿宋" w:cs="仿宋"/>
          <w:sz w:val="30"/>
          <w:szCs w:val="30"/>
          <w:lang w:val="en-US" w:eastAsia="zh-CN"/>
        </w:rPr>
      </w:pPr>
      <w:r>
        <w:rPr>
          <w:rFonts w:hint="eastAsia" w:ascii="仿宋" w:hAnsi="仿宋" w:eastAsia="仿宋" w:cs="仿宋"/>
          <w:b/>
          <w:bCs/>
          <w:sz w:val="30"/>
          <w:szCs w:val="30"/>
          <w:lang w:val="en-US" w:eastAsia="zh-CN"/>
        </w:rPr>
        <w:t>项目支出绩效评价总得分表</w:t>
      </w:r>
    </w:p>
    <w:tbl>
      <w:tblPr>
        <w:tblStyle w:val="9"/>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16"/>
        <w:gridCol w:w="1449"/>
        <w:gridCol w:w="1603"/>
        <w:gridCol w:w="2211"/>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jc w:val="center"/>
        </w:trPr>
        <w:tc>
          <w:tcPr>
            <w:tcW w:w="1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both"/>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一级指标（权重）</w:t>
            </w: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得分</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得分率</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二级指标（权重）</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决策（20）</w:t>
            </w:r>
          </w:p>
        </w:tc>
        <w:tc>
          <w:tcPr>
            <w:tcW w:w="8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9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85.00%</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项目立项（6）</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绩效目标（8）</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资金投入（6）</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过程（20）</w:t>
            </w:r>
          </w:p>
        </w:tc>
        <w:tc>
          <w:tcPr>
            <w:tcW w:w="8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16.17</w:t>
            </w:r>
          </w:p>
        </w:tc>
        <w:tc>
          <w:tcPr>
            <w:tcW w:w="9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80.85%</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资金管理（12）</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组织实施（8）</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产出（40）</w:t>
            </w:r>
          </w:p>
        </w:tc>
        <w:tc>
          <w:tcPr>
            <w:tcW w:w="8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9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97.5%</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产出数量（10）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产出质量（10）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产出时效（10）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产出成本（10）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jc w:val="center"/>
        </w:trPr>
        <w:tc>
          <w:tcPr>
            <w:tcW w:w="11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效益（20）</w:t>
            </w:r>
          </w:p>
        </w:tc>
        <w:tc>
          <w:tcPr>
            <w:tcW w:w="8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9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实施效益（10）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11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8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满意度（10）</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11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8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92.17</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w:t>
            </w:r>
          </w:p>
        </w:tc>
        <w:tc>
          <w:tcPr>
            <w:tcW w:w="7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2"/>
                <w:szCs w:val="22"/>
                <w:u w:val="none"/>
                <w:lang w:val="en-US"/>
              </w:rPr>
            </w:pPr>
            <w:r>
              <w:rPr>
                <w:rFonts w:hint="eastAsia" w:ascii="宋体" w:hAnsi="宋体" w:eastAsia="宋体" w:cs="宋体"/>
                <w:b/>
                <w:bCs/>
                <w:i w:val="0"/>
                <w:iCs w:val="0"/>
                <w:color w:val="000000"/>
                <w:kern w:val="0"/>
                <w:sz w:val="22"/>
                <w:szCs w:val="22"/>
                <w:u w:val="none"/>
                <w:lang w:val="en-US" w:eastAsia="zh-CN" w:bidi="ar"/>
              </w:rPr>
              <w:t>92.17</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30656"/>
      <w:r>
        <w:rPr>
          <w:rFonts w:hint="eastAsia" w:ascii="黑体" w:hAnsi="黑体" w:eastAsia="黑体" w:cs="黑体"/>
          <w:b w:val="0"/>
          <w:bCs w:val="0"/>
          <w:sz w:val="30"/>
          <w:szCs w:val="30"/>
          <w:lang w:val="en-US" w:eastAsia="zh-CN"/>
        </w:rPr>
        <w:t>五、主要经验及做法、存在的问题及原因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18496"/>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该项目严格按照财政财力投资管理规定，按部就班有序推进立项、报建程序。在主管部门</w:t>
      </w:r>
      <w:r>
        <w:rPr>
          <w:rFonts w:hint="eastAsia" w:ascii="仿宋" w:hAnsi="仿宋" w:eastAsia="仿宋" w:cs="仿宋"/>
          <w:smallCaps w:val="0"/>
          <w:kern w:val="2"/>
          <w:sz w:val="30"/>
          <w:szCs w:val="30"/>
          <w:highlight w:val="none"/>
          <w:lang w:val="en-US" w:eastAsia="zh-CN" w:bidi="ar-SA"/>
        </w:rPr>
        <w:t>阿坝县科学技术和农业畜牧水务局</w:t>
      </w:r>
      <w:r>
        <w:rPr>
          <w:rFonts w:hint="eastAsia" w:ascii="仿宋" w:hAnsi="仿宋" w:eastAsia="仿宋" w:cs="仿宋"/>
          <w:b w:val="0"/>
          <w:bCs w:val="0"/>
          <w:sz w:val="30"/>
          <w:szCs w:val="30"/>
          <w:lang w:val="en-US" w:eastAsia="zh-CN"/>
        </w:rPr>
        <w:t>的统一筹划下，从预算资金申请全过程论证、报批，在确保项目资金使用合规、合理上，提高财政资金使用效率。项目进行过程中，按照规定，项目单位均严格按报批程序履行报批义务。从最终项目竣工验收结果可见，</w:t>
      </w:r>
      <w:r>
        <w:rPr>
          <w:rFonts w:hint="eastAsia" w:ascii="仿宋" w:hAnsi="仿宋" w:eastAsia="仿宋" w:cs="仿宋"/>
          <w:smallCaps w:val="0"/>
          <w:kern w:val="2"/>
          <w:sz w:val="30"/>
          <w:szCs w:val="30"/>
          <w:highlight w:val="none"/>
          <w:lang w:val="en-US" w:eastAsia="zh-CN" w:bidi="ar-SA"/>
        </w:rPr>
        <w:t>阿坝县求吉玛乡河道治理工程建设项目</w:t>
      </w:r>
      <w:r>
        <w:rPr>
          <w:rFonts w:hint="eastAsia" w:ascii="仿宋" w:hAnsi="仿宋" w:eastAsia="仿宋" w:cs="仿宋"/>
          <w:b w:val="0"/>
          <w:bCs w:val="0"/>
          <w:sz w:val="30"/>
          <w:szCs w:val="30"/>
          <w:lang w:val="en-US" w:eastAsia="zh-CN"/>
        </w:rPr>
        <w:t>基本圆满完成。</w:t>
      </w:r>
      <w:r>
        <w:rPr>
          <w:rFonts w:hint="eastAsia" w:ascii="仿宋" w:hAnsi="仿宋" w:eastAsia="仿宋" w:cs="仿宋"/>
          <w:smallCaps w:val="0"/>
          <w:kern w:val="2"/>
          <w:sz w:val="30"/>
          <w:szCs w:val="30"/>
          <w:highlight w:val="none"/>
          <w:lang w:val="en-US" w:eastAsia="zh-CN" w:bidi="ar-SA"/>
        </w:rPr>
        <w:t>阿坝县科学技术和农业畜牧水务局水务服务中心</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阿坝县求吉玛乡河道治理工程的</w:t>
      </w:r>
      <w:r>
        <w:rPr>
          <w:rFonts w:hint="eastAsia" w:ascii="仿宋" w:hAnsi="仿宋" w:eastAsia="仿宋" w:cs="仿宋"/>
          <w:b w:val="0"/>
          <w:bCs w:val="0"/>
          <w:sz w:val="30"/>
          <w:szCs w:val="30"/>
          <w:lang w:val="en-US" w:eastAsia="zh-CN"/>
        </w:rPr>
        <w:t>立项、实施过程管理，项目进度控制等工作。项目施工供应商通过公开招标流程选出。最终验收通过，项目单位组织情况良好。</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8140"/>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经查阅本项目财务资料，存在项目施工合同无业主单位加盖单位公章和签字，记账凭证2022年6月9日的记-33号凭证附件中的施工合同盖章页内无阿坝县科学技术和农业畜牧水务局的单位公章的签名问题，仅有甘孜州建兴建筑工程有限公司的公章和签名及双方签订日期，项目记账凭证均未见会计机构负责人签名或盖章，记账凭证编制不规范。</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部分绩效目标设置不够明确，效益指标中部分目标不够清晰明确，后期考核无法具体量化，难以全面地反映和考核项目绩效目标，比如本项目经济效益指标中减少救灾支出、提升牧民收入，社会效益指标中改善人居环境，生态效益指标中减少自然灾害、降低水土流失率均为达成预期目标，指标值的设置过于笼统，无法进行具体考核。</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3、项目开竣工时间与项目实施方案不一致。根据本项目实施方案，项目开工时间为2022年4月29日，但项目开工时间实际为2022年6月5日，未合理预估资金下达时间，导致实际开工时间与预期不相符。</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4、本项目在当地属于投资额度较大的项目，立项预估总投资为2399.49万元，但项目单位未针对本项目制定财务管理及业务管理制度，日常工作参照项目单位工作制度执行，未制定本项目资金专项管理方面的制度。</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经查阅项目原始凭证资料，多处存在原始凭证为复印件问题，如金额为4165419元、金额为659400元、金额为145000元、金额为372400元、金额为2498842元等在内的多处资金拨付审批表均为复印件，并且没有填写具体的审批时间，不符合相关规定。</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2098"/>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严格按照中标通知书要求，书面合同必须加盖阿坝县科学技术和农业畜牧水务局和甘孜州建兴建筑工程有限公司的公章，在归档项目财务资料时，加强审核，避免类似合同未盖单位公章的现象，以保障项目有效实施。在编制项目记账凭证时，应当按相关规定由会计机构负责人进行签名或盖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建议项目单位围绕项目建设计划，结合项目实际情况，在制定项目绩效目标时多重审核，多角度考虑其绩效目标实现的可能性，在制定绩效目标时需考虑当地特殊的自然条件和气候影响，尽量避免时效指标偏差。建议项目单位在设置绩效目标时多注重明确性、可衡量性，尽量减少难以实现具体考核的指标的设置。编制绩效目标申报表时相关部门应开展充分的调研，深入了解项目建设及后期效益情况，充分考虑项目实施的效益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建议项目单位在编制实施方案时，充分考虑上级资金下达的及时性，前期尽量保守估计项目开竣工时间，待资金下达后进行进一步论证项目实施计划，科学合理的制定项目时效指标，同时充分考虑当地气候条件对项目施工的影响，避免出现预期开工时间与实际开工时间不符的现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4、建议项目单位加强项目建设管理，树立遵守建设程序的意识，制定针对本项目的财务管理及业务管理制度，做到程序规范。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建议项目单位严格规范财务档案管理，加强原始凭证审核，严格遵守《会计基础工作规范》的规定，记账凭证必须附有原始凭证的原件作为记录经济活动的依据，原件遗失情况下应当附说明不应直接将复印件作为原始凭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25425"/>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12459"/>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由于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对于定性的指标，我们主要从调查问卷、调查访谈和工程项目档案资料中获取到信息和数据，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6506"/>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26103"/>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16481"/>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13217"/>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40" w:name="_Toc19033"/>
      <w:bookmarkStart w:id="41" w:name="_Toc29569"/>
      <w:r>
        <w:rPr>
          <w:rFonts w:hint="eastAsia" w:ascii="楷体" w:hAnsi="楷体" w:eastAsia="楷体" w:cs="楷体"/>
          <w:b w:val="0"/>
          <w:bCs w:val="0"/>
          <w:sz w:val="30"/>
          <w:szCs w:val="30"/>
          <w:lang w:val="en-US" w:eastAsia="zh-CN"/>
        </w:rPr>
        <w:t>（三）评价依据目录</w:t>
      </w:r>
      <w:bookmarkEnd w:id="40"/>
      <w:bookmarkEnd w:id="4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p>
    <w:p>
      <w:pPr>
        <w:pStyle w:val="2"/>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2"/>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2"/>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2"/>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2023年10月21日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9"/>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26"/>
        <w:gridCol w:w="638"/>
        <w:gridCol w:w="1085"/>
        <w:gridCol w:w="3187"/>
        <w:gridCol w:w="179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880"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kern w:val="0"/>
                <w:sz w:val="28"/>
                <w:szCs w:val="28"/>
                <w:u w:val="none"/>
                <w:lang w:val="en-US" w:eastAsia="zh-CN" w:bidi="ar"/>
              </w:rPr>
            </w:pPr>
            <w:r>
              <w:rPr>
                <w:rFonts w:hint="eastAsia" w:ascii="黑体" w:hAnsi="宋体" w:eastAsia="黑体" w:cs="黑体"/>
                <w:i w:val="0"/>
                <w:iCs w:val="0"/>
                <w:color w:val="000000"/>
                <w:kern w:val="0"/>
                <w:sz w:val="28"/>
                <w:szCs w:val="28"/>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填报单位（盖章）</w:t>
            </w:r>
          </w:p>
        </w:tc>
        <w:tc>
          <w:tcPr>
            <w:tcW w:w="6731"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阿坝县科学技术和农业畜牧水务局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项目名称</w:t>
            </w:r>
          </w:p>
        </w:tc>
        <w:tc>
          <w:tcPr>
            <w:tcW w:w="6731"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阿坝县求吉玛乡河道治理工程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1"/>
                <w:szCs w:val="21"/>
                <w:u w:val="none"/>
                <w:lang w:val="en-US" w:eastAsia="zh-CN" w:bidi="ar"/>
              </w:rPr>
            </w:pPr>
            <w:r>
              <w:rPr>
                <w:rFonts w:hint="eastAsia" w:ascii="黑体" w:hAnsi="宋体" w:eastAsia="黑体" w:cs="黑体"/>
                <w:i w:val="0"/>
                <w:iCs w:val="0"/>
                <w:color w:val="000000"/>
                <w:kern w:val="0"/>
                <w:sz w:val="21"/>
                <w:szCs w:val="21"/>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1"/>
                <w:szCs w:val="21"/>
                <w:u w:val="none"/>
                <w:lang w:val="en-US" w:eastAsia="zh-CN" w:bidi="ar"/>
              </w:rPr>
            </w:pPr>
            <w:r>
              <w:rPr>
                <w:rFonts w:hint="eastAsia" w:ascii="黑体" w:hAnsi="宋体" w:eastAsia="黑体" w:cs="黑体"/>
                <w:i w:val="0"/>
                <w:iCs w:val="0"/>
                <w:color w:val="000000"/>
                <w:kern w:val="0"/>
                <w:sz w:val="21"/>
                <w:szCs w:val="21"/>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1"/>
                <w:szCs w:val="21"/>
                <w:u w:val="none"/>
                <w:lang w:val="en-US" w:eastAsia="zh-CN" w:bidi="ar"/>
              </w:rPr>
            </w:pPr>
            <w:r>
              <w:rPr>
                <w:rFonts w:hint="eastAsia" w:ascii="黑体" w:hAnsi="宋体" w:eastAsia="黑体" w:cs="黑体"/>
                <w:i w:val="0"/>
                <w:iCs w:val="0"/>
                <w:color w:val="000000"/>
                <w:kern w:val="0"/>
                <w:sz w:val="21"/>
                <w:szCs w:val="21"/>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1"/>
                <w:szCs w:val="21"/>
                <w:u w:val="none"/>
                <w:lang w:val="en-US" w:eastAsia="zh-CN" w:bidi="ar"/>
              </w:rPr>
            </w:pPr>
            <w:r>
              <w:rPr>
                <w:rFonts w:hint="eastAsia" w:ascii="黑体" w:hAnsi="宋体" w:eastAsia="黑体" w:cs="黑体"/>
                <w:b/>
                <w:bCs/>
                <w:i w:val="0"/>
                <w:iCs w:val="0"/>
                <w:color w:val="000000"/>
                <w:kern w:val="0"/>
                <w:sz w:val="21"/>
                <w:szCs w:val="21"/>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1"/>
                <w:szCs w:val="21"/>
                <w:u w:val="none"/>
              </w:rPr>
            </w:pPr>
            <w:r>
              <w:rPr>
                <w:rFonts w:hint="eastAsia" w:ascii="黑体" w:hAnsi="宋体" w:eastAsia="黑体" w:cs="黑体"/>
                <w:b/>
                <w:bCs/>
                <w:i w:val="0"/>
                <w:iCs w:val="0"/>
                <w:color w:val="000000"/>
                <w:kern w:val="0"/>
                <w:sz w:val="21"/>
                <w:szCs w:val="21"/>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u w:val="none"/>
              </w:rPr>
            </w:pPr>
            <w:r>
              <w:rPr>
                <w:rFonts w:hint="eastAsia" w:ascii="黑体" w:hAnsi="宋体" w:eastAsia="黑体" w:cs="黑体"/>
                <w:b/>
                <w:bCs/>
                <w:i w:val="0"/>
                <w:iCs w:val="0"/>
                <w:color w:val="000000"/>
                <w:kern w:val="0"/>
                <w:sz w:val="21"/>
                <w:szCs w:val="21"/>
                <w:u w:val="none"/>
                <w:lang w:val="en-US" w:eastAsia="zh-CN" w:bidi="ar"/>
              </w:rPr>
              <w:t>二级指标</w:t>
            </w:r>
          </w:p>
        </w:tc>
        <w:tc>
          <w:tcPr>
            <w:tcW w:w="318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u w:val="none"/>
              </w:rPr>
            </w:pPr>
            <w:r>
              <w:rPr>
                <w:rFonts w:hint="eastAsia" w:ascii="黑体" w:hAnsi="宋体" w:eastAsia="黑体" w:cs="黑体"/>
                <w:b/>
                <w:bCs/>
                <w:i w:val="0"/>
                <w:iCs w:val="0"/>
                <w:color w:val="000000"/>
                <w:kern w:val="0"/>
                <w:sz w:val="21"/>
                <w:szCs w:val="21"/>
                <w:u w:val="none"/>
                <w:lang w:val="en-US" w:eastAsia="zh-CN" w:bidi="ar"/>
              </w:rPr>
              <w:t>三级指标</w:t>
            </w:r>
          </w:p>
        </w:tc>
        <w:tc>
          <w:tcPr>
            <w:tcW w:w="1790"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1"/>
                <w:szCs w:val="21"/>
                <w:u w:val="none"/>
              </w:rPr>
            </w:pPr>
            <w:r>
              <w:rPr>
                <w:rFonts w:hint="eastAsia" w:ascii="黑体" w:hAnsi="宋体" w:eastAsia="黑体" w:cs="黑体"/>
                <w:b/>
                <w:bCs/>
                <w:i w:val="0"/>
                <w:iCs w:val="0"/>
                <w:color w:val="000000"/>
                <w:kern w:val="0"/>
                <w:sz w:val="21"/>
                <w:szCs w:val="21"/>
                <w:u w:val="none"/>
                <w:lang w:val="en-US" w:eastAsia="zh-CN" w:bidi="ar"/>
              </w:rPr>
              <w:t>指标值</w:t>
            </w:r>
          </w:p>
        </w:tc>
        <w:tc>
          <w:tcPr>
            <w:tcW w:w="1754"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1"/>
                <w:szCs w:val="21"/>
                <w:u w:val="none"/>
                <w:lang w:val="en-US" w:eastAsia="zh-CN" w:bidi="ar"/>
              </w:rPr>
            </w:pPr>
            <w:r>
              <w:rPr>
                <w:rFonts w:hint="eastAsia" w:ascii="黑体" w:hAnsi="宋体" w:eastAsia="黑体" w:cs="黑体"/>
                <w:b/>
                <w:bCs/>
                <w:i w:val="0"/>
                <w:iCs w:val="0"/>
                <w:color w:val="000000"/>
                <w:kern w:val="0"/>
                <w:sz w:val="21"/>
                <w:szCs w:val="21"/>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数量指标</w:t>
            </w: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指标1：综合治理河流长度</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7千米</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指标2：新建堤防长度</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1099.38米</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1099.38米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指标3：拆除重建堤防长度</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267.67米</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267.67米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指标4：新建护岸长度</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1848.38米</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1848.38米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指标5：新建下河梯步</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6处</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指标6：河道疏浚长度</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4.036千米</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4.036千米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指标7：新建排水涵管</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9处</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质量指标</w:t>
            </w: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指标1：项目竣工验收达标率</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≥95%</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指标2：项目设计方案变更率</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时效指标</w:t>
            </w: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指标1：按时取得项目开工许可证</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2022年4月28日</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2022年4月28日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指标2：工程按时开工</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2022年4月29日</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2022年6月5日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指标3：工程按时竣工验收</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2022年10月30日</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2022年10月15日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w:t>
            </w: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指标1：项目建设总投资成本</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≤2399.49万元</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≤2371.4万元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预算执行</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w:t>
            </w: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指标1：2020年黄河流域生态保护和高质量发展专项奖补资金</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2399.49万元</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17,837,679.81元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益</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标</w:t>
            </w: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经济效益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w:t>
            </w: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指标1：减少救灾支出</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指标2：提升牧民收入</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w:t>
            </w: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指标1：服务社会当地群众</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≥5000人</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≥5000人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指标2：改善人居环境</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生态效益</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w:t>
            </w: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指标1：减少自然灾害</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指标2：降低水土流失率</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达成预期目标</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达成预期目标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可持续影响</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0"/>
                <w:szCs w:val="20"/>
                <w:u w:val="none"/>
                <w:lang w:val="en-US" w:eastAsia="zh-CN" w:bidi="ar"/>
              </w:rPr>
              <w:t>指标</w:t>
            </w: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指标1：持续服务本地群众期限</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≥20年</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服务对象</w:t>
            </w:r>
          </w:p>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满意度指标</w:t>
            </w: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指标1：区域辐射人群满意度</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1"/>
                <w:szCs w:val="21"/>
                <w:u w:val="none"/>
              </w:rPr>
            </w:pPr>
          </w:p>
        </w:tc>
        <w:tc>
          <w:tcPr>
            <w:tcW w:w="318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指标2：区域监管部门满意度</w:t>
            </w:r>
          </w:p>
        </w:tc>
        <w:tc>
          <w:tcPr>
            <w:tcW w:w="179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1754"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100%</w:t>
            </w:r>
          </w:p>
        </w:tc>
      </w:tr>
    </w:tbl>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2"/>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p>
      <w:pPr>
        <w:pStyle w:val="2"/>
        <w:keepNext w:val="0"/>
        <w:keepLines w:val="0"/>
        <w:pageBreakBefore w:val="0"/>
        <w:widowControl w:val="0"/>
        <w:kinsoku/>
        <w:wordWrap/>
        <w:overflowPunct/>
        <w:topLinePunct w:val="0"/>
        <w:autoSpaceDE/>
        <w:autoSpaceDN/>
        <w:bidi w:val="0"/>
        <w:adjustRightInd/>
        <w:snapToGrid/>
        <w:spacing w:after="0" w:line="560" w:lineRule="exact"/>
        <w:jc w:val="right"/>
        <w:textAlignment w:val="auto"/>
        <w:outlineLvl w:val="9"/>
        <w:rPr>
          <w:rFonts w:hint="eastAsia" w:ascii="仿宋" w:hAnsi="仿宋" w:eastAsia="仿宋" w:cs="仿宋"/>
          <w:b w:val="0"/>
          <w:bCs w:val="0"/>
          <w:sz w:val="30"/>
          <w:szCs w:val="30"/>
          <w:lang w:val="en-US" w:eastAsia="zh-CN"/>
        </w:rPr>
      </w:pP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3907D2F"/>
    <w:rsid w:val="071D5900"/>
    <w:rsid w:val="0EB376DE"/>
    <w:rsid w:val="0FE6636B"/>
    <w:rsid w:val="156E4C0F"/>
    <w:rsid w:val="19D610FB"/>
    <w:rsid w:val="1C563294"/>
    <w:rsid w:val="26574685"/>
    <w:rsid w:val="2D725059"/>
    <w:rsid w:val="2DF549D1"/>
    <w:rsid w:val="3042199C"/>
    <w:rsid w:val="327A2455"/>
    <w:rsid w:val="342104FD"/>
    <w:rsid w:val="38A31D7D"/>
    <w:rsid w:val="390300B7"/>
    <w:rsid w:val="397969C1"/>
    <w:rsid w:val="39D90CC7"/>
    <w:rsid w:val="39E94459"/>
    <w:rsid w:val="3A3B5BEB"/>
    <w:rsid w:val="3B8D2047"/>
    <w:rsid w:val="3B9A0332"/>
    <w:rsid w:val="3C683A70"/>
    <w:rsid w:val="3DAC2446"/>
    <w:rsid w:val="3F2F32AE"/>
    <w:rsid w:val="467513C6"/>
    <w:rsid w:val="48D143C2"/>
    <w:rsid w:val="4FF97A1B"/>
    <w:rsid w:val="52295A9D"/>
    <w:rsid w:val="54B04B68"/>
    <w:rsid w:val="54E57286"/>
    <w:rsid w:val="55F5089E"/>
    <w:rsid w:val="5AF833EE"/>
    <w:rsid w:val="5F294904"/>
    <w:rsid w:val="65821E83"/>
    <w:rsid w:val="6A220EB0"/>
    <w:rsid w:val="6B946E85"/>
    <w:rsid w:val="7115011B"/>
    <w:rsid w:val="730715A0"/>
    <w:rsid w:val="733B66E8"/>
    <w:rsid w:val="74BC73A8"/>
    <w:rsid w:val="75C073B9"/>
    <w:rsid w:val="79F367D2"/>
    <w:rsid w:val="7A59279F"/>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Normal Indent"/>
    <w:basedOn w:val="1"/>
    <w:qFormat/>
    <w:uiPriority w:val="0"/>
    <w:pPr>
      <w:spacing w:line="324" w:lineRule="auto"/>
      <w:ind w:firstLine="504"/>
    </w:pPr>
    <w:rPr>
      <w:snapToGrid w:val="0"/>
      <w:spacing w:val="6"/>
      <w:kern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able of figures"/>
    <w:basedOn w:val="1"/>
    <w:next w:val="1"/>
    <w:unhideWhenUsed/>
    <w:qFormat/>
    <w:uiPriority w:val="0"/>
    <w:pPr>
      <w:spacing w:line="360" w:lineRule="auto"/>
      <w:ind w:left="720" w:hanging="720"/>
    </w:pPr>
    <w:rPr>
      <w:rFonts w:eastAsia="黑体"/>
      <w:smallCaps/>
      <w:sz w:val="20"/>
    </w:rPr>
  </w:style>
  <w:style w:type="paragraph" w:styleId="8">
    <w:name w:val="toc 2"/>
    <w:basedOn w:val="1"/>
    <w:next w:val="1"/>
    <w:qFormat/>
    <w:uiPriority w:val="0"/>
    <w:pPr>
      <w:ind w:left="420" w:leftChars="200"/>
    </w:p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WPSOffice手动目录 1"/>
    <w:qFormat/>
    <w:uiPriority w:val="0"/>
    <w:pPr>
      <w:ind w:leftChars="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17455</Words>
  <Characters>18326</Characters>
  <Lines>0</Lines>
  <Paragraphs>0</Paragraphs>
  <TotalTime>1</TotalTime>
  <ScaleCrop>false</ScaleCrop>
  <LinksUpToDate>false</LinksUpToDate>
  <CharactersWithSpaces>18481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2023-04-05T07:58:00Z</dcterms:created>
  <dc:creator>城外风雨</dc:creator>
  <cp:lastModifiedBy>城外风雨</cp:lastModifiedBy>
  <dcterms:modified xsi:type="dcterms:W3CDTF">2024-01-09T06:27:59Z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02484781AB254DE0B3621FFAFEA866CE_13</vt:lpwstr>
  </property>
</Properties>
</file>