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阿坝县羊股沟小流域水土流失综合</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治理项目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2023年8月</w:t>
      </w:r>
      <w:r>
        <w:rPr>
          <w:rFonts w:hint="eastAsia" w:ascii="仿宋" w:hAnsi="仿宋" w:eastAsia="仿宋" w:cs="仿宋"/>
          <w:b w:val="0"/>
          <w:bCs w:val="0"/>
          <w:sz w:val="30"/>
          <w:szCs w:val="30"/>
          <w:highlight w:val="none"/>
          <w:u w:val="single"/>
          <w:lang w:val="en-US" w:eastAsia="zh-CN"/>
        </w:rPr>
        <w:t>30</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_Toc22589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_Toc22589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_Toc25524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_Toc25524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_Toc26792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_Toc26792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_Toc26092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_Toc26092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_Toc818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_Toc818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_Toc32734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_Toc32734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_Toc4437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_Toc4437 \h </w:instrText>
          </w:r>
          <w:r>
            <w:rPr>
              <w:sz w:val="24"/>
              <w:szCs w:val="24"/>
            </w:rPr>
            <w:fldChar w:fldCharType="separate"/>
          </w:r>
          <w:r>
            <w:rPr>
              <w:sz w:val="24"/>
              <w:szCs w:val="24"/>
            </w:rPr>
            <w:t>10</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_Toc30639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_Toc30639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_Toc8401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_Toc8401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_Toc19341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_Toc19341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_Toc26847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_Toc26847 \h </w:instrText>
          </w:r>
          <w:r>
            <w:rPr>
              <w:sz w:val="24"/>
              <w:szCs w:val="24"/>
            </w:rPr>
            <w:fldChar w:fldCharType="separate"/>
          </w:r>
          <w:r>
            <w:rPr>
              <w:sz w:val="24"/>
              <w:szCs w:val="24"/>
            </w:rPr>
            <w:t>19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_Toc18567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_Toc18567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_Toc4647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_Toc4647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_Toc3372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_Toc3372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_Toc8028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_Toc8028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_Toc32322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_Toc32322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_Toc925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_Toc925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_Toc9745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_Toc9745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_Toc7448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_Toc7448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_Toc31502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_Toc31502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_Toc15739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_Toc15739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_Toc12533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_Toc12533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_Toc30519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_Toc30519 \h </w:instrText>
          </w:r>
          <w:r>
            <w:rPr>
              <w:sz w:val="24"/>
              <w:szCs w:val="24"/>
            </w:rPr>
            <w:fldChar w:fldCharType="separate"/>
          </w:r>
          <w:r>
            <w:rPr>
              <w:sz w:val="24"/>
              <w:szCs w:val="24"/>
            </w:rPr>
            <w:t>34</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_Toc3981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_Toc3981 \h </w:instrText>
          </w:r>
          <w:r>
            <w:rPr>
              <w:sz w:val="24"/>
              <w:szCs w:val="24"/>
            </w:rPr>
            <w:fldChar w:fldCharType="separate"/>
          </w:r>
          <w:r>
            <w:rPr>
              <w:sz w:val="24"/>
              <w:szCs w:val="24"/>
            </w:rPr>
            <w:t>34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_Toc23978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_Toc23978 \h </w:instrText>
          </w:r>
          <w:r>
            <w:rPr>
              <w:sz w:val="24"/>
              <w:szCs w:val="24"/>
            </w:rPr>
            <w:fldChar w:fldCharType="separate"/>
          </w:r>
          <w:r>
            <w:rPr>
              <w:sz w:val="24"/>
              <w:szCs w:val="24"/>
            </w:rPr>
            <w:t>34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_Toc25768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_Toc25768 \h </w:instrText>
          </w:r>
          <w:r>
            <w:rPr>
              <w:sz w:val="24"/>
              <w:szCs w:val="24"/>
            </w:rPr>
            <w:fldChar w:fldCharType="separate"/>
          </w:r>
          <w:r>
            <w:rPr>
              <w:sz w:val="24"/>
              <w:szCs w:val="24"/>
            </w:rPr>
            <w:t>34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_Toc6044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_Toc6044 \h </w:instrText>
          </w:r>
          <w:r>
            <w:rPr>
              <w:sz w:val="24"/>
              <w:szCs w:val="24"/>
            </w:rPr>
            <w:fldChar w:fldCharType="separate"/>
          </w:r>
          <w:r>
            <w:rPr>
              <w:sz w:val="24"/>
              <w:szCs w:val="24"/>
            </w:rPr>
            <w:t>34</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2258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阿坝县羊股沟小流域水土流失综合治理项目</w:t>
      </w:r>
      <w:r>
        <w:rPr>
          <w:rFonts w:hint="eastAsia" w:ascii="仿宋" w:hAnsi="仿宋" w:eastAsia="仿宋" w:cs="仿宋"/>
          <w:b w:val="0"/>
          <w:bCs w:val="0"/>
          <w:sz w:val="30"/>
          <w:szCs w:val="30"/>
          <w:lang w:val="en-US" w:eastAsia="zh-CN"/>
        </w:rPr>
        <w:t>由阿坝县科学技术和农业畜牧水务局进行申报，成都青云致远工程咨询有限公司</w:t>
      </w:r>
      <w:r>
        <w:rPr>
          <w:rFonts w:hint="eastAsia" w:ascii="仿宋" w:hAnsi="仿宋" w:eastAsia="仿宋" w:cs="仿宋"/>
          <w:b w:val="0"/>
          <w:bCs w:val="0"/>
          <w:sz w:val="30"/>
          <w:szCs w:val="30"/>
          <w:highlight w:val="none"/>
          <w:lang w:val="en-US" w:eastAsia="zh-CN"/>
        </w:rPr>
        <w:t>受阿坝县财政局委托进行本次绩效评价工作。</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项目实施地属贾曲河中游，本区主要问题为沼泽与草地退化，草地生产能力下降，土地沙化较为严重；为了加强黄河流域生态保护，保护和完善阿坝县生态系统而实施本项目。</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1002.94万元，项目已取得阿坝县发展和改革局批复《阿县发改行审（2021）171号》，项目资金来源中央和省级水利发展资金及地方配套。资金下达依据为四川省财政厅、四川省水利局的《川财农（2022）9号》，阿坝州财政局《阿州财资环（2022）27号》、《阿州财资环(2023)1号》。阿坝县羊股沟小流域水土流失综合治理项目资金安排为7,523,017.62元，已下达资金7,523,017.62元。截至绩效评价日2023年8月18日，本项目已支付6,963,038.32元。</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项目已于2022年10月15日竣工验收，验收结论为合格。</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除存在财务资料编制不严谨的问题、合同管理不规范、项目未制定相应财务管理制度、业务管理制度、部分效益绩效目标设置不够合理及明确，预算绩效管理工作有待加强、未针对本项目制定《可行性研究报告》，就形式上缺少对项目的可行性、风险及控制措施的充分论证外，较好地完成了</w:t>
      </w:r>
      <w:r>
        <w:rPr>
          <w:rFonts w:hint="eastAsia" w:ascii="仿宋" w:hAnsi="仿宋" w:eastAsia="仿宋" w:cs="仿宋"/>
          <w:sz w:val="30"/>
          <w:szCs w:val="30"/>
          <w:highlight w:val="none"/>
          <w:lang w:val="en-US" w:eastAsia="zh-CN"/>
        </w:rPr>
        <w:t>本项目</w:t>
      </w:r>
      <w:r>
        <w:rPr>
          <w:rFonts w:hint="default" w:ascii="仿宋" w:hAnsi="仿宋" w:eastAsia="仿宋" w:cs="仿宋"/>
          <w:sz w:val="30"/>
          <w:szCs w:val="30"/>
          <w:highlight w:val="none"/>
          <w:lang w:val="en-US" w:eastAsia="zh-CN"/>
        </w:rPr>
        <w:t>。</w:t>
      </w:r>
      <w:r>
        <w:rPr>
          <w:rFonts w:hint="eastAsia" w:ascii="仿宋" w:hAnsi="仿宋" w:eastAsia="仿宋" w:cs="仿宋"/>
          <w:color w:val="auto"/>
          <w:sz w:val="30"/>
          <w:szCs w:val="30"/>
          <w:lang w:val="en-US" w:eastAsia="zh-CN"/>
        </w:rPr>
        <w:t>最终评分得分为92.2</w:t>
      </w:r>
      <w:r>
        <w:rPr>
          <w:rFonts w:hint="eastAsia" w:ascii="仿宋" w:hAnsi="仿宋" w:eastAsia="仿宋" w:cs="仿宋"/>
          <w:sz w:val="30"/>
          <w:szCs w:val="30"/>
          <w:lang w:val="en-US" w:eastAsia="zh-CN"/>
        </w:rPr>
        <w:t>分，属于“优”。</w:t>
      </w:r>
    </w:p>
    <w:p>
      <w:pPr>
        <w:pStyle w:val="3"/>
        <w:rPr>
          <w:rFonts w:hint="eastAsia" w:ascii="仿宋" w:hAnsi="仿宋" w:eastAsia="仿宋" w:cs="仿宋"/>
          <w:b w:val="0"/>
          <w:bCs w:val="0"/>
          <w:sz w:val="30"/>
          <w:szCs w:val="30"/>
          <w:lang w:val="en-US" w:eastAsia="zh-CN"/>
        </w:rPr>
      </w:pPr>
    </w:p>
    <w:p>
      <w:pPr>
        <w:pStyle w:val="3"/>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阿坝县羊股沟小流域水土流失综合治理项目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5524"/>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6792"/>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贾洛镇地处阿坝县东大门，驻地距县城83公里，最低海拔3510米，幅员面积1959平方公里，占全县总面积18.8%，草地面积286万亩，占全镇总面积97%，属全县最大纯牧业镇；辖8村2077户10753人，占全县总人口的14%，全镇贫困户456户2154人，1个贫困村合拉玛村，边缘户8户21人，棚户区改造403户、易地搬迁82户、藏区新区190户，安全饮用水1308口，贫困发生率已降低到0%，完成了脱贫攻坚目标任务；8村152个联户组152名联户长、村干部54人、三老干部13人、退休干部4人，州县人大代表40人，在册僧尼845名，辖3座藏传佛教寺庙，属全县反分维稳重点乡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羊股沟小流域位于贾洛镇合拉玛村，距县城约80公里，流域面积34.18km²。阿坝县属于若尔盖丘状高原生态维护水源涵养区，本区位于四川北部边缘，处于黄河与长江水系分水地带。根据《全国水土保持规划国家级水土流失重点预防区和重点治理区复核划分成果》（办水保2013年第188号文），阿坝县位于金沙江岷江上游及三江并流国家级水土流失重点预防区。本区主要问题为沼泽与草地退化，草地生产能力下降，土地沙化较为严重；为了加强黄河流域生态保护，保护和完善阿坝县生态系统，促进阿坝县经济发展。结合《阿坝藏族羌族自治州阿坝县水土保持规划（2015—2030年）》，将阿坝县羊股沟小流域作为本次小流域综合治理的申报实施点。羊股沟小流域水土流失现状在项目区具有一定的代表性，将其选定为小流域综合治理可形成示范效应，以点带面地辐射到周边区域，扩大水土流失治理影响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2016年12月编制审批通过了《四川省水土保持规划（2015—2030年）》，近期目标：到2020年，基本建成与国民经济发展相适应的水土流失综合防治体系，人为水土流失得到有效控制，生态环境得以持续改善，水土保持生态文明建设取得显著成效。完成新增水土流失综合治理面积26900 km²，新增水土流失综合治理率达到22.22%， 治理区植被覆盖率提高5.05%。远期目标：到2030年，全面建成与我省经济社会发展相适应的水土流失综合防治体系，生态环境步入良性循环。建设完善的水土流失监测网络和信息系统，健全水土保持法律、法规体系和监督管理体系，生产建设项目“三同时”制度得到全面落实，生产建设活动导致的人为水土流失得到全面控制。完成新增水土流失综合治理面积78200km²，新增水土流失综合治理率达到64.61%， 治理区植被覆盖率提高15.16%。</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四川省“十四五”生态环境保护规划》指出保护草原生态系统。以遏制草原退化、实现草畜平衡、提升草地生态功能为重点，开展草原生态保护建设。严格保护长江、黄河天然草原，以甘孜、阿坝为重点区域，对严重退化、沙化草原实行禁牧封育。</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2016年12月编制审批通过了《阿坝藏族羌族自治州阿坝县水土保持规划（2015-2030）》，总体目标：到2030年，建成与阿坝县社会经济可持续发展相适应的水土流失综合防治体系，生态环境步入良性循环，实现水土保持生态文明。区域水土流失治理率实现总面积的65%，人为水土流失得到控制。林草植被得到保护和恢复，覆盖状况得到明显改善，覆盖面积有相当程度的增加。水土保持监测网络完全覆盖，水土保持设施运行维护到位，科技创新支撑能力不断提高。近期目标：到2020年，基本建成与本地区社会经济发展相适应的水土流失综合防治体系，生态环境持续改善，重点治理地区生态趋向好转。区域水土流失治理率实现总面积的10%，人为水土流失得到基本控制。林草植被基本得到保护与恢复，覆盖状况得到有效改善，覆盖面积有所增加。水土保持监督执法能力稳步提升，水土保持监测网路基本覆盖，水土保持设施运行维护到位，科技支撑能力不断提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1002.94万元，项目已取得阿坝县发展和改革局批复《阿县发改行审（2021）171号》，批复列示，项目资金来源中央和省级水利发展资金及地方配套。资金下达依据为四川省财政厅、四川省水利局的《川财农（2022）9号》，阿坝州财政局《阿州财资环（2022）27号》、《阿州财资环(2023)1号》。</w:t>
      </w:r>
      <w:r>
        <w:rPr>
          <w:rFonts w:hint="eastAsia" w:ascii="仿宋" w:hAnsi="仿宋" w:eastAsia="仿宋" w:cs="仿宋"/>
          <w:sz w:val="30"/>
          <w:szCs w:val="30"/>
          <w:lang w:val="en-US" w:eastAsia="zh-CN"/>
        </w:rPr>
        <w:t>阿坝县羊股沟小流域水土流失综合治理项目资金安排为7,523,017.62元，已下达资金7,523,017.62元。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截至绩效评价日2023年8月18日，本项目已支付6,963,038.32元，其中2022年支付5,603,017.62元，2023年支付1,360,020.7元。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根据本项目初步设计报告及其批复文件，项目地位于阿坝县贾洛镇。建设规模为治理水土流失面积22.86km²，新建羊股沟提堤防护岸）长2032.90米及种植高原柳678株，种植披碱草1592.38hm²。</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由阿坝县科学技术和农业畜牧水务局聘请专业第三方机构编制《阿坝县羊股沟小流域水土流失综合治理项目实施方案》，2021年10月30日由阿坝县发展和改革局出具批复《阿县发改行审（2021）171号》，并附审批部门招投标核准意见。经符合规定的招投标程序后确定监理单位及施工单位，</w:t>
      </w:r>
      <w:r>
        <w:rPr>
          <w:rFonts w:hint="eastAsia" w:ascii="仿宋" w:hAnsi="仿宋" w:eastAsia="仿宋" w:cs="仿宋"/>
          <w:sz w:val="30"/>
          <w:szCs w:val="30"/>
          <w:lang w:val="en-US" w:eastAsia="zh-CN"/>
        </w:rPr>
        <w:t>中建伟诚集团有限公司</w:t>
      </w:r>
      <w:r>
        <w:rPr>
          <w:rFonts w:hint="eastAsia" w:ascii="仿宋" w:hAnsi="仿宋" w:eastAsia="仿宋" w:cs="仿宋"/>
          <w:b w:val="0"/>
          <w:bCs w:val="0"/>
          <w:sz w:val="30"/>
          <w:szCs w:val="30"/>
          <w:lang w:val="en-US" w:eastAsia="zh-CN"/>
        </w:rPr>
        <w:t>任监理单位，</w:t>
      </w:r>
      <w:r>
        <w:rPr>
          <w:rFonts w:hint="eastAsia" w:ascii="仿宋" w:hAnsi="仿宋" w:eastAsia="仿宋" w:cs="仿宋"/>
          <w:sz w:val="30"/>
          <w:szCs w:val="30"/>
          <w:lang w:val="en-US" w:eastAsia="zh-CN"/>
        </w:rPr>
        <w:t>四川绿标建设工程有限公司任施工单位，</w:t>
      </w:r>
      <w:r>
        <w:rPr>
          <w:rFonts w:hint="eastAsia" w:ascii="仿宋" w:hAnsi="仿宋" w:eastAsia="仿宋" w:cs="仿宋"/>
          <w:b w:val="0"/>
          <w:bCs w:val="0"/>
          <w:sz w:val="30"/>
          <w:szCs w:val="30"/>
          <w:lang w:val="en-US" w:eastAsia="zh-CN"/>
        </w:rPr>
        <w:t>项目已于</w:t>
      </w:r>
      <w:r>
        <w:rPr>
          <w:rFonts w:hint="eastAsia" w:ascii="仿宋" w:hAnsi="仿宋" w:eastAsia="仿宋" w:cs="仿宋"/>
          <w:b w:val="0"/>
          <w:bCs w:val="0"/>
          <w:sz w:val="30"/>
          <w:szCs w:val="30"/>
          <w:highlight w:val="none"/>
          <w:lang w:val="en-US" w:eastAsia="zh-CN"/>
        </w:rPr>
        <w:t>2022年10月15日</w:t>
      </w:r>
      <w:r>
        <w:rPr>
          <w:rFonts w:hint="eastAsia" w:ascii="仿宋" w:hAnsi="仿宋" w:eastAsia="仿宋" w:cs="仿宋"/>
          <w:b w:val="0"/>
          <w:bCs w:val="0"/>
          <w:sz w:val="30"/>
          <w:szCs w:val="30"/>
          <w:lang w:val="en-US" w:eastAsia="zh-CN"/>
        </w:rPr>
        <w:t>竣工验收，出具完工验收鉴定书。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阿坝县科学技术和农业畜牧水务局，系阿坝县人民政府的职能部门，其主要职能之一为：负责管理全县水资源（含地表水、地下水）。组织制定全县水资源总体规划、流域规划和专业规划。负责全县水利基本建设项目前期工作；负责组织全县水利基本建设，对水利基本建设工程实施行业的监督管理；组织管理具有控制性的水利工程，组织负责水库、大坝的安全监管；农村水利工程管理；指导编制水土保持规划并监督实施。负责水土流失的预防监督和综合防治。</w:t>
      </w:r>
      <w:r>
        <w:rPr>
          <w:rFonts w:hint="eastAsia" w:ascii="仿宋" w:hAnsi="仿宋" w:eastAsia="仿宋" w:cs="仿宋"/>
          <w:sz w:val="30"/>
          <w:szCs w:val="30"/>
          <w:highlight w:val="none"/>
        </w:rPr>
        <w:t>阿坝县科学技术和农业畜牧水务局</w:t>
      </w:r>
      <w:r>
        <w:rPr>
          <w:rFonts w:hint="eastAsia" w:ascii="仿宋" w:hAnsi="仿宋" w:eastAsia="仿宋" w:cs="仿宋"/>
          <w:sz w:val="30"/>
          <w:szCs w:val="30"/>
          <w:lang w:val="en-US" w:eastAsia="zh-CN"/>
        </w:rPr>
        <w:t>作为项目实施单位和主管部门，在国家、省、州的相关规划和政策指引下，实施本项目，为其履行职能，完成国家、省、州的相关任务和规划的具体举措。</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sz w:val="30"/>
          <w:szCs w:val="30"/>
          <w:lang w:val="en-US" w:eastAsia="zh-CN"/>
        </w:rPr>
        <w:t>四川绿标建设工程有限公司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中建伟诚集团有限公司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科学技术和农业畜牧水务局，由阿坝县科学技术和农业畜牧水务局牵头开展项目的建设实施。为推进治理区域水土流失综合治理工程的建设，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据《河道管理条例》规定，堤防管理按流域水系统一管理和按行政区划分级管理相结合的管理体制。本次设计的堤防工程为 5 级工程，由阿坝县科学技术和农业畜牧水务局直接进行管理，不再另设管理机构本项目建设业主单位为阿坝县科学技术和农业畜牧水务局，根据项目的实施内容和特点、本单位人员情况，成立项目实施小组，全面负责工程建设的工程质量管理、工程进度、工程投资和资金管理等。管理成员均为业主单位相关领域的专业人员，相关人员均具有良好的专业知识、合格的业务技术能力、持续的稳定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项目小组能够为本项目的实施、运营提供持续稳定的组织机构保障，由其他相关部门、社会公众进行监督。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根据与阿坝县财政局、阿坝县科学技术和农业畜牧水务局咨询，当前项目单位未针对本项目制定相关的项目管理制度。本项目沿用阿坝县类似项目管理制度执行。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w:t>
      </w:r>
      <w:bookmarkEnd w:id="14"/>
      <w:r>
        <w:rPr>
          <w:rFonts w:hint="eastAsia" w:ascii="仿宋" w:hAnsi="仿宋" w:eastAsia="仿宋" w:cs="仿宋"/>
          <w:b w:val="0"/>
          <w:bCs w:val="0"/>
          <w:sz w:val="30"/>
          <w:szCs w:val="30"/>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阿坝县科学技术和农业畜牧水务局暂未针对阿坝县羊股沟小流域水土流失综合治理项目制定财务管理制度，本项目财务制度沿用一般性工程项目的财务管理制度及政府部门相关财务管理制度。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6092"/>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科学技术和农业畜牧水务局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根据实际资金下达情况及项目前期准备情况，本项目于项目事中绩效监控时修订完善项目部分指标，</w:t>
      </w:r>
      <w:r>
        <w:rPr>
          <w:rFonts w:hint="eastAsia" w:ascii="仿宋" w:hAnsi="仿宋" w:eastAsia="仿宋" w:cs="仿宋"/>
          <w:smallCaps w:val="0"/>
          <w:kern w:val="2"/>
          <w:sz w:val="30"/>
          <w:szCs w:val="30"/>
          <w:lang w:val="en-US" w:eastAsia="zh-CN" w:bidi="ar-SA"/>
        </w:rPr>
        <w:t>修订内容涉及时效指标，</w:t>
      </w:r>
      <w:r>
        <w:rPr>
          <w:rFonts w:hint="eastAsia" w:ascii="仿宋" w:hAnsi="仿宋" w:eastAsia="仿宋" w:cs="仿宋"/>
          <w:b w:val="0"/>
          <w:bCs w:val="0"/>
          <w:sz w:val="30"/>
          <w:szCs w:val="30"/>
          <w:lang w:val="en-US" w:eastAsia="zh-CN"/>
        </w:rPr>
        <w:t>本项目具体绩效目标表如下：</w:t>
      </w:r>
    </w:p>
    <w:bookmarkEnd w:id="16"/>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
        <w:gridCol w:w="638"/>
        <w:gridCol w:w="1264"/>
        <w:gridCol w:w="4350"/>
        <w:gridCol w:w="1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0" w:type="auto"/>
            <w:gridSpan w:val="5"/>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i w:val="0"/>
                <w:iCs w:val="0"/>
                <w:color w:val="000000"/>
                <w:sz w:val="28"/>
                <w:szCs w:val="28"/>
                <w:highlight w:val="none"/>
                <w:u w:val="none"/>
              </w:rPr>
            </w:pPr>
            <w:r>
              <w:rPr>
                <w:rFonts w:hint="eastAsia" w:ascii="黑体" w:hAnsi="宋体" w:eastAsia="黑体" w:cs="黑体"/>
                <w:i w:val="0"/>
                <w:iCs w:val="0"/>
                <w:color w:val="000000"/>
                <w:kern w:val="0"/>
                <w:sz w:val="28"/>
                <w:szCs w:val="28"/>
                <w:highlight w:val="none"/>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填报单位（盖章）</w:t>
            </w:r>
          </w:p>
        </w:tc>
        <w:tc>
          <w:tcPr>
            <w:tcW w:w="0" w:type="auto"/>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highlight w:val="none"/>
                <w:u w:val="none"/>
              </w:rPr>
            </w:pPr>
            <w:r>
              <w:rPr>
                <w:rFonts w:hint="eastAsia" w:ascii="黑体" w:hAnsi="宋体" w:eastAsia="黑体" w:cs="黑体"/>
                <w:i w:val="0"/>
                <w:iCs w:val="0"/>
                <w:color w:val="000000"/>
                <w:kern w:val="0"/>
                <w:sz w:val="21"/>
                <w:szCs w:val="21"/>
                <w:highlight w:val="none"/>
                <w:u w:val="none"/>
                <w:lang w:val="en-US" w:eastAsia="zh-CN" w:bidi="ar"/>
              </w:rPr>
              <w:t>项目名称</w:t>
            </w:r>
          </w:p>
        </w:tc>
        <w:tc>
          <w:tcPr>
            <w:tcW w:w="0" w:type="auto"/>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阿坝县羊股沟小流域水土流失综合治理项目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1"/>
                <w:szCs w:val="21"/>
                <w:highlight w:val="none"/>
                <w:u w:val="none"/>
                <w:lang w:val="en-US" w:eastAsia="zh-CN" w:bidi="ar"/>
              </w:rPr>
            </w:pPr>
            <w:r>
              <w:rPr>
                <w:rFonts w:hint="eastAsia" w:ascii="黑体" w:hAnsi="宋体" w:eastAsia="黑体" w:cs="黑体"/>
                <w:i w:val="0"/>
                <w:iCs w:val="0"/>
                <w:color w:val="000000"/>
                <w:kern w:val="0"/>
                <w:sz w:val="21"/>
                <w:szCs w:val="21"/>
                <w:highlight w:val="none"/>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highlight w:val="none"/>
                <w:u w:val="none"/>
                <w:lang w:val="en-US" w:eastAsia="zh-CN" w:bidi="ar"/>
              </w:rPr>
            </w:pPr>
            <w:r>
              <w:rPr>
                <w:rFonts w:hint="eastAsia" w:ascii="黑体" w:hAnsi="宋体" w:eastAsia="黑体" w:cs="黑体"/>
                <w:i w:val="0"/>
                <w:iCs w:val="0"/>
                <w:color w:val="000000"/>
                <w:kern w:val="0"/>
                <w:sz w:val="21"/>
                <w:szCs w:val="21"/>
                <w:highlight w:val="none"/>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highlight w:val="none"/>
                <w:u w:val="none"/>
                <w:lang w:val="en-US" w:eastAsia="zh-CN" w:bidi="ar"/>
              </w:rPr>
            </w:pPr>
            <w:r>
              <w:rPr>
                <w:rFonts w:hint="eastAsia" w:ascii="黑体" w:hAnsi="宋体" w:eastAsia="黑体" w:cs="黑体"/>
                <w:i w:val="0"/>
                <w:iCs w:val="0"/>
                <w:color w:val="000000"/>
                <w:kern w:val="0"/>
                <w:sz w:val="21"/>
                <w:szCs w:val="21"/>
                <w:highlight w:val="none"/>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1"/>
                <w:szCs w:val="21"/>
                <w:highlight w:val="none"/>
                <w:u w:val="none"/>
              </w:rPr>
            </w:pPr>
            <w:r>
              <w:rPr>
                <w:rFonts w:hint="eastAsia" w:ascii="黑体" w:hAnsi="宋体" w:eastAsia="黑体" w:cs="黑体"/>
                <w:i w:val="0"/>
                <w:iCs w:val="0"/>
                <w:color w:val="000000"/>
                <w:kern w:val="0"/>
                <w:sz w:val="21"/>
                <w:szCs w:val="21"/>
                <w:highlight w:val="none"/>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1"/>
                <w:szCs w:val="21"/>
                <w:highlight w:val="none"/>
                <w:u w:val="none"/>
                <w:lang w:val="en-US" w:eastAsia="zh-CN" w:bidi="ar"/>
              </w:rPr>
            </w:pPr>
            <w:r>
              <w:rPr>
                <w:rFonts w:hint="eastAsia" w:ascii="黑体" w:hAnsi="宋体" w:eastAsia="黑体" w:cs="黑体"/>
                <w:b/>
                <w:bCs/>
                <w:i w:val="0"/>
                <w:iCs w:val="0"/>
                <w:color w:val="000000"/>
                <w:kern w:val="0"/>
                <w:sz w:val="21"/>
                <w:szCs w:val="21"/>
                <w:highlight w:val="none"/>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1"/>
                <w:szCs w:val="21"/>
                <w:highlight w:val="none"/>
                <w:u w:val="none"/>
              </w:rPr>
            </w:pPr>
            <w:r>
              <w:rPr>
                <w:rFonts w:hint="eastAsia" w:ascii="黑体" w:hAnsi="宋体" w:eastAsia="黑体" w:cs="黑体"/>
                <w:b/>
                <w:bCs/>
                <w:i w:val="0"/>
                <w:iCs w:val="0"/>
                <w:color w:val="000000"/>
                <w:kern w:val="0"/>
                <w:sz w:val="21"/>
                <w:szCs w:val="21"/>
                <w:highlight w:val="none"/>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highlight w:val="none"/>
                <w:u w:val="none"/>
              </w:rPr>
            </w:pPr>
            <w:r>
              <w:rPr>
                <w:rFonts w:hint="eastAsia" w:ascii="黑体" w:hAnsi="宋体" w:eastAsia="黑体" w:cs="黑体"/>
                <w:b/>
                <w:bCs/>
                <w:i w:val="0"/>
                <w:iCs w:val="0"/>
                <w:color w:val="000000"/>
                <w:kern w:val="0"/>
                <w:sz w:val="21"/>
                <w:szCs w:val="21"/>
                <w:highlight w:val="none"/>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highlight w:val="none"/>
                <w:u w:val="none"/>
              </w:rPr>
            </w:pPr>
            <w:r>
              <w:rPr>
                <w:rFonts w:hint="eastAsia" w:ascii="黑体" w:hAnsi="宋体" w:eastAsia="黑体" w:cs="黑体"/>
                <w:b/>
                <w:bCs/>
                <w:i w:val="0"/>
                <w:iCs w:val="0"/>
                <w:color w:val="000000"/>
                <w:kern w:val="0"/>
                <w:sz w:val="21"/>
                <w:szCs w:val="21"/>
                <w:highlight w:val="none"/>
                <w:u w:val="none"/>
                <w:lang w:val="en-US" w:eastAsia="zh-CN" w:bidi="ar"/>
              </w:rPr>
              <w:t>三级指标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highlight w:val="none"/>
                <w:u w:val="none"/>
              </w:rPr>
            </w:pPr>
            <w:r>
              <w:rPr>
                <w:rFonts w:hint="eastAsia" w:ascii="黑体" w:hAnsi="宋体" w:eastAsia="黑体" w:cs="黑体"/>
                <w:b/>
                <w:bCs/>
                <w:i w:val="0"/>
                <w:iCs w:val="0"/>
                <w:color w:val="000000"/>
                <w:kern w:val="0"/>
                <w:sz w:val="21"/>
                <w:szCs w:val="21"/>
                <w:highlight w:val="none"/>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指标1：治理水土流失面积</w:t>
            </w:r>
          </w:p>
        </w:tc>
        <w:tc>
          <w:tcPr>
            <w:tcW w:w="184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22.86平方公里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指标2：新建堤防（护岸）长度</w:t>
            </w:r>
          </w:p>
        </w:tc>
        <w:tc>
          <w:tcPr>
            <w:tcW w:w="184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2032.9米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指标3：种植高原柳</w:t>
            </w:r>
          </w:p>
        </w:tc>
        <w:tc>
          <w:tcPr>
            <w:tcW w:w="184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678株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指标4：种植披碱草</w:t>
            </w:r>
          </w:p>
        </w:tc>
        <w:tc>
          <w:tcPr>
            <w:tcW w:w="184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1592.38公顷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指标5：新建封禁标志碑</w:t>
            </w:r>
          </w:p>
        </w:tc>
        <w:tc>
          <w:tcPr>
            <w:tcW w:w="184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指标6：封禁治理面积</w:t>
            </w:r>
          </w:p>
        </w:tc>
        <w:tc>
          <w:tcPr>
            <w:tcW w:w="184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690.12公顷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指标1：项目竣工验收达标率</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指标2：项目设计方案变更率</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时效指标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指标1：按时取得项目开工许可证</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2022年3月31日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指标2：工程按时开工</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2022年4月1日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指标3：工程按时竣工验收</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2022年9月30日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指标1：项目建设总投资成本</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≤1002.94万元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指标1：中央和省级水利发展资金及地方配套</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1002.94万元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指标1：减少自然灾害救灾支出</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指标2：提高牧民收入</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指标1：服务社会当地群众</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≥5000人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指标2：保障工农业生产</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指标3：改善居民生活环境</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指标1：减少自然灾害</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指标2：保持水土，涵养水源</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可持续影响</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指标1：持续服务本地群众期限</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指标1：区域辐射人群满意度</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指标2：区域监管部门满意度</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818"/>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32734"/>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神，对阿坝县科学技术和农业畜牧水务局开展的阿坝县羊股沟小流域水土流失综合治理项目进行事后绩效评价，从财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阿坝县科学技术和农业畜牧水务局开展的阿坝县羊股沟小流域水土流失综合治理项目，评价本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羊股沟小流域水土流失综合治理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4437"/>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阿坝县羊股沟小流域水土流失综合治理项目</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w:t>
      </w:r>
      <w:r>
        <w:rPr>
          <w:rFonts w:hint="eastAsia" w:ascii="仿宋" w:hAnsi="仿宋" w:eastAsia="仿宋" w:cs="仿宋"/>
          <w:b w:val="0"/>
          <w:bCs w:val="0"/>
          <w:sz w:val="30"/>
          <w:szCs w:val="30"/>
          <w:highlight w:val="none"/>
          <w:lang w:val="en-US" w:eastAsia="zh-CN"/>
        </w:rPr>
        <w:t>目特点进行个性化设置。一级指标4个：决策、过程、产出和效益；二级指标10个，三级指标17个，围绕项目立项、资金投入、项目过程、项目产出、项目效益等方面，客观分析项目的产出和效果，进而挖掘经验和好的做</w:t>
      </w:r>
      <w:r>
        <w:rPr>
          <w:rFonts w:hint="eastAsia" w:ascii="仿宋" w:hAnsi="仿宋" w:eastAsia="仿宋" w:cs="仿宋"/>
          <w:b w:val="0"/>
          <w:bCs w:val="0"/>
          <w:sz w:val="30"/>
          <w:szCs w:val="30"/>
          <w:lang w:val="en-US" w:eastAsia="zh-CN"/>
        </w:rPr>
        <w:t>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30639"/>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8401"/>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19341"/>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2016年12月编制审批通过了《四川省水土保持规划（2015—2030年）》，近期目标：到2020年，基本建成与国民经济发展相适应的水土流失综合防治体系，人为水土流失得到有效控制，生态环境得以持续改善，水土保持生态文明建设取得显著成效。完成新增水土流失综合治理面积26900 km²，新增水土流失综合治理率达到22.22%， 治理区植被覆盖率提高5.05%。远期目标：到2030年，全面建成与我省经济社会发展相适应的水土流失综合防治体系，生态环境步入良性循环。建设完善的水土流失监测网络和信息系统，健全水土保持法律、法规体系和监督管理体系，生产建设项目“三同时”制度得到全面落实，生产建设活动导致的人为水土流失得到全面控制。完成新增水土流失综合治理面积78200km²，新增水土流失综合治理率达到64.61%， 治理区植被覆盖率提高15.16%。</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十四五”生态环境保护规划》指出保护草原生态系统。以遏制草原退化、实现草畜平衡、提升草地生态功能为重点，开展草原生态保护建设。严格保护长江、黄河天然草原，以甘孜、阿坝为重点区域，对严重退化、沙化草原实行禁牧封育。</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2016年12月编制审批通过了《阿坝藏族羌族自治州阿坝县水土保持规划（2015-2030）》，总体目标：到2030年，建成与阿坝县社会经济可持续发展相适应的水土流失综合防治体系，生态环境步入良性循环，实现水土保持生态文明。区域水土流失治理率实现总面积的65%，人为水土流失得到控制。林草植被得到保护和恢复，覆盖状况得到明显改善，覆盖面积有相当程度的增加。水土保持监测网络完全覆盖，水土保持设施运行维护到位，科技创新支撑能力不断提高。近期目标：到2020年，基本建成与本地区社会经济发展相适应的水土流失综合防治体系，生态环境持续改善，重点治理地区生态趋向好转。区域水土流失治理率实现总面积的10%，人为水土流失得到基本控制。林草植被基本得到保护与恢复，覆盖状况得到有效改善，覆盖面积有所增加。水土保持监督执法能力稳步提升，水土保持监测网路基本覆盖，水土保持设施运行维护到位，科技支撑能力不断提高。</w:t>
      </w: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科学技术和农业畜牧水务局水务服务中心先内部讨论决议设立该项目，经过主管部门和财政部门等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w:t>
      </w:r>
      <w:r>
        <w:rPr>
          <w:rFonts w:hint="eastAsia" w:ascii="仿宋" w:hAnsi="仿宋" w:eastAsia="仿宋" w:cs="仿宋"/>
          <w:sz w:val="30"/>
          <w:szCs w:val="30"/>
          <w:highlight w:val="none"/>
          <w:lang w:eastAsia="zh-CN"/>
        </w:rPr>
        <w:t>设置</w:t>
      </w:r>
      <w:r>
        <w:rPr>
          <w:rFonts w:hint="eastAsia" w:ascii="仿宋" w:hAnsi="仿宋" w:eastAsia="仿宋" w:cs="仿宋"/>
          <w:sz w:val="30"/>
          <w:szCs w:val="30"/>
          <w:highlight w:val="none"/>
        </w:rPr>
        <w:t>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指标中数量、质量、时效指标根据该项目具体工作内容展开。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大部分与项目实际产出相关，绩效目标与预算确定的项目投资额或资金量相匹配，但效益指标的指标值大多为达成预期目标，无法具体考核，部分绩效目标的设置不够合理。</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产出指标均能够量化，可以衡量项目建设所取得的效果，与项目具体建设内容或计划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但是本项目的效益指标中多个指标的指标值设置为“达成预期目标”如经济</w:t>
      </w:r>
      <w:r>
        <w:rPr>
          <w:rFonts w:hint="eastAsia" w:ascii="仿宋" w:hAnsi="仿宋" w:eastAsia="仿宋" w:cs="仿宋"/>
          <w:b w:val="0"/>
          <w:bCs w:val="0"/>
          <w:sz w:val="30"/>
          <w:szCs w:val="30"/>
          <w:highlight w:val="none"/>
          <w:lang w:val="en-US" w:eastAsia="zh-CN"/>
        </w:rPr>
        <w:t>效益指标中指标1：减少自然灾害救灾支出，指标值为达成预期目标；指标2：提升牧民收入，指标值为达成预期目标。另社会效益、生态效益指标多个指标值为达成预期目标，绩效目标和指标值设置不够明确，后续考核难以量化。</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按①按四川省水利厅颁发的川水发[2015]9号文《四川省水利水电工程设计概（估）算编制规定》执行。四川省水利厅关于印发《增值税税率调整后(四川省水利水电工程设计概（估）算编制规定)相应调整办法》的通知（川水函〔2019〕610号）。四川省水利厅颁发的川水发[2007]20号文《四川省水利水电建筑工程预算定额》、水利部水总[2002]116号文颁发的《水利工程施工机械台时费定额》。初步设计阶段水利工程套用预算定额编制概算单价时，单价乘以1.03单价扩大系数；国家发展改革委、建设部关于印发《建设工程监理与相关服务收费管理规定》的通知（发改价格[2007]670号文）；国家计委、建设部关于发布《工程勘察设计收费管理规定》的通知（计价格[2002]10号文）；相关设计资料、图纸、工程量及施工组织设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立项预估资金总额为1002.94万元，项目已取得阿坝县发展和改革局批复《阿县发改行审（2021）171号》，批复列示，项目资金来源中央和省级水利发展资金及地方配套。资金下达依据为四川省财政厅、四川省水利局的《川财农（2022）9号》，阿坝州财政局《阿州财资环（2022）27号》、《阿州财资环(2023)1号》。阿坝县羊股沟小流域水土流失综合治理项目资金安排为7,523,017.62元，已下达资金7,523,017.62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本项目资金分配包含建安工程、金属结构设备及安装工程、施工临时工程、独立费用、预备费等，均按相关规定进行分配，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项目已下达资金7,523,017.62元。资金实际用于本项目基础设施建设、临时工程及设施设备采购等，本项目资金分配结果与规划一致。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26847"/>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得分16.2分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权重12分，得分10.7分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依据资金下达依据为四川省财政厅、四川省水利局的《川财农（2022）9号》，阿坝州财政局《阿州财资环（2022）27号》、《阿州财资环(2023)1号》。经调剂后确认阿坝县羊股沟小流域水土流失综合治理项目资金安排为7,523,017.62元，已下达资金7,523,017.62元。</w:t>
      </w: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根据本项目实际情况，截至绩效评价日2023年8月15日，</w:t>
      </w:r>
      <w:r>
        <w:rPr>
          <w:rFonts w:hint="eastAsia" w:ascii="仿宋" w:hAnsi="仿宋" w:eastAsia="仿宋" w:cs="仿宋"/>
          <w:b w:val="0"/>
          <w:bCs w:val="0"/>
          <w:sz w:val="30"/>
          <w:szCs w:val="30"/>
          <w:lang w:val="en-US" w:eastAsia="zh-CN"/>
        </w:rPr>
        <w:t>依据资金下达依据为四川省财政厅、四川省水利局的《川财农（2022）9号》，阿坝州财政局《阿州财资环（2022）27号》、《阿州财资环(2023)1号》。阿坝县羊股沟小流域水土流失综合治理项目资金安排为7,523,017.62元，已下达资金7,523,017.62元。截至绩效评价日2023年8月18日，本项目已支付6,963,038.32元，其中2022年支付5,603,017.62元，2023年支付1,360,020.7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为92.56%。</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经查阅本项目财务资料，项目存在财务资料编制不严谨的问题，施工单位在2022年7月4日，2022年8月1日，2022年9月20日申报的工程款支付报审表中，建设单位审批意见一栏未进行填写。经查阅本项目记账凭证，在项目记账凭证中，会计机构负责人未进行签字或盖章。在查阅本项目原始凭证过程中，法相本项目原始凭证存有项目资金拨付审批表为复印件问题，根据相关规定，资金拨付审批表在原始凭证中应为原件，如日期为2022年4月6日、2022年7月31日、2022年8月1日、2022年8月5日、2022年9月20日、2022年11月1日等日期的资金拨付审批表均为复印件，原始凭证管理不规范。</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群众管理由管理单位与受益单位推选管理人员，各级群管人员层层承包签订合同，一切按合同办理，建立健全管理委员会制度，讨论决定防洪保安措施、工程调度运用及工程维修管理等问题。积极开展多种经营，增加经济收入，逐步形成一支具有活力的专业管理队伍，为使群管人员的责权利有机的结合，多种经营的收入可按比例分成。严格按“水法”及工程管理条例进行管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但本项目存在合同管理不规范的问题，根据本项目项目资料，评价组查阅阿坝县科学技术和农业畜牧水务局与成都创新环保有限公司签订的技术咨询合同，该合同未在合同内填列合同签订日期。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8567"/>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价得分40分。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（1）治理水土流失面积，权重2分，得分2分。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项目绩效目标申报表的产出指标中治理水土流失面积指标值为22.86平方公里，</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项目建设资料、完工验收鉴定书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、项目批复及实施方案</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，本项目治理水土流失面积为22.86平方公里，治理水土流失面积完成率为100%。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（2）新建堤防（护岸）长度，权重2分，得分2分。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项目绩效目标申报表的产出指标中新建堤防（护岸）长度指标值为2032.9米，</w:t>
      </w:r>
      <w:r>
        <w:rPr>
          <w:rFonts w:hint="default" w:ascii="仿宋" w:hAnsi="仿宋" w:eastAsia="仿宋" w:cs="仿宋"/>
          <w:b w:val="0"/>
          <w:bCs w:val="0"/>
          <w:sz w:val="30"/>
          <w:szCs w:val="30"/>
          <w:highlight w:val="none"/>
          <w:lang w:val="en-US" w:eastAsia="zh-CN"/>
        </w:rPr>
        <w:t>根据施工单位提交的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，本项目已完成新建堤防（护岸）长度2032.9米，综合治理河道完成率为100%。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（3）种植高原柳，权重2分，得分2分。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项目绩效目标申报表的产出指标中种植高原柳指标值为678株，</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，种植高原柳完成678株，种植高原柳完成率为100%。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（4）种植披碱草，权重2分，得分2分。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项目绩效目标申报表的产出指标中种植披碱草指标值为1592.38公顷，</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，本项目完工验收鉴定书中种植披碱草完成值为1592.38公顷，播撒草籽完成率</w:t>
      </w:r>
      <w:r>
        <w:rPr>
          <w:rFonts w:hint="eastAsia" w:ascii="仿宋" w:hAnsi="仿宋" w:eastAsia="仿宋" w:cs="仿宋"/>
          <w:b w:val="0"/>
          <w:bCs w:val="0"/>
          <w:sz w:val="30"/>
          <w:szCs w:val="30"/>
          <w:lang w:val="en-US" w:eastAsia="zh-CN"/>
        </w:rPr>
        <w:t>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（5）新建封禁标志碑，权重1分，得分1分。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项目绩效目标申报表的产出指标中新建封禁标志碑指标值为7处，</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，本项目共新建7处新建封禁标志碑，布设排水涵管完成率为100%。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（6）封禁治理面积，权重1分，得分1分。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项目绩效目标申报表的产出指标中封禁治理面积指标值为690.12公顷，</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，本项目完工验收鉴定书中封禁治理面积完成值为690.12公顷，封禁治理面积完成率为100%。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项目单位、施工单位、设计单位、监理单位出具的完工验收鉴定书的结论列示：①本项目工程质量评定合格。②验收结论为合格。项目竣工验收达标率≥95%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（2）项目设计方案变更率，权重5分，得分5分。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项目绩效目标申报表的质量指标中项目设计方案变更率指标值为≤5%，依据项目单位、施工单位、设计单位、监理单位</w:t>
      </w:r>
      <w:r>
        <w:rPr>
          <w:rFonts w:hint="eastAsia" w:ascii="仿宋" w:hAnsi="仿宋" w:eastAsia="仿宋" w:cs="仿宋"/>
          <w:sz w:val="30"/>
          <w:szCs w:val="30"/>
          <w:lang w:val="en-US" w:eastAsia="zh-CN"/>
        </w:rPr>
        <w:t>针对</w:t>
      </w:r>
      <w:r>
        <w:rPr>
          <w:rFonts w:hint="eastAsia" w:ascii="仿宋" w:hAnsi="仿宋" w:eastAsia="仿宋" w:cs="仿宋"/>
          <w:b w:val="0"/>
          <w:bCs w:val="0"/>
          <w:sz w:val="30"/>
          <w:szCs w:val="30"/>
          <w:highlight w:val="none"/>
          <w:lang w:val="en-US" w:eastAsia="zh-CN"/>
        </w:rPr>
        <w:t>本项目出具的完工验收鉴定书的结论列示：①已完成合同约定的施工内容。②验收结论为合格。项目设计方案变更率≤5%，项目竣工验收达标率完成率为100%。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（1）</w:t>
      </w:r>
      <w:r>
        <w:rPr>
          <w:rFonts w:hint="eastAsia" w:ascii="仿宋" w:hAnsi="仿宋" w:eastAsia="仿宋" w:cs="仿宋"/>
          <w:sz w:val="30"/>
          <w:szCs w:val="30"/>
          <w:lang w:val="en-US" w:eastAsia="zh-CN"/>
        </w:rPr>
        <w:t>按时取得项目开工许可证，权重5分，得分5分。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根据项目竣工验收资料及与项目单位相关人员了解，本项目已于2022年3月31日进场开展施工准备，完成绩效目标值</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（1）工程按时开工</w:t>
      </w:r>
      <w:r>
        <w:rPr>
          <w:rFonts w:hint="eastAsia" w:ascii="仿宋" w:hAnsi="仿宋" w:eastAsia="仿宋" w:cs="仿宋"/>
          <w:sz w:val="30"/>
          <w:szCs w:val="30"/>
          <w:lang w:val="en-US" w:eastAsia="zh-CN"/>
        </w:rPr>
        <w:t>，权重5分，得分4分。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开工日期受资金下达时间影响、项目前期准备完成时间影响等，本项目事前绩效目标中计划开工日期为保守估计，实际开工日以资金下达时间为准，根据项目竣工验收资料及与项目单位相关人员了解，2022年4月1日正式开工</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（2）工程按时竣工验</w:t>
      </w:r>
      <w:r>
        <w:rPr>
          <w:rFonts w:hint="eastAsia" w:ascii="仿宋" w:hAnsi="仿宋" w:eastAsia="仿宋" w:cs="仿宋"/>
          <w:b w:val="0"/>
          <w:bCs w:val="0"/>
          <w:sz w:val="30"/>
          <w:szCs w:val="30"/>
          <w:highlight w:val="none"/>
          <w:lang w:val="en-US" w:eastAsia="zh-CN"/>
        </w:rPr>
        <w:t>收，权重5分，得分5分。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根据项目完工验收鉴定书，本项目于2022年10月15日完工。工程按时竣工验</w:t>
      </w:r>
      <w:r>
        <w:rPr>
          <w:rFonts w:hint="eastAsia" w:ascii="仿宋" w:hAnsi="仿宋" w:eastAsia="仿宋" w:cs="仿宋"/>
          <w:b w:val="0"/>
          <w:bCs w:val="0"/>
          <w:sz w:val="30"/>
          <w:szCs w:val="30"/>
          <w:highlight w:val="none"/>
          <w:lang w:val="en-US" w:eastAsia="zh-CN"/>
        </w:rPr>
        <w:t>收完成率为100%</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b w:val="0"/>
          <w:bCs w:val="0"/>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sz w:val="30"/>
          <w:szCs w:val="30"/>
          <w:lang w:val="en-US" w:eastAsia="zh-CN"/>
        </w:rPr>
        <w:t>1002.94万元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w:t>
      </w:r>
      <w:r>
        <w:rPr>
          <w:rFonts w:hint="eastAsia" w:ascii="仿宋" w:hAnsi="仿宋" w:eastAsia="仿宋" w:cs="仿宋"/>
          <w:b w:val="0"/>
          <w:bCs w:val="0"/>
          <w:sz w:val="30"/>
          <w:szCs w:val="30"/>
          <w:lang w:val="en-US" w:eastAsia="zh-CN"/>
        </w:rPr>
        <w:t>截至绩效评价日2023年8月18日，本项目已支付6,963,038.32元，其中2022年支付5,603,017.62元，2023年支付1,360,020.7元。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成本指标为</w:t>
      </w: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sz w:val="30"/>
          <w:szCs w:val="30"/>
          <w:lang w:val="en-US" w:eastAsia="zh-CN"/>
        </w:rPr>
        <w:t>1002.94万元</w:t>
      </w:r>
      <w:r>
        <w:rPr>
          <w:rFonts w:hint="eastAsia" w:ascii="仿宋" w:hAnsi="仿宋" w:eastAsia="仿宋" w:cs="仿宋"/>
          <w:b w:val="0"/>
          <w:bCs w:val="0"/>
          <w:sz w:val="30"/>
          <w:szCs w:val="30"/>
          <w:highlight w:val="none"/>
          <w:lang w:val="en-US" w:eastAsia="zh-CN"/>
        </w:rPr>
        <w:t>，完成既定绩效目标。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4647"/>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得分20分。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①减少自然灾害救灾支出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根据对项目单位、施工单位相关负责人的访谈，以及通过走访问询当地牧民群众、实地查看的方式进行统计分析，了解到项目地区通过新建河道（护岸）的工程，保护了河道周边群众，项目建成后牧民草场受洪涝灾害影响大幅度减少，减少了救灾支出。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②提高牧民收入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且本项目建设能够减少水土流失，保护草地，间接提高牧民收入。经济效益指标中提升牧民收入指标值为达成预期目标，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①服务社会当地群众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走访，查阅相关资料，工程主要防护范围为羊股沟周边地区，项目能够服务到当地群众及游客约5000人/年，故服务社会当地群众≥5000人达成指标。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②保障工农业生产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评价组通过调查走访，查阅相关资料，</w:t>
      </w:r>
      <w:r>
        <w:rPr>
          <w:rFonts w:hint="eastAsia" w:ascii="仿宋" w:hAnsi="仿宋" w:eastAsia="仿宋" w:cs="仿宋"/>
          <w:smallCaps w:val="0"/>
          <w:kern w:val="2"/>
          <w:sz w:val="30"/>
          <w:szCs w:val="30"/>
          <w:highlight w:val="none"/>
          <w:lang w:val="en-US" w:eastAsia="zh-CN" w:bidi="ar-SA"/>
        </w:rPr>
        <w:t>阿坝县羊股沟小流域水土流失综合治理项目</w:t>
      </w:r>
      <w:r>
        <w:rPr>
          <w:rFonts w:hint="eastAsia" w:ascii="仿宋" w:hAnsi="仿宋" w:eastAsia="仿宋" w:cs="仿宋"/>
          <w:b w:val="0"/>
          <w:bCs w:val="0"/>
          <w:sz w:val="30"/>
          <w:szCs w:val="30"/>
          <w:lang w:val="en-US" w:eastAsia="zh-CN"/>
        </w:rPr>
        <w:t>主要防护范围为羊股沟周边地区，项目的建设是有效完善当地基础设施建设的手段，能够保障工农业生产，已达成预期绩效目标。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③改善居民生活环境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评价组通过调查走访，查阅相关资料，</w:t>
      </w:r>
      <w:r>
        <w:rPr>
          <w:rFonts w:hint="eastAsia" w:ascii="仿宋" w:hAnsi="仿宋" w:eastAsia="仿宋" w:cs="仿宋"/>
          <w:smallCaps w:val="0"/>
          <w:kern w:val="2"/>
          <w:sz w:val="30"/>
          <w:szCs w:val="30"/>
          <w:highlight w:val="none"/>
          <w:lang w:val="en-US" w:eastAsia="zh-CN" w:bidi="ar-SA"/>
        </w:rPr>
        <w:t>阿坝县羊股沟小流域水土流失综合治理项目</w:t>
      </w:r>
      <w:r>
        <w:rPr>
          <w:rFonts w:hint="eastAsia" w:ascii="仿宋" w:hAnsi="仿宋" w:eastAsia="仿宋" w:cs="仿宋"/>
          <w:b w:val="0"/>
          <w:bCs w:val="0"/>
          <w:sz w:val="30"/>
          <w:szCs w:val="30"/>
          <w:lang w:val="en-US" w:eastAsia="zh-CN"/>
        </w:rPr>
        <w:t>主要防护范围为羊股沟周边地区，项目能够改善居民生活环境，保持水土，已达成预期绩效目标。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①</w:t>
      </w:r>
      <w:r>
        <w:rPr>
          <w:rFonts w:hint="eastAsia" w:ascii="仿宋" w:hAnsi="仿宋" w:eastAsia="仿宋" w:cs="仿宋"/>
          <w:b w:val="0"/>
          <w:bCs w:val="0"/>
          <w:sz w:val="30"/>
          <w:szCs w:val="30"/>
          <w:lang w:val="en-US" w:eastAsia="zh-CN"/>
        </w:rPr>
        <w:t>减少自然灾害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贾洛镇总人口0.57万人，小于20万人，防洪标准采用10-20年，根据当地社会经济发展等基本情况及各具体保护对象，综合确定本工程护岸工程不设防洪标准，主要建筑物级别为5级。根据《治涝标准》（SL723-2016）规定，确定工程河段排涝设计暴雨重现期为5年一遇。指标值为达成预期目标，项目能有效减少自然灾害，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②保持水土，涵养水源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本项目根据河道现状，深化分析、研究，充分利用现有完好堤防，与现有堤防平顺衔接，形成连续、封闭的防洪体系，保持水土，涵养水源达成预期目标，项目建成后实际已达成预期目标。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持续服务本地群众期限≥30年，经评价组查阅相关设计资料，查阅本项目完工验收鉴定报告，项目能</w:t>
      </w:r>
      <w:r>
        <w:rPr>
          <w:rFonts w:hint="eastAsia" w:ascii="仿宋" w:hAnsi="仿宋" w:eastAsia="仿宋" w:cs="仿宋"/>
          <w:b w:val="0"/>
          <w:bCs w:val="0"/>
          <w:sz w:val="30"/>
          <w:szCs w:val="30"/>
          <w:lang w:val="en-US" w:eastAsia="zh-CN"/>
        </w:rPr>
        <w:t>够持续影响项目地，绩效目标为持续服务本地群众期限≥</w:t>
      </w:r>
      <w:r>
        <w:rPr>
          <w:rFonts w:hint="eastAsia" w:ascii="仿宋" w:hAnsi="仿宋" w:eastAsia="仿宋" w:cs="仿宋"/>
          <w:b w:val="0"/>
          <w:bCs w:val="0"/>
          <w:sz w:val="30"/>
          <w:szCs w:val="30"/>
          <w:highlight w:val="none"/>
          <w:lang w:val="en-US" w:eastAsia="zh-CN"/>
        </w:rPr>
        <w:t>3</w:t>
      </w:r>
      <w:r>
        <w:rPr>
          <w:rFonts w:hint="eastAsia" w:ascii="仿宋" w:hAnsi="仿宋" w:eastAsia="仿宋" w:cs="仿宋"/>
          <w:b w:val="0"/>
          <w:bCs w:val="0"/>
          <w:sz w:val="30"/>
          <w:szCs w:val="30"/>
          <w:lang w:val="en-US" w:eastAsia="zh-CN"/>
        </w:rPr>
        <w:t>0年，预估项目能够持续服务本地群众期限≥</w:t>
      </w:r>
      <w:r>
        <w:rPr>
          <w:rFonts w:hint="eastAsia" w:ascii="仿宋" w:hAnsi="仿宋" w:eastAsia="仿宋" w:cs="仿宋"/>
          <w:b w:val="0"/>
          <w:bCs w:val="0"/>
          <w:sz w:val="30"/>
          <w:szCs w:val="30"/>
          <w:highlight w:val="none"/>
          <w:lang w:val="en-US" w:eastAsia="zh-CN"/>
        </w:rPr>
        <w:t>3</w:t>
      </w:r>
      <w:r>
        <w:rPr>
          <w:rFonts w:hint="eastAsia" w:ascii="仿宋" w:hAnsi="仿宋" w:eastAsia="仿宋" w:cs="仿宋"/>
          <w:b w:val="0"/>
          <w:bCs w:val="0"/>
          <w:sz w:val="30"/>
          <w:szCs w:val="30"/>
          <w:lang w:val="en-US" w:eastAsia="zh-CN"/>
        </w:rPr>
        <w:t>0年。</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3372"/>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8028"/>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，除存在财务资料编制不严谨的问题</w:t>
      </w:r>
      <w:r>
        <w:rPr>
          <w:rFonts w:hint="eastAsia" w:ascii="仿宋" w:hAnsi="仿宋" w:eastAsia="仿宋" w:cs="仿宋"/>
          <w:sz w:val="30"/>
          <w:szCs w:val="30"/>
          <w:lang w:val="en-US" w:eastAsia="zh-CN"/>
        </w:rPr>
        <w:t>、合同管理不规范、项目未制定相应财务管理制度、业务管理制度、部分效益绩效目标设置不够合理及明确，预算绩效管理工作有待加强、未针对本项目制定《可行性研究报告》，就形式上缺少对项目的可行性、风险及控制措施的充分论证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阿坝县羊股沟小流域水土流失综合治理项目</w:t>
      </w:r>
      <w:r>
        <w:rPr>
          <w:rFonts w:hint="default" w:ascii="仿宋" w:hAnsi="仿宋" w:eastAsia="仿宋" w:cs="仿宋"/>
          <w:sz w:val="30"/>
          <w:szCs w:val="30"/>
          <w:lang w:val="en-US" w:eastAsia="zh-CN"/>
        </w:rPr>
        <w:t>”。从验收和调研结果以及满意度调查结果分析，项目实施后的社会效益和可持续影响较好</w:t>
      </w:r>
      <w:r>
        <w:rPr>
          <w:rFonts w:hint="eastAsia" w:ascii="仿宋" w:hAnsi="仿宋" w:eastAsia="仿宋" w:cs="仿宋"/>
          <w:sz w:val="30"/>
          <w:szCs w:val="30"/>
          <w:lang w:val="en-US" w:eastAsia="zh-CN"/>
        </w:rPr>
        <w:t>，</w:t>
      </w:r>
      <w:r>
        <w:rPr>
          <w:rFonts w:hint="default" w:ascii="仿宋" w:hAnsi="仿宋" w:eastAsia="仿宋" w:cs="仿宋"/>
          <w:sz w:val="30"/>
          <w:szCs w:val="30"/>
          <w:lang w:val="en-US" w:eastAsia="zh-CN"/>
        </w:rPr>
        <w:t>项目基本实现了立项时的绩效目标。</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32322"/>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科学技术和农业畜牧水务局开展的阿坝县羊股沟小流域水土流失综合治理项目项目绩效进行独立客观评价，最终评分得分为92.2</w:t>
      </w:r>
      <w:r>
        <w:rPr>
          <w:rFonts w:hint="eastAsia" w:ascii="仿宋" w:hAnsi="仿宋" w:eastAsia="仿宋" w:cs="仿宋"/>
          <w:sz w:val="30"/>
          <w:szCs w:val="30"/>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40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92.2</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92.2</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925"/>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9745"/>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该项目的管理组织架构较为完善：</w:t>
      </w:r>
      <w:r>
        <w:rPr>
          <w:rFonts w:hint="eastAsia" w:ascii="仿宋" w:hAnsi="仿宋" w:eastAsia="仿宋" w:cs="仿宋"/>
          <w:smallCaps w:val="0"/>
          <w:kern w:val="2"/>
          <w:sz w:val="30"/>
          <w:szCs w:val="30"/>
          <w:highlight w:val="none"/>
          <w:lang w:val="en-US" w:eastAsia="zh-CN" w:bidi="ar-SA"/>
        </w:rPr>
        <w:t>阿坝县科学技术和农业畜牧水务局水务服务中心</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阿坝县羊股沟小流域水土流失综合治理项目的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多方确认验收通过，项目实施有序，项目单位组织情况良好。从最终项目竣工验收结果可见，</w:t>
      </w:r>
      <w:r>
        <w:rPr>
          <w:rFonts w:hint="eastAsia" w:ascii="仿宋" w:hAnsi="仿宋" w:eastAsia="仿宋" w:cs="仿宋"/>
          <w:smallCaps w:val="0"/>
          <w:kern w:val="2"/>
          <w:sz w:val="30"/>
          <w:szCs w:val="30"/>
          <w:highlight w:val="none"/>
          <w:lang w:val="en-US" w:eastAsia="zh-CN" w:bidi="ar-SA"/>
        </w:rPr>
        <w:t>阿坝县羊股沟小流域水土流失综合治理项目建设项目</w:t>
      </w:r>
      <w:r>
        <w:rPr>
          <w:rFonts w:hint="eastAsia" w:ascii="仿宋" w:hAnsi="仿宋" w:eastAsia="仿宋" w:cs="仿宋"/>
          <w:b w:val="0"/>
          <w:bCs w:val="0"/>
          <w:sz w:val="30"/>
          <w:szCs w:val="30"/>
          <w:lang w:val="en-US" w:eastAsia="zh-CN"/>
        </w:rPr>
        <w:t>基本圆满完成。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7448"/>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经查阅本项目财务资料，项目存在财务资料编制不严谨的问题，施工单位在2022年7月4日，2022年8月1日，2022年9月20日申报的工程款支付报审表中，建设单位审批意见一栏未进行填写。经查阅本项目记账凭证，在项目记账凭证中，会计机构负责人未进行签字或盖章。在查阅本项目原始凭证过程中，发现本项目原始凭证存有项目资金拨付审批表为复印件问题，根据相关规定，资金拨付审批表在原始凭证中应为原件，如日期为2022年4月6日、2022年7月31日、2022年8月1日、2022年8月5日、2022年9月20日、2022年11月1日等日期的资金拨付审批表均为复印件，原始凭证管理不规范。                                                        </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2、存在合同管理不规范的问题，根据本项目项目资料，评价组查阅阿坝县科学技术和农业畜牧水务局与成都创新环保有限公司签订的技术咨询合同，该合同未在合同内填列合同签订日期。</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预算绩效管理工作有待加强，项目效益指标的指标值难以全面地反映和考核具项目绩效目标与项目实施的相符情况。效益指标值的设置不明确，不利于绩效评价，指标目标值设置不够明确具体，比如在本项目绩效目标申报中，效益指标的经济效益指标中减少自然灾害救灾支出、提高牧民收入，社会效益指标中保障工农业生产、改善居民生活环境，生态效益指标中减少自然灾害、保持水土，涵养水源均为达成预期目标，没有具体可量化的指标值以供考核。</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4、财政部门和项目单位未针对本项目制定相关的业务、财务及管理等方面的保障制度，存在资金管理上的风险，需强化项目过程管理，妥善保存项目过程资料。</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5、阿坝县林业和草原局未针对本项目制定《可行性研究报告》，就形式上缺少对项目的可行性、风险及控制措施的充分论证。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31502"/>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强化财务管理，认真贯彻执行国家有关的财务管理制度，严格执行单位财务制度。建立健全财务管理的各种规章制度，编制记账凭证时加强审核。建议项目单位在归档原始凭证时应遵守相关规范，严格规范财务档案管理，加强原始凭证审核，避免出现类似资金拨付审批表为复印件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全面落实合同管理制度，规范合同签订流程，对合同签订实行全过程管理，写明日期对确定合同履行具有保障作用，建议项目单位在签订类似合同时写明签订日期，加强合同管理，明确双方在合同中的责任和义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深化绩效管理，强化绩效目标与工作计划、预算的关系，提升绩效目标指标合理性。建议项目单位在以后项目中设置绩效目标有明确的指标值以供考核，效益目标要与项目工作计划内容相一致，指标要明确可量化。</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开展投资额度较大，影响较大的项目时及时针对项目制定相应财务管理和业务管理制度，以便提高资金管理程度，减少资金使用风险，提高资金利用效率，以便在项目执行过程中落实各方责任，能够按相关规定开展本项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项目建设内容为水土综合治理工程，建议项目单位针对项目编制可行性研究报告，对项目必要性、可行性、风险控制措施进行进一步的论证，提前做好各项前期准备，保证工程质量，确保工程经过可行性和必要性的充分论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5739"/>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12533"/>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30519"/>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3981"/>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23978"/>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5768"/>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6044"/>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2023年8月30日</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9"/>
        <w:tblW w:w="9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
        <w:gridCol w:w="704"/>
        <w:gridCol w:w="1267"/>
        <w:gridCol w:w="3229"/>
        <w:gridCol w:w="1676"/>
        <w:gridCol w:w="1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9245"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iCs w:val="0"/>
                <w:color w:val="000000"/>
                <w:kern w:val="0"/>
                <w:sz w:val="28"/>
                <w:szCs w:val="28"/>
                <w:highlight w:val="none"/>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2397"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填报单位（盖章）</w:t>
            </w:r>
          </w:p>
        </w:tc>
        <w:tc>
          <w:tcPr>
            <w:tcW w:w="6848"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397"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highlight w:val="none"/>
                <w:u w:val="none"/>
              </w:rPr>
            </w:pPr>
            <w:r>
              <w:rPr>
                <w:rFonts w:hint="eastAsia" w:ascii="黑体" w:hAnsi="宋体" w:eastAsia="黑体" w:cs="黑体"/>
                <w:i w:val="0"/>
                <w:iCs w:val="0"/>
                <w:color w:val="000000"/>
                <w:kern w:val="0"/>
                <w:sz w:val="21"/>
                <w:szCs w:val="21"/>
                <w:highlight w:val="none"/>
                <w:u w:val="none"/>
                <w:lang w:val="en-US" w:eastAsia="zh-CN" w:bidi="ar"/>
              </w:rPr>
              <w:t>项目名称</w:t>
            </w:r>
          </w:p>
        </w:tc>
        <w:tc>
          <w:tcPr>
            <w:tcW w:w="6848"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阿坝县羊股沟小流域水土流失综合治理项目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8" w:hRule="atLeast"/>
          <w:jc w:val="center"/>
        </w:trPr>
        <w:tc>
          <w:tcPr>
            <w:tcW w:w="42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1"/>
                <w:szCs w:val="21"/>
                <w:highlight w:val="none"/>
                <w:u w:val="none"/>
                <w:lang w:val="en-US" w:eastAsia="zh-CN" w:bidi="ar"/>
              </w:rPr>
            </w:pPr>
            <w:r>
              <w:rPr>
                <w:rFonts w:hint="eastAsia" w:ascii="黑体" w:hAnsi="宋体" w:eastAsia="黑体" w:cs="黑体"/>
                <w:i w:val="0"/>
                <w:iCs w:val="0"/>
                <w:color w:val="000000"/>
                <w:kern w:val="0"/>
                <w:sz w:val="21"/>
                <w:szCs w:val="21"/>
                <w:highlight w:val="none"/>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highlight w:val="none"/>
                <w:u w:val="none"/>
                <w:lang w:val="en-US" w:eastAsia="zh-CN" w:bidi="ar"/>
              </w:rPr>
            </w:pPr>
            <w:r>
              <w:rPr>
                <w:rFonts w:hint="eastAsia" w:ascii="黑体" w:hAnsi="宋体" w:eastAsia="黑体" w:cs="黑体"/>
                <w:i w:val="0"/>
                <w:iCs w:val="0"/>
                <w:color w:val="000000"/>
                <w:kern w:val="0"/>
                <w:sz w:val="21"/>
                <w:szCs w:val="21"/>
                <w:highlight w:val="none"/>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highlight w:val="none"/>
                <w:u w:val="none"/>
                <w:lang w:val="en-US" w:eastAsia="zh-CN" w:bidi="ar"/>
              </w:rPr>
            </w:pPr>
            <w:r>
              <w:rPr>
                <w:rFonts w:hint="eastAsia" w:ascii="黑体" w:hAnsi="宋体" w:eastAsia="黑体" w:cs="黑体"/>
                <w:i w:val="0"/>
                <w:iCs w:val="0"/>
                <w:color w:val="000000"/>
                <w:kern w:val="0"/>
                <w:sz w:val="21"/>
                <w:szCs w:val="21"/>
                <w:highlight w:val="none"/>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1"/>
                <w:szCs w:val="21"/>
                <w:highlight w:val="none"/>
                <w:u w:val="none"/>
              </w:rPr>
            </w:pPr>
            <w:r>
              <w:rPr>
                <w:rFonts w:hint="eastAsia" w:ascii="黑体" w:hAnsi="宋体" w:eastAsia="黑体" w:cs="黑体"/>
                <w:i w:val="0"/>
                <w:iCs w:val="0"/>
                <w:color w:val="000000"/>
                <w:kern w:val="0"/>
                <w:sz w:val="21"/>
                <w:szCs w:val="21"/>
                <w:highlight w:val="none"/>
                <w:u w:val="none"/>
                <w:lang w:val="en-US" w:eastAsia="zh-CN" w:bidi="ar"/>
              </w:rPr>
              <w:t>标</w:t>
            </w:r>
          </w:p>
        </w:tc>
        <w:tc>
          <w:tcPr>
            <w:tcW w:w="704"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1"/>
                <w:szCs w:val="21"/>
                <w:highlight w:val="none"/>
                <w:u w:val="none"/>
                <w:lang w:val="en-US" w:eastAsia="zh-CN" w:bidi="ar"/>
              </w:rPr>
            </w:pPr>
            <w:r>
              <w:rPr>
                <w:rFonts w:hint="eastAsia" w:ascii="黑体" w:hAnsi="宋体" w:eastAsia="黑体" w:cs="黑体"/>
                <w:b/>
                <w:bCs/>
                <w:i w:val="0"/>
                <w:iCs w:val="0"/>
                <w:color w:val="000000"/>
                <w:kern w:val="0"/>
                <w:sz w:val="21"/>
                <w:szCs w:val="21"/>
                <w:highlight w:val="none"/>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1"/>
                <w:szCs w:val="21"/>
                <w:highlight w:val="none"/>
                <w:u w:val="none"/>
              </w:rPr>
            </w:pPr>
            <w:r>
              <w:rPr>
                <w:rFonts w:hint="eastAsia" w:ascii="黑体" w:hAnsi="宋体" w:eastAsia="黑体" w:cs="黑体"/>
                <w:b/>
                <w:bCs/>
                <w:i w:val="0"/>
                <w:iCs w:val="0"/>
                <w:color w:val="000000"/>
                <w:kern w:val="0"/>
                <w:sz w:val="21"/>
                <w:szCs w:val="21"/>
                <w:highlight w:val="none"/>
                <w:u w:val="none"/>
                <w:lang w:val="en-US" w:eastAsia="zh-CN" w:bidi="ar"/>
              </w:rPr>
              <w:t>指标</w:t>
            </w:r>
          </w:p>
        </w:tc>
        <w:tc>
          <w:tcPr>
            <w:tcW w:w="126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highlight w:val="none"/>
                <w:u w:val="none"/>
              </w:rPr>
            </w:pPr>
            <w:r>
              <w:rPr>
                <w:rFonts w:hint="eastAsia" w:ascii="黑体" w:hAnsi="宋体" w:eastAsia="黑体" w:cs="黑体"/>
                <w:b/>
                <w:bCs/>
                <w:i w:val="0"/>
                <w:iCs w:val="0"/>
                <w:color w:val="000000"/>
                <w:kern w:val="0"/>
                <w:sz w:val="21"/>
                <w:szCs w:val="21"/>
                <w:highlight w:val="none"/>
                <w:u w:val="none"/>
                <w:lang w:val="en-US" w:eastAsia="zh-CN" w:bidi="ar"/>
              </w:rPr>
              <w:t>二级指标</w:t>
            </w:r>
          </w:p>
        </w:tc>
        <w:tc>
          <w:tcPr>
            <w:tcW w:w="322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highlight w:val="none"/>
                <w:u w:val="none"/>
              </w:rPr>
            </w:pPr>
            <w:r>
              <w:rPr>
                <w:rFonts w:hint="eastAsia" w:ascii="黑体" w:hAnsi="宋体" w:eastAsia="黑体" w:cs="黑体"/>
                <w:b/>
                <w:bCs/>
                <w:i w:val="0"/>
                <w:iCs w:val="0"/>
                <w:color w:val="000000"/>
                <w:kern w:val="0"/>
                <w:sz w:val="21"/>
                <w:szCs w:val="21"/>
                <w:highlight w:val="none"/>
                <w:u w:val="none"/>
                <w:lang w:val="en-US" w:eastAsia="zh-CN" w:bidi="ar"/>
              </w:rPr>
              <w:t>三级指标</w:t>
            </w:r>
          </w:p>
        </w:tc>
        <w:tc>
          <w:tcPr>
            <w:tcW w:w="1676"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highlight w:val="none"/>
                <w:u w:val="none"/>
              </w:rPr>
            </w:pPr>
            <w:r>
              <w:rPr>
                <w:rFonts w:hint="eastAsia" w:ascii="黑体" w:hAnsi="宋体" w:eastAsia="黑体" w:cs="黑体"/>
                <w:b/>
                <w:bCs/>
                <w:i w:val="0"/>
                <w:iCs w:val="0"/>
                <w:color w:val="000000"/>
                <w:kern w:val="0"/>
                <w:sz w:val="21"/>
                <w:szCs w:val="21"/>
                <w:highlight w:val="none"/>
                <w:u w:val="none"/>
                <w:lang w:val="en-US" w:eastAsia="zh-CN" w:bidi="ar"/>
              </w:rPr>
              <w:t>指标值</w:t>
            </w:r>
          </w:p>
        </w:tc>
        <w:tc>
          <w:tcPr>
            <w:tcW w:w="1943"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1"/>
                <w:szCs w:val="21"/>
                <w:highlight w:val="none"/>
                <w:u w:val="none"/>
                <w:lang w:val="en-US" w:eastAsia="zh-CN" w:bidi="ar"/>
              </w:rPr>
            </w:pPr>
            <w:r>
              <w:rPr>
                <w:rFonts w:hint="eastAsia" w:ascii="黑体" w:hAnsi="宋体" w:eastAsia="黑体" w:cs="黑体"/>
                <w:b/>
                <w:bCs/>
                <w:i w:val="0"/>
                <w:iCs w:val="0"/>
                <w:color w:val="000000"/>
                <w:kern w:val="0"/>
                <w:sz w:val="21"/>
                <w:szCs w:val="21"/>
                <w:highlight w:val="none"/>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标</w:t>
            </w:r>
          </w:p>
        </w:tc>
        <w:tc>
          <w:tcPr>
            <w:tcW w:w="126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数量指标</w:t>
            </w: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指标1：治理水土流失面积</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22.86平方公里</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22.86平方公里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指标2：新建堤防（护岸）长度</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2032.9米</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2032.9米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指标3：种植高原柳</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678株</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678株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指标4：种植披碱草</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1592.38公顷</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1592.38公顷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指标5：新建封禁标志碑</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7个</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指标6：封禁治理面积</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690.12公顷</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690.12公顷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质量指标</w:t>
            </w: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指标1：项目竣工验收达标率</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指标2：项目设计方案变更率</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时效指标</w:t>
            </w: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指标1：按时取得项目开工许可证</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2022年3月31日</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2022年3月31日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指标2：工程按时开工</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2022年4月1日</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2022年4月1日正式开工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指标3：工程按时竣工验收</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2022年9月30日</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2023年10月15日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成本指标</w:t>
            </w: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指标1：项目建设总投资成本</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≤1002.94万元</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≤1002.94万元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w:t>
            </w: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指标1：中央和省级水利发展资金及地方配套</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1002.94万元</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6,963,038.32元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标</w:t>
            </w:r>
          </w:p>
        </w:tc>
        <w:tc>
          <w:tcPr>
            <w:tcW w:w="126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w:t>
            </w: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指标1：减少自然灾害救灾支出</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指标2：提高牧民收入</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w:t>
            </w: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指标1：服务社会当地群众</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≥5000人</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≥5000人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指标2：保障工农业生产</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指标3：改善居民生活环境</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w:t>
            </w: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指标1：减少自然灾害</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指标2：保持水土，涵养水源</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达成预期目标</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可持续影响指标</w:t>
            </w: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指标1：持续服务本地群众期限</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≥30年</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满意度指标</w:t>
            </w: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指标1：区域辐射人群满意度</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426" w:type="dxa"/>
            <w:vMerge w:val="continue"/>
            <w:shd w:val="clear" w:color="auto" w:fill="auto"/>
            <w:vAlign w:val="center"/>
          </w:tcPr>
          <w:p>
            <w:pPr>
              <w:jc w:val="center"/>
              <w:rPr>
                <w:rFonts w:hint="eastAsia" w:ascii="黑体" w:hAnsi="宋体" w:eastAsia="黑体" w:cs="黑体"/>
                <w:i w:val="0"/>
                <w:iCs w:val="0"/>
                <w:color w:val="000000"/>
                <w:sz w:val="21"/>
                <w:szCs w:val="21"/>
                <w:highlight w:val="none"/>
                <w:u w:val="none"/>
              </w:rPr>
            </w:pPr>
          </w:p>
        </w:tc>
        <w:tc>
          <w:tcPr>
            <w:tcW w:w="704"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267" w:type="dxa"/>
            <w:vMerge w:val="continue"/>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指标2：区域监管部门满意度</w:t>
            </w:r>
          </w:p>
        </w:tc>
        <w:tc>
          <w:tcPr>
            <w:tcW w:w="167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w:t>
            </w:r>
          </w:p>
        </w:tc>
        <w:tc>
          <w:tcPr>
            <w:tcW w:w="194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bl>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40A753B"/>
    <w:rsid w:val="053D225A"/>
    <w:rsid w:val="075D4FE3"/>
    <w:rsid w:val="0FE6636B"/>
    <w:rsid w:val="10DD5867"/>
    <w:rsid w:val="1BB75B36"/>
    <w:rsid w:val="1F8B59A1"/>
    <w:rsid w:val="28F42F92"/>
    <w:rsid w:val="3042199C"/>
    <w:rsid w:val="327A2455"/>
    <w:rsid w:val="33D40002"/>
    <w:rsid w:val="342104FD"/>
    <w:rsid w:val="38A31D7D"/>
    <w:rsid w:val="390300B7"/>
    <w:rsid w:val="39D90CC7"/>
    <w:rsid w:val="39E94459"/>
    <w:rsid w:val="3A3B5BEB"/>
    <w:rsid w:val="3B8D2047"/>
    <w:rsid w:val="3C683A70"/>
    <w:rsid w:val="3DAC2446"/>
    <w:rsid w:val="3E565AE6"/>
    <w:rsid w:val="45C943B0"/>
    <w:rsid w:val="467513C6"/>
    <w:rsid w:val="49C829A9"/>
    <w:rsid w:val="4AB046B9"/>
    <w:rsid w:val="4D180A77"/>
    <w:rsid w:val="4FC07C21"/>
    <w:rsid w:val="4FF97A1B"/>
    <w:rsid w:val="54CE0DA6"/>
    <w:rsid w:val="54E57286"/>
    <w:rsid w:val="55F5089E"/>
    <w:rsid w:val="55F82821"/>
    <w:rsid w:val="65821E83"/>
    <w:rsid w:val="668733D1"/>
    <w:rsid w:val="67A911A3"/>
    <w:rsid w:val="6FA41C3A"/>
    <w:rsid w:val="71B23794"/>
    <w:rsid w:val="74BC73A8"/>
    <w:rsid w:val="75213EC7"/>
    <w:rsid w:val="75C073B9"/>
    <w:rsid w:val="76944EB0"/>
    <w:rsid w:val="76CA19CB"/>
    <w:rsid w:val="7DCD67E3"/>
    <w:rsid w:val="9CBB0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able of figures"/>
    <w:basedOn w:val="1"/>
    <w:next w:val="1"/>
    <w:unhideWhenUsed/>
    <w:qFormat/>
    <w:uiPriority w:val="0"/>
    <w:pPr>
      <w:spacing w:line="360" w:lineRule="auto"/>
      <w:ind w:left="720" w:hanging="720"/>
    </w:pPr>
    <w:rPr>
      <w:rFonts w:eastAsia="黑体"/>
      <w:smallCaps/>
      <w:sz w:val="20"/>
    </w:rPr>
  </w:style>
  <w:style w:type="paragraph" w:styleId="8">
    <w:name w:val="toc 2"/>
    <w:basedOn w:val="1"/>
    <w:next w:val="1"/>
    <w:qFormat/>
    <w:uiPriority w:val="0"/>
    <w:pPr>
      <w:ind w:left="420" w:leftChars="200"/>
    </w:p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2</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2026-04-30T16:33:10Z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