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阿坝县2023年草产业提升项目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22</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_Toc5436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_Toc5436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_Toc28897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_Toc28897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_Toc15377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_Toc15377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_Toc25751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_Toc25751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_Toc8055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_Toc8055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_Toc6514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_Toc6514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_Toc5085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_Toc5085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_Toc29435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_Toc29435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_Toc5172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_Toc5172 \h </w:instrText>
          </w:r>
          <w:r>
            <w:rPr>
              <w:sz w:val="24"/>
              <w:szCs w:val="24"/>
            </w:rPr>
            <w:fldChar w:fldCharType="separate"/>
          </w:r>
          <w:r>
            <w:rPr>
              <w:sz w:val="24"/>
              <w:szCs w:val="24"/>
            </w:rPr>
            <w:t>15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_Toc14268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_Toc14268 \h </w:instrText>
          </w:r>
          <w:r>
            <w:rPr>
              <w:sz w:val="24"/>
              <w:szCs w:val="24"/>
            </w:rPr>
            <w:fldChar w:fldCharType="separate"/>
          </w:r>
          <w:r>
            <w:rPr>
              <w:sz w:val="24"/>
              <w:szCs w:val="24"/>
            </w:rPr>
            <w:t>15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_Toc11960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_Toc11960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_Toc32634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_Toc32634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_Toc7364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_Toc7364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_Toc17438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_Toc17438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_Toc1689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_Toc1689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_Toc13055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_Toc13055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_Toc14843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_Toc14843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_Toc2415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_Toc2415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_Toc4877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_Toc4877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_Toc24245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_Toc24245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_Toc4321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_Toc4321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_Toc3809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_Toc3809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_Toc7048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_Toc7048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_Toc21778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_Toc21778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_Toc28586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_Toc28586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_Toc22827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_Toc22827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_Toc1016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54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阿坝县2023年草产业提升项目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长期以来，由于自然气候变化、鼠虫危害和人类活动影响，使得天然草原严重退化造成水土流失。面对牧区日趋尖锐的畜草矛盾和生态环境保护与发展现代畜牧业之间的矛盾，大力发展牧区草产业已显得十分必要。</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1000.00万元，项目资金来源为2023年衔接资金及涉农整合资金。资金文件依据为：阿坝州财政局等部门的（阿州财农(2023)14号）、阿州财农(2023)12号文件。经确认后阿坝县2023年草产业提升项目资金安排为1000.00万元，截至绩效评价日2023年11月10日，项目已下达资金1000.00万元。本项目已支付8,908,640.21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项目已于2023年10月6日完工验收，验收鉴定为合格。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绩效评价组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lang w:val="en-US" w:eastAsia="zh-CN"/>
        </w:rPr>
        <w:t>除未见项目单位开展项目事前绩效评估，未根据工作需要规范实施事前评估，对项目设立的必要性、投入经济性、绩效目标合理性、实施可行性、筹资合理性等方面进行评估</w:t>
      </w:r>
      <w:r>
        <w:rPr>
          <w:rFonts w:hint="eastAsia" w:ascii="仿宋" w:hAnsi="仿宋" w:eastAsia="仿宋" w:cs="仿宋"/>
          <w:sz w:val="30"/>
          <w:szCs w:val="30"/>
          <w:lang w:val="en-US" w:eastAsia="zh-CN"/>
        </w:rPr>
        <w:t>、项目未制定相应财务管理制度和业务管理制度、项目产出指标未进行分列设置、采购验收证明书不符合规范外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本项目</w:t>
      </w:r>
      <w:r>
        <w:rPr>
          <w:rFonts w:hint="default" w:ascii="仿宋" w:hAnsi="仿宋" w:eastAsia="仿宋" w:cs="仿宋"/>
          <w:sz w:val="30"/>
          <w:szCs w:val="30"/>
          <w:highlight w:val="none"/>
          <w:lang w:val="en-US" w:eastAsia="zh-CN"/>
        </w:rPr>
        <w:t>。</w:t>
      </w:r>
      <w:r>
        <w:rPr>
          <w:rFonts w:hint="eastAsia" w:ascii="仿宋" w:hAnsi="仿宋" w:eastAsia="仿宋" w:cs="仿宋"/>
          <w:color w:val="auto"/>
          <w:sz w:val="30"/>
          <w:szCs w:val="30"/>
          <w:lang w:val="en-US" w:eastAsia="zh-CN"/>
        </w:rPr>
        <w:t>最终评分得分为91.06</w:t>
      </w:r>
      <w:r>
        <w:rPr>
          <w:rFonts w:hint="eastAsia" w:ascii="仿宋" w:hAnsi="仿宋" w:eastAsia="仿宋" w:cs="仿宋"/>
          <w:sz w:val="30"/>
          <w:szCs w:val="30"/>
          <w:lang w:val="en-US" w:eastAsia="zh-CN"/>
        </w:rPr>
        <w:t>分，属于“优”。</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阿坝县2023年草产业提升项目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8897"/>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5377"/>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阿坝县是阿坝州的五个纯牧业县之一、全省的十个纯牧区县之一，是四川省重要的草食畜牧业基地。全县天然草原面积1321万亩，占全县幅员面积的85%，可利用草原面积1074.41万亩，占草原总面积的81.30％。阿坝县不仅天然草原面积大，而且具有发展草产业的基础和优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长期以来，由于自然气候变化、鼠虫危害和人类活动影响，使得天然草原严重退化造成水土流失。调查显示阿坝县草原退化面积730万亩、鼠害面积143万亩、虫害面积75万亩、毒害草面积258万亩。面对牧区日趋尖锐的畜草矛盾和生态环境保护与发展现代畜牧业之间的矛盾，大力发展牧区草产业已显得十分必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草原是我国重要的生态系统和自然资源，在维护国家生态安全、边疆稳定、民族团结和促进经济社会可持续发展、农牧民增收等方面具有基础性、战略性作用。牧草是发展现代草原畜牧业的重要物质基础，草产业是专门从事牧草生产和草产品开发、加工的知识密集型产业。发展林草产业，是贯彻落实习近平生态文明思想、践行绿水青山就是金山银山理念的重要举措，是全面推进乡村振兴、切实维护和巩固脱贫攻坚战伟大成就的必然要求，是建立健全生态产品价值实现机制、推动形成具有中国特色的生态文明建设新模式的关键路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林草产业发展规划(2021-2025年)》提出：稳步发展生态草牧业，鼓励北方地区种植羊草、冰草、针茅、无芒雀麦、燕麦、披碱草、苜蓿、沙打旺等优质乡土草种，在南方水热条件适宜地区种植优质高产禾草，建设优质人工牧草生产基地。大力发展草种业，培育建设“育繁推”一体化草种市场。引导草坪业健康发展，推广建植低耗水、抗病虫害、耐踩踏、耐旱、节土、节肥型草坪。充分挖掘和发挥草原自然资源及文化优势，积极发展草原文旅产业。发挥林草资源优势，巩固生态脱贫成果，做优做强林草产业，推动乡村振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人民政府办公厅颁布《关于加强草原保护修复和草业发展的实施意见》（川办发〔2022〕60号）明确提出大力发展草产业。大力发展草种业。编制发布四川主要草种名录，建立草种良种繁育体系，加大优质草种特别是乡土草种选育、扩繁和推广应用。支持乡土草种原种基地建设，鼓励异地繁种，创新乡土草种使用机制，提高草种自给率。完善草品种区域试验站建设，加强草品种审定和草种质量监管。开展草种追溯认证体系建设试点。发展现代饲草产业。大力发展饲草产业，提高饲草供给能力，减轻草原放牧压力，促进草原生态保护与草业高质量发展。因地制宜开展优质饲草种植，鼓励冬闲田种草（绿肥）、林下（间）种草等高效发展模式。完善草产品质量标准体系，推进优质青贮饲草料生产，支持草食畜牧业发展，藏肉（奶）于草。支持培育创建现代草牧业园区和草业园区，扶持壮大一批草业发展龙头企业，延伸产业链。积极推进饲草产业数据共享平台建设。大力发展草原生态文化旅游产业。发展特色草原生态文化旅游产业，促进农牧民转产转业。科学推进草原资源多功能利用，创新草旅结合、文旅融合发展模式。通过举办草原特色节会和草原生态文化旅游系列活动，带动牧区发展草原生态旅游产品。培育特色草产业。培育和发展草坪草、观赏草、能源草、药用草、菌草等特色产业。拓宽草类植物在城乡绿化、运动休闲、食用和药用、替木生产食用菌等领域的应用。积极支持草原特色药材的开发利用，提高草原特色药材生产技术标准化水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提出实施牦牛产业振兴计划，加强种源保护和品种改良，推广“放牧加补饲”和“4218”等牦牛标准化养殖模式，大力发展商品草产业。拓展农牧业多种功能，推进特色产业基地景观化打造，建设草原生态观光体验牧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黄河流域生态保护和高质量发展规划纲要》提出加强上游水源涵养能力建设。降低人为活动过度影响，正确处理生产生活和生态环境的关系，着力减少过度放牧、过度资源开发利用、过度旅游等人为活动对生态系统的影响和破坏。将具有重要生态功能的高山草甸、草原、湿地、森林生态系统纳入生态保护红线管控范围，强化保护和用途管制措施。采取设置生态管护公益岗位、开展新型技能培训等方式，引导保护地内的居民转产就业。在超载过牧地区开展减畜行动，研究制定高原牧区减畜补助政策。加强人工饲草地建设，控制散养放牧规模，加大对舍饲圈养的扶持力度，减轻草地利用强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本项目立项预估资金总额为1000.00万元，项目资金来源为2023年衔接资金及涉农整合资金。资金文件依据为：阿坝州财政局等部门的（阿州财农(2023)14号）、阿州财农(2023)12号文件。经确认后</w:t>
      </w:r>
      <w:r>
        <w:rPr>
          <w:rFonts w:hint="eastAsia" w:ascii="仿宋" w:hAnsi="仿宋" w:eastAsia="仿宋" w:cs="仿宋"/>
          <w:sz w:val="30"/>
          <w:szCs w:val="30"/>
          <w:lang w:val="en-US" w:eastAsia="zh-CN"/>
        </w:rPr>
        <w:t>阿坝县2023年草产业提升项目资金安排为</w:t>
      </w:r>
      <w:r>
        <w:rPr>
          <w:rFonts w:hint="eastAsia" w:ascii="仿宋" w:hAnsi="仿宋" w:eastAsia="仿宋" w:cs="仿宋"/>
          <w:b w:val="0"/>
          <w:bCs w:val="0"/>
          <w:sz w:val="30"/>
          <w:szCs w:val="30"/>
          <w:lang w:val="en-US" w:eastAsia="zh-CN"/>
        </w:rPr>
        <w:t>1000.00万元</w:t>
      </w:r>
      <w:r>
        <w:rPr>
          <w:rFonts w:hint="eastAsia" w:ascii="仿宋" w:hAnsi="仿宋" w:eastAsia="仿宋" w:cs="仿宋"/>
          <w:sz w:val="30"/>
          <w:szCs w:val="30"/>
          <w:lang w:val="en-US" w:eastAsia="zh-CN"/>
        </w:rPr>
        <w:t>，实际已下达资金</w:t>
      </w:r>
      <w:r>
        <w:rPr>
          <w:rFonts w:hint="eastAsia" w:ascii="仿宋" w:hAnsi="仿宋" w:eastAsia="仿宋" w:cs="仿宋"/>
          <w:b w:val="0"/>
          <w:bCs w:val="0"/>
          <w:sz w:val="30"/>
          <w:szCs w:val="30"/>
          <w:lang w:val="en-US" w:eastAsia="zh-CN"/>
        </w:rPr>
        <w:t>1000.00万元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截至绩效评价日2023年11月10日，项目已下达</w:t>
      </w:r>
      <w:r>
        <w:rPr>
          <w:rFonts w:hint="eastAsia" w:ascii="仿宋" w:hAnsi="仿宋" w:eastAsia="仿宋" w:cs="仿宋"/>
          <w:sz w:val="30"/>
          <w:szCs w:val="30"/>
          <w:lang w:val="en-US" w:eastAsia="zh-CN"/>
        </w:rPr>
        <w:t>资金</w:t>
      </w:r>
      <w:r>
        <w:rPr>
          <w:rFonts w:hint="eastAsia" w:ascii="仿宋" w:hAnsi="仿宋" w:eastAsia="仿宋" w:cs="仿宋"/>
          <w:b w:val="0"/>
          <w:bCs w:val="0"/>
          <w:sz w:val="30"/>
          <w:szCs w:val="30"/>
          <w:lang w:val="en-US" w:eastAsia="zh-CN"/>
        </w:rPr>
        <w:t>1000.00万元。本项目已支付8,908,640.21元。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四洼乡、龙藏乡、贾洛镇、麦尔玛镇。建设规模为建人工草地建植1400亩；卧圈种草4100亩；采购青贮全套机械设备；新建青贮窖600立方米、阳光棚晒坝1000平方米（阳光棚500㎡）、储草库500平方米、草颗粒厂房800平方米、箱变一体500千伏变压器1套、饲草颗粒生产线1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编制聘请专业第三方机构编制《阿坝县2023年草产业提升项目可行性研究报告》，2023年2月6日由阿坝县发展和改革局出具批复（阿县发改行审〔2023〕20号）。项目施工单位为四川贤联建设工程有限公司，监理单位为四川一永工程管理有限公司。项目于2023年10月6日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统筹实施乡村振兴战略，牵头组织改善全县农村人居环境。指导农村精神文明和优秀农耕文化建设。拟订深化全县农村经济体制改革和巩固完善农村基本经营制度的政策措施。负责农民承包地和改革有关工作。负责 农村集体产权制度改革，指导农村集体经济组织发展、集体资产 和财务管理工作。拟订农业产业化经营的发展规划与政策并组织 实施，指导农民合作经济组织、农业社会化服务体系、新型农业经营主体建设与发展。指导、监督减轻农民负担工作。指导全县乡村特色产业、农产品加工业（产地初加工）休闲农业和乡村企业发展工作。指导特色农产品优势区建设和管理工作。组织拟订并实施现代农业园区的政策与规划，负责现代农业园区评定工作。提出促进大宗农产品流通政策和主要农产品进口建议，研究制定大宗农产品市场体系建设与发展规划。培育、保护和发展农产品品牌，组织协调“菜篮子”工程有关工作。组织构建现代农业产业体系、生产体系、经营体系，指导农业标准化、规模化生产。阿坝县科学技术和农业畜牧水务局作为项目实施单位和主管部门，在国家、省、州的相关规划和政策指引下，实施本项目，为其履行职能，完成国家、省、州的相关任务和规划的具体举措</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施工单位：四川贤联建设工程有限公司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监理单位：四川一永工程管理有限公司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该项目建设在县委、县政府的组织领导下进行实施。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立由县人民政府分管副县长为组长，县发改局、县科农畜水局、县财政局、县审计局、县乡村振兴局等主要负责人为副组长和成员的项目领导小组。负责项目的管理与协调。成立由县科农畜水局局长为组长，分管副局长为副组长，各股室站负责人及主要技术人员为成员的项目实施小组，项目实施小组负责项目的实施和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项目建设实行业主负责制。项目在县人民政府的统一规划下，由县科农畜水局组织实施。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项目建设实行目标责任制。项目主管部门与项目承建单位签订目标管理责任书，明确双方的责任义务。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建设实施工程竣工验收制。项目建设单位要严格按照项目计划和领导小组的要求组织实施，完成各项任务后，由项目建设单位进行对基建自查，向县级主管部门提交验收申请；县科农畜水局组织县财政、县发改等相关部门按照项目实施方案和技术要求进行验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严格按照阿坝县人民政府《关于印发阿坝县政府性投资项目管理办法（修订稿）的通知》（阿县府发〔2021〕3号）文件执行。项目实施验收合格报账制。项目竣工经验收合格后，才能全部支付资金。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阿坝县科学技术和农业畜牧水务局暂未针对阿坝县2023年草产业提升项目制定财务管理制度，本项目财务制度沿用类似项目的财务管理制度及政府部门相关财务管理制度。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5751"/>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415"/>
        <w:gridCol w:w="348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阿坝县2023年草产业提升项目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3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4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人工草地建植1400亩，卧圈种草4100亩，采购青贮机具，建青贮窖600立方米，阳光棚晒坝1000平方米（500平方米阳光棚），储草库500平方米，草颗粒厂房800平方米，箱变一体500千伏变压器1套，饲草颗粒生产线1套。</w:t>
            </w:r>
          </w:p>
        </w:tc>
        <w:tc>
          <w:tcPr>
            <w:tcW w:w="25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时效指标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指标1：项目建设12个月</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指标2：年底完成该项目</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指标1：季节性务工100余人次，预计人均增收2500元，土地流转收入19万元。</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指标1：满意度达90%以上</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8055"/>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6514"/>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神，对阿坝县科学技术和农业畜牧水务局开展的阿坝县2023年草产业提升项目进行事后绩效评价，从财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阿坝县科学技术和农业畜牧水务局开展的阿坝县2023年草产业提升项目，评价本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2023年草产业提升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5085"/>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阿坝县2023年草产业提升项目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9435"/>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5172"/>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4268"/>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林草产业发展规划(2021-2025年)》提出：稳步发展生态草牧业，鼓励北方地区种植羊草、冰草、针茅、无芒雀麦、燕麦、披碱草、苜蓿、沙打旺等优质乡土草种，在南方水热条件适宜地区种植优质高产禾草，建设优质人工牧草生产基地。大力发展草种业，培育建设“育繁推”一体化草种市场。引导草坪业健康发展，推广建植低耗水、抗病虫害、耐踩踏、耐旱、节土、节肥型草坪。充分挖掘和发挥草原自然资源及文化优势，积极发展草原文旅产业。发挥林草资源优势，巩固生态脱贫成果，做优做强林草产业，推动乡村振兴。</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人民政府办公厅颁布《关于加强草原保护修复和草业发展的实施意见》（川办发〔2022〕60号）明确提出大力发展草产业。大力发展草种业。编制发布四川主要草种名录，建立草种良种繁育体系，加大优质草种特别是乡土草种选育、扩繁和推广应用。支持乡土草种原种基地建设，鼓励异地繁种，创新乡土草种使用机制，提高草种自给率。完善草品种区域试验站建设，加强草品种审定和草种质量监管。开展草种追溯认证体系建设试点。发展现代饲草产业。大力发展饲草产业，提高饲草供给能力，减轻草原放牧压力，促进草原生态保护与草业高质量发展。因地制宜开展优质饲草种植，鼓励冬闲田种草（绿肥）、林下（间）种草等高效发展模式。完善草产品质量标准体系，推进优质青贮饲草料生产，支持草食畜牧业发展，藏肉（奶）于草。支持培育创建现代草牧业园区和草业园区，扶持壮大一批草业发展龙头企业，延伸产业链。积极推进饲草产业数据共享平台建设。大力发展草原生态文化旅游产业。发展特色草原生态文化旅游产业，促进农牧民转产转业。科学推进草原资源多功能利用，创新草旅结合、文旅融合发展模式。通过举办草原特色节会和草原生态文化旅游系列活动，带动牧区发展草原生态旅游产品。培育特色草产业。培育和发展草坪草、观赏草、能源草、药用草、菌草等特色产业。拓宽草类植物在城乡绿化、运动休闲、食用和药用、替木生产食用菌等领域的应用。积极支持草原特色药材的开发利用，提高草原特色药材生产技术标准化水平。</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提出实施牦牛产业振兴计划，加强种源保护和品种改良，推广“放牧加补饲”和“4218”等牦牛标准化养殖模式，大力发展商品草产业。拓展农牧业多种功能，推进特色产业基地景观化打造，建设草原生态观光体验牧场。</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黄河流域生态保护和高质量发展规划纲要》提出加强上游水源涵养能力建设。降低人为活动过度影响，正确处理生产生活和生态环境的关系，着力减少过度放牧、过度资源开发利用、过度旅游等人为活动对生态系统的影响和破坏。将具有重要生态功能的高山草甸、草原、湿地、森林生态系统纳入生态保护红线管控范围，强化保护和用途管制措施。采取设置生态管护公益岗位、开展新型技能培训等方式，引导保护地内的居民转产就业。在超载过牧地区开展减畜行动，研究制定高原牧区减畜补助政策。加强人工饲草地建设，控制散养放牧规模，加大对舍饲圈养的扶持力度，减轻草地利用强度。</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先内部讨论决议设立该项目，经过主管部门和财政部门等审核。但未见项目单位开展项目事前绩效评估，未根据工作需要规范实施事前评估，对项目设立的必要性、投入经济性、绩效目标合理性、实施可行性、筹资合理性等方面进行评估，核实各项支出的真实性、相关性等内容。</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项目绩效目标表中未设置社会效益指标、生态效益指标等内容，且项目绩效目标表三级指标设置较少，未合理进行设置，项目产出指标中数量指标为人工草地建植1400亩，卧圈种草4100亩，采购青贮机具，建青贮窖600立方米，阳光棚晒坝1000平方米（500平方米阳光棚），储草库500平方米，草颗粒厂房800平方米，箱变一体500千伏变压器1套，饲草颗粒生产线1套。紧急效益指标的指标值为季节性务工100余人次，预计人均增收2500元，土地流转收入19万元。将所有项目建设内容和经济效益设为一项指标值，未根据具体建设内容分项列示，绩效目标设置不科学。</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本项目一级目标分为产出目标和效益目标；产出指标中包含数量指标、质量指标、成本指标、预算执行指标；效益指标包含社会效益指标、服务对象满意度指标；一二级指标下根据项目实际情况设置三级细化指标</w:t>
      </w:r>
      <w:r>
        <w:rPr>
          <w:rFonts w:hint="eastAsia" w:ascii="仿宋" w:hAnsi="仿宋" w:eastAsia="仿宋" w:cs="仿宋"/>
          <w:b w:val="0"/>
          <w:bCs w:val="0"/>
          <w:sz w:val="30"/>
          <w:szCs w:val="30"/>
          <w:highlight w:val="none"/>
          <w:lang w:val="en-US" w:eastAsia="zh-CN"/>
        </w:rPr>
        <w:t>。但是本项目的绩效指标值和绩效三级指标设置混淆，将建设内容和产出列为三级指标，指标值仅为完成率。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1000.00万元，项目资金来源为2023年衔接资金及涉农整合资金。资金文件依据为：阿坝州财政局等部门的（阿州财农(2023)14号）、阿州财农(2023)12号文件。经确认后阿坝县2023年草产业提升项目资金安排为1000.00万元，实际已下达资金1000.00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本项目资金分配包含建安工程、设备及所有采购内容、预备费等，均按相关规定进行分配。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项目实际到位资金1000.00万元，</w:t>
      </w:r>
      <w:r>
        <w:rPr>
          <w:rFonts w:hint="eastAsia" w:ascii="仿宋" w:hAnsi="仿宋" w:eastAsia="仿宋" w:cs="仿宋"/>
          <w:b w:val="0"/>
          <w:bCs w:val="0"/>
          <w:sz w:val="30"/>
          <w:szCs w:val="30"/>
          <w:lang w:val="en-US" w:eastAsia="zh-CN"/>
        </w:rPr>
        <w:t>资金实际用于本项目设施设备采购、建设内容所需材料等，本项目资金分配结果与规划一致。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1960"/>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得分16.56分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权重12分，得分11.56分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1000.00万元，项目资金来源为2023年衔接资金及涉农整合资金。资金文件依据为：阿坝州财政局等部门的（阿州财农(2023)14号）、阿州财农(2023)12号文件。经确认后阿坝县2023年草产业提升项目资金安排为1000.00万元，实际已下达资金1000.00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，权重4分，得分3.56分。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截至绩效评价日2023年11月10日，项目已下达资金1000.00万元。本项目已支付8,908,640.21元</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为89.08%。</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本项目采购验收证明书中，阿坝县科学技术和农业畜牧水务局已在采购验收证明书签字盖章，但供货方未加盖公章和未做任何型号说明，采购验收证明书不符合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32634"/>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价得分40分。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人工草地建植1400亩，卧圈种草4100亩，采购青贮机具，建青贮窖600立方米，阳光棚晒坝1000平方米（500平方米阳光棚），储草库500平方米，草颗粒厂房800平方米，箱变一体500千伏变压器1套，饲草颗粒生产线1套。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报告中列示、根据项目采购验收报告列示，项目共完成购置条播机1台、割草机1台、青饲料收获机1台、轮式装载机1台、饲料颗粒机1台、圆捆包膜机(带料仓)1台、饲草颗粒生产线1套。且已完成所有建设内容，</w:t>
      </w:r>
      <w:r>
        <w:rPr>
          <w:rFonts w:hint="eastAsia" w:ascii="仿宋" w:hAnsi="仿宋" w:eastAsia="仿宋" w:cs="仿宋"/>
          <w:b w:val="0"/>
          <w:bCs w:val="0"/>
          <w:sz w:val="30"/>
          <w:szCs w:val="30"/>
          <w:highlight w:val="none"/>
          <w:lang w:val="en-US" w:eastAsia="zh-CN"/>
        </w:rPr>
        <w:t>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依据项目单位、施工单位、设计单位、监理单位出具的竣工验收报告的结论列示项目验收合格，但本项目未制定绩效目标，项目合格率为100%。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项目建设12个月</w:t>
      </w:r>
      <w:r>
        <w:rPr>
          <w:rFonts w:hint="eastAsia" w:ascii="仿宋" w:hAnsi="仿宋" w:eastAsia="仿宋" w:cs="仿宋"/>
          <w:b w:val="0"/>
          <w:bCs w:val="0"/>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根据项目竣工验收报告，项目于2023年10月6日完工，本项目实施方案中列示项目建设期限为2023年，项目实际已按预期计划完成，项目建设12个月完成预期绩效目标值</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val="0"/>
          <w:bCs w:val="0"/>
          <w:sz w:val="30"/>
          <w:szCs w:val="30"/>
          <w:highlight w:val="none"/>
          <w:lang w:val="en-US" w:eastAsia="zh-CN"/>
        </w:rPr>
        <w:t>（1）</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sz w:val="30"/>
          <w:szCs w:val="30"/>
          <w:lang w:val="en-US" w:eastAsia="zh-CN"/>
        </w:rPr>
        <w:t>1000.00万元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，评价组核查项目单位提供的项目预算批复、项目施工合同和项目会计核算资料，该项目实际预算为1000.00万元，</w:t>
      </w:r>
      <w:r>
        <w:rPr>
          <w:rFonts w:hint="eastAsia" w:ascii="仿宋" w:hAnsi="仿宋" w:eastAsia="仿宋" w:cs="仿宋"/>
          <w:b w:val="0"/>
          <w:bCs w:val="0"/>
          <w:sz w:val="30"/>
          <w:szCs w:val="30"/>
          <w:lang w:val="en-US" w:eastAsia="zh-CN"/>
        </w:rPr>
        <w:t>本项目已支付</w:t>
      </w:r>
      <w:r>
        <w:rPr>
          <w:rFonts w:hint="eastAsia" w:ascii="仿宋" w:hAnsi="仿宋" w:eastAsia="仿宋" w:cs="仿宋"/>
          <w:b w:val="0"/>
          <w:bCs w:val="0"/>
          <w:sz w:val="30"/>
          <w:szCs w:val="30"/>
          <w:highlight w:val="none"/>
          <w:lang w:val="en-US" w:eastAsia="zh-CN"/>
        </w:rPr>
        <w:t>8,908,640.21元</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eastAsia" w:ascii="仿宋" w:hAnsi="仿宋" w:eastAsia="仿宋" w:cs="仿宋"/>
          <w:b w:val="0"/>
          <w:bCs w:val="0"/>
          <w:sz w:val="30"/>
          <w:szCs w:val="30"/>
          <w:highlight w:val="none"/>
          <w:lang w:val="en-US" w:eastAsia="zh-CN"/>
        </w:rPr>
        <w:t>项目总额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1000.00万元</w:t>
      </w:r>
      <w:r>
        <w:rPr>
          <w:rFonts w:hint="eastAsia" w:ascii="仿宋" w:hAnsi="仿宋" w:eastAsia="仿宋" w:cs="仿宋"/>
          <w:b w:val="0"/>
          <w:bCs w:val="0"/>
          <w:sz w:val="30"/>
          <w:szCs w:val="30"/>
          <w:highlight w:val="none"/>
          <w:lang w:val="en-US" w:eastAsia="zh-CN"/>
        </w:rPr>
        <w:t>，完成既定绩效目标。（2）年底完成投资，权重5分，得分5分。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本项目成本指标为年底前完成投资，项目实际已于2023年10月6日竣工验收，项目社会成本指标完成率为100%。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7364"/>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季节性务工100余人次，预计人均增收2500元，土地流转收入19万元。根据本项目施工资料，经评价组查询本项目劳务用工资料，本项目劳务人员许多来自于当地群众，切实提高当地人民群众收入。实际已达成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走访，查阅相关资料，项目的建设是有效提高当地就业的手段，能够促进社会进步，促进草产业提升，实际已达成预期绩效目标，但项目未设置社会效益指标。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本项目根据当地土地资源现状，深化分析、研究，充分利用土地，合理选址，建设配套设施，能够减少土地资源浪费，增加项目地植被覆盖率，项目建成后实际已达成预期目标，但本项目未设置生态效益指标。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经评价组查阅相关设计资料，查阅本项目完工验收鉴定报告本项目，能</w:t>
      </w:r>
      <w:r>
        <w:rPr>
          <w:rFonts w:hint="eastAsia" w:ascii="仿宋" w:hAnsi="仿宋" w:eastAsia="仿宋" w:cs="仿宋"/>
          <w:b w:val="0"/>
          <w:bCs w:val="0"/>
          <w:sz w:val="30"/>
          <w:szCs w:val="30"/>
          <w:lang w:val="en-US" w:eastAsia="zh-CN"/>
        </w:rPr>
        <w:t>够持续影响项目地，持续服务本地群众期限≥5年,但项目未设置可持续影响指</w:t>
      </w:r>
      <w:r>
        <w:rPr>
          <w:rFonts w:hint="eastAsia" w:ascii="仿宋" w:hAnsi="仿宋" w:eastAsia="仿宋" w:cs="仿宋"/>
          <w:b w:val="0"/>
          <w:bCs w:val="0"/>
          <w:sz w:val="30"/>
          <w:szCs w:val="30"/>
          <w:highlight w:val="none"/>
          <w:lang w:val="en-US" w:eastAsia="zh-CN"/>
        </w:rPr>
        <w:t>标</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8</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8</w:t>
      </w:r>
      <w:r>
        <w:rPr>
          <w:rFonts w:hint="default" w:ascii="仿宋" w:hAnsi="仿宋" w:eastAsia="仿宋" w:cs="仿宋"/>
          <w:b w:val="0"/>
          <w:bCs w:val="0"/>
          <w:sz w:val="30"/>
          <w:szCs w:val="30"/>
          <w:lang w:val="en-US" w:eastAsia="zh-CN"/>
        </w:rPr>
        <w:t>份、“比较满意”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7438"/>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1689"/>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，除未见项目单位开展项目事前绩效评估，未根据工作需要规范实施事前评估，对项目设立的必要性、投入经济性、绩效目标合理性、实施可行性、筹资合理性等方面进行评估</w:t>
      </w:r>
      <w:r>
        <w:rPr>
          <w:rFonts w:hint="eastAsia" w:ascii="仿宋" w:hAnsi="仿宋" w:eastAsia="仿宋" w:cs="仿宋"/>
          <w:sz w:val="30"/>
          <w:szCs w:val="30"/>
          <w:lang w:val="en-US" w:eastAsia="zh-CN"/>
        </w:rPr>
        <w:t>、项目未制定相应财务管理制度和业务管理制度、项目产出指标未进行分列设置、采购验收证明书不符合规范外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阿坝县2023年草产业提升项目</w:t>
      </w:r>
      <w:r>
        <w:rPr>
          <w:rFonts w:hint="default" w:ascii="仿宋" w:hAnsi="仿宋" w:eastAsia="仿宋" w:cs="仿宋"/>
          <w:sz w:val="30"/>
          <w:szCs w:val="30"/>
          <w:lang w:val="en-US" w:eastAsia="zh-CN"/>
        </w:rPr>
        <w:t>”。从验收和调研结果以及满意度调查结果分析，项目基本实现了立项时的绩效目标，</w:t>
      </w:r>
      <w:r>
        <w:rPr>
          <w:rFonts w:hint="eastAsia" w:ascii="仿宋" w:hAnsi="仿宋" w:eastAsia="仿宋" w:cs="仿宋"/>
          <w:sz w:val="30"/>
          <w:szCs w:val="30"/>
          <w:lang w:val="en-US" w:eastAsia="zh-CN"/>
        </w:rPr>
        <w:t>项目能够产生良好的经济效益，且项目的社会效益较好</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3055"/>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2023年草产业提升项目的项目绩效进行独立客观评价，最终评分得分为91.06</w:t>
      </w:r>
      <w:r>
        <w:rPr>
          <w:rFonts w:hint="eastAsia" w:ascii="仿宋" w:hAnsi="仿宋" w:eastAsia="仿宋" w:cs="仿宋"/>
          <w:sz w:val="30"/>
          <w:szCs w:val="30"/>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16.56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82.8%</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91.06</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91.06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4843"/>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415"/>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r>
        <w:rPr>
          <w:rFonts w:hint="eastAsia" w:ascii="仿宋" w:hAnsi="仿宋" w:eastAsia="仿宋" w:cs="仿宋"/>
          <w:smallCaps w:val="0"/>
          <w:kern w:val="2"/>
          <w:sz w:val="30"/>
          <w:szCs w:val="30"/>
          <w:highlight w:val="none"/>
          <w:lang w:val="en-US" w:eastAsia="zh-CN" w:bidi="ar-SA"/>
        </w:rPr>
        <w:t>阿坝县2023年草产业提升项目建设项目</w:t>
      </w:r>
      <w:r>
        <w:rPr>
          <w:rFonts w:hint="eastAsia" w:ascii="仿宋" w:hAnsi="仿宋" w:eastAsia="仿宋" w:cs="仿宋"/>
          <w:b w:val="0"/>
          <w:bCs w:val="0"/>
          <w:sz w:val="30"/>
          <w:szCs w:val="30"/>
          <w:lang w:val="en-US" w:eastAsia="zh-CN"/>
        </w:rPr>
        <w:t>基本圆满完成。项目竣工验收结果为合格。</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阿坝县2023年草产业提升项目的</w:t>
      </w:r>
      <w:r>
        <w:rPr>
          <w:rFonts w:hint="eastAsia" w:ascii="仿宋" w:hAnsi="仿宋" w:eastAsia="仿宋" w:cs="仿宋"/>
          <w:b w:val="0"/>
          <w:bCs w:val="0"/>
          <w:sz w:val="30"/>
          <w:szCs w:val="30"/>
          <w:lang w:val="en-US" w:eastAsia="zh-CN"/>
        </w:rPr>
        <w:t>立项、实施过程管理，项目进度控制等工作。项目建设未出现管理问题。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4877"/>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查阅本项目的项目资料，本项目总投资额为1000万元，但未见项目单位开展项目事前绩效评估，未根据工作需要规范实施事前评估，对项目设立的必要性、投入经济性、绩效目标合理性、实施可行性、筹资合理性等方面进行评估，核实各项支出的真实性、相关性等内容。</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2、经查阅本项目绩效目</w:t>
      </w:r>
      <w:bookmarkStart w:id="42" w:name="_GoBack"/>
      <w:bookmarkEnd w:id="42"/>
      <w:r>
        <w:rPr>
          <w:rFonts w:hint="eastAsia" w:ascii="仿宋" w:hAnsi="仿宋" w:eastAsia="仿宋" w:cs="仿宋"/>
          <w:b w:val="0"/>
          <w:bCs w:val="0"/>
          <w:sz w:val="30"/>
          <w:szCs w:val="30"/>
          <w:lang w:val="en-US" w:eastAsia="zh-CN"/>
        </w:rPr>
        <w:t>标申报表，项目产出指标中数量指标为人工草地建植1400亩，卧圈种草4100亩，采购青贮机具，建青贮窖600立方米，阳光棚晒坝1000平方米（500平方米阳光棚），储草库500平方米，草颗粒厂房800平方米，箱变一体500千伏变压器1套，饲草颗粒生产线1套。经济效益指标指标值为季节性务工100余人次，预计人均增收2500元，土地流转收入19万元。将所有项目建设内容和经济效益设为一项指标值，未根据具体建设内容分项列示，绩效目标设置不科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单位未制定本项目的相关业务和管理制度，同时，项目资金来源为2023年衔接资金及涉农整合资金，在建设过程中应加强项目资金管理，制定本项目的相关财务保障制度和资金管理制度，加强项目建设过程中的组织管理和资金使用管理，以实现项目有效实施和资金保障。</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4、根据项目绩效评价组查阅本项目采购验收证明书，阿坝县科学技术和农业畜牧水务局已在采购验收证明书签字盖章，但供货方未加盖公章和未做任何型号说明，采购验收证明书不符合规范。</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4245"/>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开展事前绩效评估工作，根据中央、省和市的决策部署、部门职责和事业发展规划等内容，运用科学、合理的论证方法，对拟申请预算安排的政策和项目，从申报必要性、投入经济性、绩效目标合理性、实施方案可行性、筹资合规性等方面进行客观、公正的评估。 市级财政部门可将绩效评估与预算评审、项目审批等现有决策程序结合，开展绩效评审，强化资金申请的研究论证，判定资金需求的轻重缓急，促进财政资金的统筹谋划，加强项目成本效益分析。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完善项目绩效目标，结合项目情况根据项目建设内容、项目预期产出、项目实施计划、资金筹措、项目服务对象、项目效益等方面的具体情况，设置三级绩效目标申报表，产出指标中应当包含数量指标、质量指标、时效指标、成本指标、预算执行指标五类二级指标；效益指标包含经济效益指标、生态效益指标、可持续影响指标、服务对象满意度指标五类指标。将项目建设内容和效益进行分项设置，细化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根据项目实际情况，结合当地现实条件制定本项目的相关业务、财务及管理等方面的保障制度和资金管理制度，加强项目建设过程中的组织管理和资金使用管理，项目开展过程中进行对本项目资金进行有效管理，避免资金浪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在开展项目验收工作时应当加强质量监督，保障采购产品质量，当项目质量验收合格时应当加盖阿坝县科学技术和农业畜牧水务局公章和供货方公章，同时除了采购数量外，验收证明书上还应列明产品型号及品牌等，保障产品质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4321"/>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3809"/>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7048"/>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1778"/>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8586"/>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2827"/>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1016"/>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2023年11月22日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8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053"/>
        <w:gridCol w:w="3116"/>
        <w:gridCol w:w="1705"/>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6" w:hRule="atLeast"/>
          <w:jc w:val="center"/>
        </w:trPr>
        <w:tc>
          <w:tcPr>
            <w:tcW w:w="8728"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926"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802"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926"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802"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阿坝县2023年草产业提升项目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05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11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0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981"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1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人工草地建植1400亩，卧圈种草4100亩，采购青贮机具，建青贮窖600立方米，阳光棚晒坝1000平方米（500平方米阳光棚），储草库500平方米，草颗粒厂房800平方米，箱变一体500千伏变压器1套，饲草颗粒生产线1套。</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100%（已全部完成）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5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时效指标</w:t>
            </w:r>
          </w:p>
        </w:tc>
        <w:tc>
          <w:tcPr>
            <w:tcW w:w="31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指标1：项目建设12个月</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100%（2023年10月6日）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5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1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1000万元</w:t>
            </w: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5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1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指标2：年底完成该项目</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100%（2023年10月6日）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1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1000万元</w:t>
            </w: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8,908,640.21元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5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指标1：季节性务工100余人次，预计人均增收2500元，土地流转收入19万元。</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100%（已全部达成）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53"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1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1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指标1：满意度达90%以上</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98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9103DB"/>
    <w:rsid w:val="02DA533C"/>
    <w:rsid w:val="0F8515F0"/>
    <w:rsid w:val="0FE6636B"/>
    <w:rsid w:val="10DD5867"/>
    <w:rsid w:val="11425010"/>
    <w:rsid w:val="13C23B1B"/>
    <w:rsid w:val="16FE0E77"/>
    <w:rsid w:val="17A440CA"/>
    <w:rsid w:val="19C801AF"/>
    <w:rsid w:val="1D3765CB"/>
    <w:rsid w:val="1F8B59A1"/>
    <w:rsid w:val="24E329B8"/>
    <w:rsid w:val="28F42F92"/>
    <w:rsid w:val="3042199C"/>
    <w:rsid w:val="327A2455"/>
    <w:rsid w:val="33946D74"/>
    <w:rsid w:val="342104FD"/>
    <w:rsid w:val="36B25ED2"/>
    <w:rsid w:val="38A31D7D"/>
    <w:rsid w:val="38EF3360"/>
    <w:rsid w:val="390300B7"/>
    <w:rsid w:val="39524CC2"/>
    <w:rsid w:val="39D90CC7"/>
    <w:rsid w:val="39E94459"/>
    <w:rsid w:val="3A3B5BEB"/>
    <w:rsid w:val="3B8D2047"/>
    <w:rsid w:val="3C683A70"/>
    <w:rsid w:val="3DAC2446"/>
    <w:rsid w:val="3E565AE6"/>
    <w:rsid w:val="404001C7"/>
    <w:rsid w:val="407D3D64"/>
    <w:rsid w:val="45C56492"/>
    <w:rsid w:val="467513C6"/>
    <w:rsid w:val="4D180A77"/>
    <w:rsid w:val="4FF97A1B"/>
    <w:rsid w:val="50363D16"/>
    <w:rsid w:val="54E57286"/>
    <w:rsid w:val="55F5089E"/>
    <w:rsid w:val="59AE65BB"/>
    <w:rsid w:val="5C556192"/>
    <w:rsid w:val="61C72DAE"/>
    <w:rsid w:val="65821E83"/>
    <w:rsid w:val="69996B8A"/>
    <w:rsid w:val="70CE29E0"/>
    <w:rsid w:val="71B23794"/>
    <w:rsid w:val="74BC73A8"/>
    <w:rsid w:val="75213EC7"/>
    <w:rsid w:val="75C073B9"/>
    <w:rsid w:val="7CFF73D5"/>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autoRedefine/>
    <w:qFormat/>
    <w:uiPriority w:val="0"/>
    <w:pPr>
      <w:spacing w:after="120" w:afterLines="0" w:afterAutospacing="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able of figures"/>
    <w:basedOn w:val="1"/>
    <w:next w:val="1"/>
    <w:autoRedefine/>
    <w:unhideWhenUsed/>
    <w:qFormat/>
    <w:uiPriority w:val="0"/>
    <w:pPr>
      <w:spacing w:line="360" w:lineRule="auto"/>
      <w:ind w:left="720" w:hanging="720"/>
    </w:pPr>
    <w:rPr>
      <w:rFonts w:eastAsia="黑体"/>
      <w:smallCaps/>
      <w:sz w:val="20"/>
    </w:rPr>
  </w:style>
  <w:style w:type="paragraph" w:styleId="8">
    <w:name w:val="toc 2"/>
    <w:basedOn w:val="1"/>
    <w:next w:val="1"/>
    <w:autoRedefine/>
    <w:qFormat/>
    <w:uiPriority w:val="0"/>
    <w:pPr>
      <w:ind w:left="420" w:leftChars="200"/>
    </w:p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autoRedefine/>
    <w:qFormat/>
    <w:uiPriority w:val="0"/>
    <w:rPr>
      <w:color w:val="0000FF"/>
      <w:u w:val="single"/>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 w:type="paragraph" w:customStyle="1" w:styleId="15">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17585</Words>
  <Characters>18448</Characters>
  <Lines>0</Lines>
  <Paragraphs>0</Paragraphs>
  <TotalTime>1</TotalTime>
  <ScaleCrop>false</ScaleCrop>
  <LinksUpToDate>false</LinksUpToDate>
  <CharactersWithSpaces>18578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2024-01-09T06:46:13Z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