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76" w:lineRule="exact"/>
        <w:ind w:firstLine="1440" w:firstLineChars="200"/>
        <w:jc w:val="center"/>
        <w:outlineLvl w:val="0"/>
        <w:rPr>
          <w:rFonts w:hint="default" w:ascii="Times New Roman" w:hAnsi="Times New Roman" w:eastAsia="方正小标宋简体" w:cs="Times New Roman"/>
          <w:color w:val="auto"/>
          <w:sz w:val="72"/>
          <w:szCs w:val="72"/>
          <w:highlight w:val="none"/>
          <w:lang w:val="en-US" w:eastAsia="zh-CN"/>
        </w:rPr>
      </w:pPr>
      <w:bookmarkStart w:id="0" w:name="_Toc15396475"/>
      <w:bookmarkStart w:id="1" w:name="_Toc15378441"/>
      <w:bookmarkStart w:id="2" w:name="_Toc15377425"/>
      <w:bookmarkStart w:id="3" w:name="_Toc15396597"/>
      <w:bookmarkStart w:id="4" w:name="_Toc15377193"/>
      <w:bookmarkStart w:id="5" w:name="_Toc15306267"/>
    </w:p>
    <w:p>
      <w:pPr>
        <w:pageBreakBefore w:val="0"/>
        <w:kinsoku/>
        <w:wordWrap/>
        <w:overflowPunct/>
        <w:topLinePunct w:val="0"/>
        <w:bidi w:val="0"/>
        <w:spacing w:line="576" w:lineRule="exact"/>
        <w:ind w:firstLine="1440" w:firstLineChars="200"/>
        <w:jc w:val="center"/>
        <w:outlineLvl w:val="0"/>
        <w:rPr>
          <w:rFonts w:hint="default" w:ascii="Times New Roman" w:hAnsi="Times New Roman" w:eastAsia="方正小标宋简体" w:cs="Times New Roman"/>
          <w:color w:val="auto"/>
          <w:sz w:val="72"/>
          <w:szCs w:val="72"/>
          <w:highlight w:val="none"/>
        </w:rPr>
      </w:pPr>
    </w:p>
    <w:p>
      <w:pPr>
        <w:pageBreakBefore w:val="0"/>
        <w:kinsoku/>
        <w:wordWrap/>
        <w:overflowPunct/>
        <w:topLinePunct w:val="0"/>
        <w:bidi w:val="0"/>
        <w:spacing w:line="576" w:lineRule="exact"/>
        <w:ind w:firstLine="1440" w:firstLineChars="200"/>
        <w:jc w:val="center"/>
        <w:outlineLvl w:val="0"/>
        <w:rPr>
          <w:rFonts w:hint="default" w:ascii="Times New Roman" w:hAnsi="Times New Roman" w:eastAsia="方正小标宋简体" w:cs="Times New Roman"/>
          <w:color w:val="auto"/>
          <w:sz w:val="72"/>
          <w:szCs w:val="72"/>
          <w:highlight w:val="none"/>
        </w:rPr>
      </w:pPr>
    </w:p>
    <w:p>
      <w:pPr>
        <w:pageBreakBefore w:val="0"/>
        <w:kinsoku/>
        <w:wordWrap/>
        <w:overflowPunct/>
        <w:topLinePunct w:val="0"/>
        <w:bidi w:val="0"/>
        <w:spacing w:line="576" w:lineRule="exact"/>
        <w:ind w:firstLine="1440" w:firstLineChars="200"/>
        <w:jc w:val="center"/>
        <w:outlineLvl w:val="0"/>
        <w:rPr>
          <w:rFonts w:hint="default" w:ascii="Times New Roman" w:hAnsi="Times New Roman" w:eastAsia="方正小标宋简体" w:cs="Times New Roman"/>
          <w:color w:val="auto"/>
          <w:sz w:val="72"/>
          <w:szCs w:val="72"/>
          <w:highlight w:val="none"/>
        </w:rPr>
      </w:pPr>
    </w:p>
    <w:p>
      <w:pPr>
        <w:pageBreakBefore w:val="0"/>
        <w:kinsoku/>
        <w:wordWrap/>
        <w:overflowPunct/>
        <w:topLinePunct w:val="0"/>
        <w:bidi w:val="0"/>
        <w:adjustRightInd w:val="0"/>
        <w:snapToGrid w:val="0"/>
        <w:spacing w:line="576" w:lineRule="exact"/>
        <w:ind w:firstLine="1440" w:firstLineChars="200"/>
        <w:jc w:val="center"/>
        <w:outlineLvl w:val="0"/>
        <w:rPr>
          <w:rFonts w:hint="default" w:ascii="Times New Roman" w:hAnsi="Times New Roman" w:eastAsia="方正小标宋简体" w:cs="Times New Roman"/>
          <w:color w:val="auto"/>
          <w:sz w:val="72"/>
          <w:szCs w:val="72"/>
          <w:highlight w:val="none"/>
        </w:rPr>
      </w:pPr>
      <w:r>
        <w:rPr>
          <w:rFonts w:hint="default" w:ascii="Times New Roman" w:hAnsi="Times New Roman" w:eastAsia="方正小标宋简体" w:cs="Times New Roman"/>
          <w:color w:val="auto"/>
          <w:sz w:val="72"/>
          <w:szCs w:val="72"/>
          <w:highlight w:val="none"/>
          <w:lang w:eastAsia="zh-CN"/>
        </w:rPr>
        <w:t>2022年</w:t>
      </w:r>
      <w:r>
        <w:rPr>
          <w:rFonts w:hint="default" w:ascii="Times New Roman" w:hAnsi="Times New Roman" w:eastAsia="方正小标宋简体" w:cs="Times New Roman"/>
          <w:color w:val="auto"/>
          <w:sz w:val="72"/>
          <w:szCs w:val="72"/>
          <w:highlight w:val="none"/>
        </w:rPr>
        <w:t>度</w:t>
      </w:r>
      <w:bookmarkEnd w:id="0"/>
      <w:bookmarkEnd w:id="1"/>
      <w:bookmarkEnd w:id="2"/>
      <w:bookmarkEnd w:id="3"/>
      <w:bookmarkEnd w:id="4"/>
    </w:p>
    <w:bookmarkEnd w:id="5"/>
    <w:p>
      <w:pPr>
        <w:pageBreakBefore w:val="0"/>
        <w:kinsoku/>
        <w:wordWrap/>
        <w:overflowPunct/>
        <w:topLinePunct w:val="0"/>
        <w:bidi w:val="0"/>
        <w:adjustRightInd w:val="0"/>
        <w:snapToGrid w:val="0"/>
        <w:spacing w:line="576" w:lineRule="exact"/>
        <w:ind w:firstLine="1440" w:firstLineChars="200"/>
        <w:jc w:val="center"/>
        <w:outlineLvl w:val="0"/>
        <w:rPr>
          <w:rFonts w:hint="default" w:ascii="Times New Roman" w:hAnsi="Times New Roman" w:eastAsia="方正小标宋简体" w:cs="Times New Roman"/>
          <w:color w:val="auto"/>
          <w:sz w:val="72"/>
          <w:szCs w:val="72"/>
          <w:highlight w:val="none"/>
        </w:rPr>
      </w:pPr>
      <w:bookmarkStart w:id="6" w:name="_Toc15377194"/>
      <w:bookmarkStart w:id="7" w:name="_Toc15396476"/>
      <w:bookmarkStart w:id="8" w:name="_Toc15306268"/>
      <w:bookmarkStart w:id="9" w:name="_Toc15378442"/>
      <w:bookmarkStart w:id="10" w:name="_Toc15396598"/>
      <w:bookmarkStart w:id="11" w:name="_Toc15377426"/>
      <w:r>
        <w:rPr>
          <w:rFonts w:hint="default" w:ascii="Times New Roman" w:hAnsi="Times New Roman" w:eastAsia="方正小标宋简体" w:cs="Times New Roman"/>
          <w:color w:val="auto"/>
          <w:sz w:val="72"/>
          <w:szCs w:val="72"/>
          <w:highlight w:val="none"/>
          <w:lang w:val="en-US" w:eastAsia="zh-CN"/>
        </w:rPr>
        <w:t>中共阿坝县委巡察工作领导小组办公室</w:t>
      </w:r>
      <w:r>
        <w:rPr>
          <w:rFonts w:hint="default" w:ascii="Times New Roman" w:hAnsi="Times New Roman" w:eastAsia="方正小标宋简体" w:cs="Times New Roman"/>
          <w:color w:val="auto"/>
          <w:sz w:val="72"/>
          <w:szCs w:val="72"/>
          <w:highlight w:val="none"/>
        </w:rPr>
        <w:t>决算</w:t>
      </w:r>
      <w:bookmarkEnd w:id="6"/>
      <w:bookmarkEnd w:id="7"/>
      <w:bookmarkEnd w:id="8"/>
      <w:bookmarkEnd w:id="9"/>
      <w:bookmarkEnd w:id="10"/>
      <w:bookmarkEnd w:id="11"/>
    </w:p>
    <w:p>
      <w:pPr>
        <w:pageBreakBefore w:val="0"/>
        <w:widowControl/>
        <w:kinsoku/>
        <w:wordWrap/>
        <w:overflowPunct/>
        <w:topLinePunct w:val="0"/>
        <w:bidi w:val="0"/>
        <w:spacing w:line="576" w:lineRule="exact"/>
        <w:ind w:firstLine="720" w:firstLineChars="200"/>
        <w:jc w:val="center"/>
        <w:rPr>
          <w:rFonts w:hint="default" w:ascii="Times New Roman" w:hAnsi="Times New Roman" w:eastAsia="黑体" w:cs="Times New Roman"/>
          <w:color w:val="auto"/>
          <w:sz w:val="48"/>
          <w:szCs w:val="48"/>
          <w:highlight w:val="none"/>
        </w:rPr>
      </w:pPr>
      <w:r>
        <w:rPr>
          <w:rFonts w:hint="default" w:ascii="Times New Roman" w:hAnsi="Times New Roman" w:eastAsia="方正小标宋简体" w:cs="Times New Roman"/>
          <w:color w:val="auto"/>
          <w:sz w:val="36"/>
          <w:szCs w:val="36"/>
          <w:highlight w:val="none"/>
        </w:rPr>
        <w:br w:type="page"/>
      </w:r>
      <w:r>
        <w:rPr>
          <w:rFonts w:hint="default" w:ascii="Times New Roman" w:hAnsi="Times New Roman" w:eastAsia="黑体" w:cs="Times New Roman"/>
          <w:color w:val="auto"/>
          <w:sz w:val="48"/>
          <w:szCs w:val="48"/>
          <w:highlight w:val="none"/>
        </w:rPr>
        <w:t>目录</w:t>
      </w:r>
    </w:p>
    <w:p>
      <w:pPr>
        <w:pageBreakBefore w:val="0"/>
        <w:widowControl/>
        <w:kinsoku/>
        <w:wordWrap/>
        <w:overflowPunct/>
        <w:topLinePunct w:val="0"/>
        <w:bidi w:val="0"/>
        <w:spacing w:line="576" w:lineRule="exact"/>
        <w:ind w:firstLine="560" w:firstLineChars="200"/>
        <w:jc w:val="center"/>
        <w:rPr>
          <w:rFonts w:hint="default" w:ascii="Times New Roman" w:hAnsi="Times New Roman" w:eastAsia="黑体" w:cs="Times New Roman"/>
          <w:color w:val="auto"/>
          <w:sz w:val="28"/>
          <w:szCs w:val="28"/>
          <w:highlight w:val="none"/>
        </w:rPr>
      </w:pPr>
    </w:p>
    <w:p>
      <w:pPr>
        <w:pStyle w:val="10"/>
        <w:pageBreakBefore w:val="0"/>
        <w:kinsoku/>
        <w:wordWrap/>
        <w:overflowPunct/>
        <w:topLinePunct w:val="0"/>
        <w:bidi w:val="0"/>
        <w:adjustRightInd w:val="0"/>
        <w:snapToGrid w:val="0"/>
        <w:spacing w:before="0" w:line="576" w:lineRule="exact"/>
        <w:ind w:firstLine="640" w:firstLineChars="200"/>
        <w:jc w:val="center"/>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公开时间：2023年9月10日</w:t>
      </w:r>
    </w:p>
    <w:p>
      <w:pPr>
        <w:pageBreakBefore w:val="0"/>
        <w:kinsoku/>
        <w:wordWrap/>
        <w:overflowPunct/>
        <w:topLinePunct w:val="0"/>
        <w:bidi w:val="0"/>
        <w:spacing w:line="576" w:lineRule="exact"/>
        <w:ind w:firstLine="420" w:firstLineChars="200"/>
        <w:rPr>
          <w:rFonts w:hint="default" w:ascii="Times New Roman" w:hAnsi="Times New Roman" w:cs="Times New Roman"/>
          <w:color w:val="auto"/>
          <w:highlight w:val="none"/>
        </w:rPr>
      </w:pPr>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第一部分 部门概况</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color w:val="auto"/>
          <w:sz w:val="32"/>
          <w:szCs w:val="32"/>
          <w:highlight w:val="none"/>
        </w:rPr>
        <w:t>一、基本职能及主要工作</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二、机构设置</w:t>
      </w:r>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第二部分</w:t>
      </w:r>
      <w:r>
        <w:rPr>
          <w:rFonts w:hint="default" w:ascii="Times New Roman" w:hAnsi="Times New Roman" w:eastAsia="方正仿宋_GBK" w:cs="Times New Roman"/>
          <w:b/>
          <w:bCs/>
          <w:color w:val="auto"/>
          <w:sz w:val="32"/>
          <w:szCs w:val="32"/>
          <w:highlight w:val="none"/>
          <w:lang w:val="en-US" w:eastAsia="zh-CN"/>
        </w:rPr>
        <w:t xml:space="preserve"> 2022年度</w:t>
      </w:r>
      <w:r>
        <w:rPr>
          <w:rFonts w:hint="default" w:ascii="Times New Roman" w:hAnsi="Times New Roman" w:eastAsia="方正仿宋_GBK" w:cs="Times New Roman"/>
          <w:b/>
          <w:bCs/>
          <w:color w:val="auto"/>
          <w:sz w:val="32"/>
          <w:szCs w:val="32"/>
          <w:highlight w:val="none"/>
        </w:rPr>
        <w:t>部门决算情况说明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一、收入支出决算总体情况说明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二、收入决算情况说明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三、支出决算情况说明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四、财政拨款收入支出决算总体情况说明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五、一般公共预算财政拨款支出决算情况说明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六、一般公共预算财政拨款基本支出决算情况说明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七、</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三公”经费财政拨款支出决算情况说明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八、政府性基金预算支出决算情况说明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九、</w:t>
      </w:r>
      <w:r>
        <w:rPr>
          <w:rFonts w:hint="default" w:ascii="Times New Roman" w:hAnsi="Times New Roman" w:eastAsia="方正仿宋_GBK" w:cs="Times New Roman"/>
          <w:color w:val="auto"/>
          <w:sz w:val="32"/>
          <w:szCs w:val="32"/>
          <w:highlight w:val="none"/>
          <w:lang w:eastAsia="zh-CN"/>
        </w:rPr>
        <w:t>国</w:t>
      </w:r>
      <w:r>
        <w:rPr>
          <w:rFonts w:hint="default" w:ascii="Times New Roman" w:hAnsi="Times New Roman" w:eastAsia="方正仿宋_GBK" w:cs="Times New Roman"/>
          <w:color w:val="auto"/>
          <w:sz w:val="32"/>
          <w:szCs w:val="32"/>
          <w:highlight w:val="none"/>
        </w:rPr>
        <w:t>有资本经营预算支出决算情况说明</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十</w:t>
      </w:r>
      <w:r>
        <w:rPr>
          <w:rFonts w:hint="default" w:ascii="Times New Roman" w:hAnsi="Times New Roman" w:eastAsia="方正仿宋_GBK" w:cs="Times New Roman"/>
          <w:color w:val="auto"/>
          <w:sz w:val="32"/>
          <w:szCs w:val="32"/>
          <w:highlight w:val="none"/>
        </w:rPr>
        <w:t>、其他重要事项的情况说明</w:t>
      </w:r>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第三部分 名词解释</w:t>
      </w:r>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第四部分 附件</w:t>
      </w:r>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rPr>
        <w:t>第五部分 附表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一、收入支出决算总表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二、收入决算表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三、支出决算表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四、财政拨款收入支出决算总表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五、财政拨款支出决算明细表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六、一般公共预算财政拨款支出决算表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七、一般公共预算财政拨款支出决算明细表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八、一般公共预算财政拨款基本支出决算表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九、一般公共预算财政拨款项目支出决算表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十、一般公共预算财政拨款“三公”经费支出决算表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十一、政府性基金预算财政拨款收入支出决算表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十二、政府性基金预算财政拨款“三公”经费支出决算表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十三、国有资本经营预算</w:t>
      </w:r>
      <w:r>
        <w:rPr>
          <w:rFonts w:hint="default" w:ascii="Times New Roman" w:hAnsi="Times New Roman" w:eastAsia="方正仿宋_GBK" w:cs="Times New Roman"/>
          <w:color w:val="auto"/>
          <w:sz w:val="32"/>
          <w:szCs w:val="32"/>
          <w:highlight w:val="none"/>
          <w:lang w:eastAsia="zh-CN"/>
        </w:rPr>
        <w:t>财政拨款收入</w:t>
      </w:r>
      <w:r>
        <w:rPr>
          <w:rFonts w:hint="default" w:ascii="Times New Roman" w:hAnsi="Times New Roman" w:eastAsia="方正仿宋_GBK" w:cs="Times New Roman"/>
          <w:color w:val="auto"/>
          <w:sz w:val="32"/>
          <w:szCs w:val="32"/>
          <w:highlight w:val="none"/>
        </w:rPr>
        <w:t>支出决算表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十四、国有资本经营预算财政拨款支出决算表</w:t>
      </w:r>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color w:val="auto"/>
          <w:sz w:val="32"/>
          <w:szCs w:val="32"/>
          <w:highlight w:val="none"/>
        </w:rPr>
      </w:pPr>
      <w:bookmarkStart w:id="12" w:name="_Toc15396599"/>
      <w:bookmarkStart w:id="13" w:name="_Toc15377196"/>
      <w:r>
        <w:rPr>
          <w:rFonts w:hint="default" w:ascii="Times New Roman" w:hAnsi="Times New Roman" w:eastAsia="方正仿宋_GBK" w:cs="Times New Roman"/>
          <w:color w:val="auto"/>
          <w:sz w:val="32"/>
          <w:szCs w:val="32"/>
          <w:highlight w:val="none"/>
        </w:rPr>
        <w:br w:type="page"/>
      </w:r>
    </w:p>
    <w:p>
      <w:pPr>
        <w:pStyle w:val="3"/>
        <w:pageBreakBefore w:val="0"/>
        <w:kinsoku/>
        <w:wordWrap/>
        <w:overflowPunct/>
        <w:topLinePunct w:val="0"/>
        <w:bidi w:val="0"/>
        <w:spacing w:line="576" w:lineRule="exact"/>
        <w:ind w:firstLine="880" w:firstLineChars="200"/>
        <w:jc w:val="center"/>
        <w:rPr>
          <w:rStyle w:val="26"/>
          <w:rFonts w:hint="default" w:ascii="Times New Roman" w:hAnsi="Times New Roman" w:eastAsia="黑体" w:cs="Times New Roman"/>
          <w:b/>
          <w:bCs w:val="0"/>
          <w:color w:val="auto"/>
          <w:highlight w:val="none"/>
        </w:rPr>
      </w:pPr>
      <w:r>
        <w:rPr>
          <w:rFonts w:hint="default" w:ascii="Times New Roman" w:hAnsi="Times New Roman" w:eastAsia="黑体" w:cs="Times New Roman"/>
          <w:b w:val="0"/>
          <w:color w:val="auto"/>
          <w:highlight w:val="none"/>
        </w:rPr>
        <w:t xml:space="preserve">第一部分 </w:t>
      </w:r>
      <w:r>
        <w:rPr>
          <w:rStyle w:val="26"/>
          <w:rFonts w:hint="default" w:ascii="Times New Roman" w:hAnsi="Times New Roman" w:eastAsia="黑体" w:cs="Times New Roman"/>
          <w:b w:val="0"/>
          <w:bCs w:val="0"/>
          <w:color w:val="auto"/>
          <w:highlight w:val="none"/>
        </w:rPr>
        <w:t>部门概况</w:t>
      </w:r>
      <w:bookmarkEnd w:id="12"/>
      <w:bookmarkEnd w:id="13"/>
    </w:p>
    <w:p>
      <w:pPr>
        <w:pageBreakBefore w:val="0"/>
        <w:widowControl/>
        <w:kinsoku/>
        <w:wordWrap/>
        <w:overflowPunct/>
        <w:topLinePunct w:val="0"/>
        <w:bidi w:val="0"/>
        <w:spacing w:line="576" w:lineRule="exact"/>
        <w:ind w:firstLine="640" w:firstLineChars="200"/>
        <w:jc w:val="left"/>
        <w:rPr>
          <w:rFonts w:hint="default" w:ascii="Times New Roman" w:hAnsi="Times New Roman" w:eastAsia="黑体" w:cs="Times New Roman"/>
          <w:color w:val="auto"/>
          <w:sz w:val="32"/>
          <w:szCs w:val="32"/>
          <w:highlight w:val="none"/>
        </w:rPr>
      </w:pPr>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楷体_GBK" w:cs="Times New Roman"/>
          <w:b/>
          <w:bCs/>
          <w:color w:val="auto"/>
          <w:sz w:val="32"/>
          <w:szCs w:val="32"/>
          <w:highlight w:val="none"/>
        </w:rPr>
      </w:pPr>
      <w:bookmarkStart w:id="14" w:name="_Toc15396600"/>
      <w:bookmarkStart w:id="15" w:name="_Toc15377197"/>
      <w:r>
        <w:rPr>
          <w:rFonts w:hint="default" w:ascii="Times New Roman" w:hAnsi="Times New Roman" w:eastAsia="方正楷体_GBK" w:cs="Times New Roman"/>
          <w:b/>
          <w:bCs/>
          <w:color w:val="auto"/>
          <w:sz w:val="32"/>
          <w:szCs w:val="32"/>
          <w:highlight w:val="none"/>
        </w:rPr>
        <w:t>一、基本职能及主要工作</w:t>
      </w:r>
      <w:bookmarkEnd w:id="14"/>
      <w:bookmarkEnd w:id="15"/>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仿宋_GBK" w:cs="Times New Roman"/>
          <w:b/>
          <w:bCs/>
          <w:color w:val="auto"/>
          <w:sz w:val="32"/>
          <w:szCs w:val="32"/>
          <w:highlight w:val="none"/>
        </w:rPr>
      </w:pPr>
      <w:bookmarkStart w:id="16" w:name="_Toc15377198"/>
      <w:bookmarkStart w:id="17" w:name="_Toc15378445"/>
      <w:r>
        <w:rPr>
          <w:rFonts w:hint="default"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b/>
          <w:bCs/>
          <w:color w:val="auto"/>
          <w:sz w:val="32"/>
          <w:szCs w:val="32"/>
          <w:highlight w:val="none"/>
        </w:rPr>
        <w:t>主要职能</w:t>
      </w:r>
      <w:bookmarkEnd w:id="16"/>
      <w:bookmarkEnd w:id="17"/>
      <w:bookmarkStart w:id="18" w:name="_Toc15377199"/>
      <w:bookmarkStart w:id="19" w:name="_Toc15378446"/>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一、提高政治站位，强化责任担当。</w:t>
      </w:r>
      <w:r>
        <w:rPr>
          <w:rFonts w:hint="default" w:ascii="Times New Roman" w:hAnsi="Times New Roman" w:eastAsia="方正仿宋_GBK" w:cs="Times New Roman"/>
          <w:kern w:val="2"/>
          <w:sz w:val="32"/>
          <w:szCs w:val="32"/>
          <w:lang w:val="en-US" w:eastAsia="zh-CN" w:bidi="ar-SA"/>
        </w:rPr>
        <w:t>县委坚持把巡察工作作为落实管党治党政治责任的重要抓手，纳入落实全面从严治党主体责任清单和目标考核的重要内容。一年来，先后召开县委常委会、书记专题会、巡察工作领导小组会等11次，传达学习中央、省委和州委关于巡视巡察工作的新部署新要求，研究贯彻落实意见，听取巡察情况汇报，研究解决具体问题。县委主要领导高度重视巡察工作，先后对巡察工作批示8次，在县委书记专题会上，认真听取每轮巡察情况汇报，点人点事点具体，明确处理意见。县委巡察工作领导小组认真担负组织实施责任，</w:t>
      </w:r>
      <w:r>
        <w:rPr>
          <w:rFonts w:hint="default" w:ascii="Times New Roman" w:hAnsi="Times New Roman" w:eastAsia="方正仿宋_GBK" w:cs="Times New Roman"/>
          <w:sz w:val="32"/>
          <w:szCs w:val="32"/>
          <w:lang w:val="en-US" w:eastAsia="zh-CN"/>
        </w:rPr>
        <w:t>召开全县巡察工作动员部署会和领导小组会，</w:t>
      </w:r>
      <w:r>
        <w:rPr>
          <w:rFonts w:hint="default" w:ascii="Times New Roman" w:hAnsi="Times New Roman" w:eastAsia="方正仿宋_GBK" w:cs="Times New Roman"/>
          <w:kern w:val="2"/>
          <w:sz w:val="32"/>
          <w:szCs w:val="32"/>
          <w:lang w:val="en-US" w:eastAsia="zh-CN" w:bidi="ar-SA"/>
        </w:rPr>
        <w:t>研究部署巡察工作，统筹谋划巡察工作任务，推动巡察工作“上台阶”。</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二、精心制定巡察工作五年规划，明确任务书路线图。</w:t>
      </w:r>
      <w:r>
        <w:rPr>
          <w:rFonts w:hint="default" w:ascii="Times New Roman" w:hAnsi="Times New Roman" w:eastAsia="方正仿宋_GBK" w:cs="Times New Roman"/>
          <w:kern w:val="2"/>
          <w:sz w:val="32"/>
          <w:szCs w:val="32"/>
          <w:lang w:val="en-US" w:eastAsia="zh-CN" w:bidi="ar-SA"/>
        </w:rPr>
        <w:t>在全面复盘总结十三届县委巡察工作经验和做法的基础上，结合阿坝县实际，立足巡察政治监督职能定位，精心制定《中共阿坝县第十四届委员会巡察工作规划（2021-2026年）》，明确十四届县委巡察全覆盖工作的“时间表”和“路线图”，在一届内完成对全县15个乡镇党委、4个寺庙管理委员会、46个县直机关和企事业单位、81个村（社区）党组织的巡察工作任务，以强有力的政治监督为加快建设“七个阿坝县”，奋力实现“一县一中心”提供坚强政治保障。</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三、坚持守正创新，有力有序推进2022年度巡察工作。</w:t>
      </w:r>
      <w:r>
        <w:rPr>
          <w:rFonts w:hint="default" w:ascii="Times New Roman" w:hAnsi="Times New Roman" w:eastAsia="方正仿宋_GBK" w:cs="Times New Roman"/>
          <w:kern w:val="2"/>
          <w:sz w:val="32"/>
          <w:szCs w:val="32"/>
          <w:lang w:val="en-US" w:eastAsia="zh-CN" w:bidi="ar-SA"/>
        </w:rPr>
        <w:t>结合五年规划和本县巡察工作实际，年初制定《2022年度巡察工作要点》和《2022年度巡察工作计划》，对全年巡察工作作出安排部署。紧紧抓住“高质量、全覆盖”这个关键，统筹谋划十四届县委首轮巡察工作，科学合理制定巡察工作方案，规范巡察工作流程，梳理细化巡察重点，提高巡察工作的针对性和实效性。目前，已完成一轮对9个党组织的常规巡察和17个村（社区）的延伸巡察、3个村的直接巡察，共发现问题161个，发现并移交问题线索3条。</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四、坚持同频共振和同向发力，全力配合省委、州委开展联动和交叉巡察。</w:t>
      </w:r>
      <w:r>
        <w:rPr>
          <w:rFonts w:hint="default" w:ascii="Times New Roman" w:hAnsi="Times New Roman" w:eastAsia="方正仿宋_GBK" w:cs="Times New Roman"/>
          <w:kern w:val="2"/>
          <w:sz w:val="32"/>
          <w:szCs w:val="32"/>
          <w:lang w:val="en-US" w:eastAsia="zh-CN" w:bidi="ar-SA"/>
        </w:rPr>
        <w:t>一是为积极配合省州巡视巡察工作，按照相关要求，从县纪委监委、组织部、宣传部等相关单位抽调11名熟悉业务的干部组建交叉巡察组，对小金县纪委监委和组织部开展为期30天左右的交叉巡察，巡察任务于10月底结束。二是为做好省委第八巡视组巡视阿坝县期间，对县人民法院、人民检察院的联动常规巡察以及相关机动巡察工作，结合巡察对象职能职责，精心制定联动巡察工作方案，组织召开联动巡察工作动员部署，抽调20名干部组建2个联动巡察组和1个机动巡察组，在省委巡视组的指导督导下，全力以赴做好联动巡察工作。</w:t>
      </w:r>
    </w:p>
    <w:p>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3"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五、压实整改责任，确保整改实效。</w:t>
      </w:r>
      <w:r>
        <w:rPr>
          <w:rFonts w:hint="default" w:ascii="Times New Roman" w:hAnsi="Times New Roman" w:eastAsia="方正仿宋_GBK" w:cs="Times New Roman"/>
          <w:kern w:val="2"/>
          <w:sz w:val="32"/>
          <w:szCs w:val="32"/>
          <w:lang w:val="en-US" w:eastAsia="zh-CN" w:bidi="ar-SA"/>
        </w:rPr>
        <w:t>一是为全面做好州委第一巡察组对茸安乡反分维稳专项提级巡察反馈问题的整改工作，积极同州委巡察组对接，指导审核茸安乡制定的巡察整改方案和台账，到会参加其召开的巡察整改专题民主生活会，督促茸安乡党委及其主要负责人抓好巡察反馈意见整改落实和成果运用。二是完成县委第一轮巡察反馈。根据书记专题会和巡察工作领导小组的意见，形成对被巡察党组织及其主要负责人的反馈意见，要求及时召开巡察整改专题民主生活会，制定整改实施方案，建立问题整改清单台账，落实责任人，倒计时推进。目前，共向9个被巡察党组织反馈问题161个，向组织部、教育局等部门移交工作建议3条。三是建立“四方联审”机制，由纪委监委机关、组织部、巡察组和巡察办对整改方案、整改进度、整改报告进行联审，全方位多角度推动问题真改实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eastAsia="方正仿宋_GBK" w:cs="Times New Roman"/>
          <w:b/>
          <w:bCs/>
          <w:kern w:val="2"/>
          <w:sz w:val="32"/>
          <w:szCs w:val="32"/>
          <w:lang w:val="en-US" w:eastAsia="zh-CN" w:bidi="ar-SA"/>
        </w:rPr>
        <w:t>六、加强巡察队伍建设，提升能力水平。</w:t>
      </w:r>
      <w:r>
        <w:rPr>
          <w:rFonts w:hint="default" w:ascii="Times New Roman" w:hAnsi="Times New Roman" w:eastAsia="方正仿宋_GBK" w:cs="Times New Roman"/>
          <w:kern w:val="2"/>
          <w:sz w:val="32"/>
          <w:szCs w:val="32"/>
          <w:lang w:val="en-US" w:eastAsia="zh-CN" w:bidi="ar-SA"/>
        </w:rPr>
        <w:t>一是调整充实巡察人才库，扎实推进巡察组副组长库和人才库建设。坚持“将巡察岗位作为发现、培养、锻炼干部的重要平台”，将近3年县委新提拔的30名副科级领导干部列入巡察组副组长库管理，配齐配强兼职巡察队伍，从县纪委监委、组织部等25个部门（单位）中推选75名政治素质好、业务能力强的干部充实到巡察人才库，为十四届县委巡察工作开展提供坚强人才保障。二是按照开展巡察“一轮一培训”的基本要求，动员部署会后，组织对本轮巡察组干部进行业务集中培训，从巡察工作的不同侧重点讲方法、明标准、提要求，对巡察工作制度、工作程序、工作流程等进行细致辅导，切实提高巡察干部的能力。</w:t>
      </w:r>
    </w:p>
    <w:p>
      <w:pPr>
        <w:pStyle w:val="13"/>
        <w:keepNext w:val="0"/>
        <w:keepLines w:val="0"/>
        <w:pageBreakBefore w:val="0"/>
        <w:shd w:val="clear" w:color="auto" w:fill="FFFFFF"/>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2.本单位本年度纳入本套决算编制范围的独立编制机构数共1个，比上年增加0个；独立核算机构数共1个。</w:t>
      </w:r>
    </w:p>
    <w:p>
      <w:pPr>
        <w:pStyle w:val="13"/>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3.本单位本年度年末实有人数为4人，比上年增加0人；年末实有离退休人数为0人，比上年增加0人；年末实有其他人数为0人，比上年增加0人。</w:t>
      </w:r>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2.2022年重点工作完成情况</w:t>
      </w:r>
      <w:bookmarkEnd w:id="18"/>
      <w:bookmarkEnd w:id="19"/>
    </w:p>
    <w:p>
      <w:pPr>
        <w:pStyle w:val="10"/>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1.</w:t>
      </w:r>
      <w:r>
        <w:rPr>
          <w:rFonts w:hint="default" w:ascii="Times New Roman" w:hAnsi="Times New Roman" w:eastAsia="方正仿宋_GBK" w:cs="Times New Roman"/>
          <w:kern w:val="2"/>
          <w:sz w:val="32"/>
          <w:szCs w:val="32"/>
          <w:lang w:val="en-US" w:eastAsia="zh-CN" w:bidi="ar-SA"/>
        </w:rPr>
        <w:t>强化组织领导，夯实政治责任抓落实。</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w:t>
      </w:r>
      <w:r>
        <w:rPr>
          <w:rFonts w:hint="default" w:ascii="Times New Roman" w:hAnsi="Times New Roman" w:eastAsia="方正仿宋_GBK" w:cs="Times New Roman"/>
          <w:kern w:val="2"/>
          <w:sz w:val="32"/>
          <w:szCs w:val="32"/>
          <w:lang w:val="en-US" w:eastAsia="zh-CN" w:bidi="ar-SA"/>
        </w:rPr>
        <w:t>提前谋划部署，高质量推进</w:t>
      </w:r>
      <w:r>
        <w:rPr>
          <w:rFonts w:hint="default" w:ascii="Times New Roman" w:hAnsi="Times New Roman" w:eastAsia="方正仿宋_GBK" w:cs="Times New Roman"/>
          <w:kern w:val="2"/>
          <w:sz w:val="32"/>
          <w:szCs w:val="32"/>
          <w:lang w:val="en-US" w:eastAsia="zh-CN" w:bidi="ar-SA"/>
        </w:rPr>
        <w:t>2022年</w:t>
      </w:r>
      <w:r>
        <w:rPr>
          <w:rFonts w:hint="default" w:ascii="Times New Roman" w:hAnsi="Times New Roman" w:eastAsia="方正仿宋_GBK" w:cs="Times New Roman"/>
          <w:kern w:val="2"/>
          <w:sz w:val="32"/>
          <w:szCs w:val="32"/>
          <w:lang w:val="en-US" w:eastAsia="zh-CN" w:bidi="ar-SA"/>
        </w:rPr>
        <w:t>度巡察工作。</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w:t>
      </w:r>
      <w:r>
        <w:rPr>
          <w:rFonts w:hint="default" w:ascii="Times New Roman" w:hAnsi="Times New Roman" w:eastAsia="方正仿宋_GBK" w:cs="Times New Roman"/>
          <w:kern w:val="2"/>
          <w:sz w:val="32"/>
          <w:szCs w:val="32"/>
          <w:lang w:val="en-US" w:eastAsia="zh-CN" w:bidi="ar-SA"/>
        </w:rPr>
        <w:t>健全工作制度，推进巡察监督与纪委、组织、审计等职能部门协调协作。</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w:t>
      </w:r>
      <w:r>
        <w:rPr>
          <w:rFonts w:hint="default" w:ascii="Times New Roman" w:hAnsi="Times New Roman" w:eastAsia="方正仿宋_GBK" w:cs="Times New Roman"/>
          <w:kern w:val="2"/>
          <w:sz w:val="32"/>
          <w:szCs w:val="32"/>
          <w:lang w:val="en-US" w:eastAsia="zh-CN" w:bidi="ar-SA"/>
        </w:rPr>
        <w:t>聚焦政治巡察要求，持续推进巡察全覆盖工作任务。</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配合省委巡视工作，同步开展上下联动巡察。</w:t>
      </w:r>
    </w:p>
    <w:p>
      <w:pPr>
        <w:pStyle w:val="10"/>
        <w:keepNext w:val="0"/>
        <w:keepLines w:val="0"/>
        <w:pageBreakBefore w:val="0"/>
        <w:widowControl w:val="0"/>
        <w:kinsoku/>
        <w:wordWrap/>
        <w:overflowPunct/>
        <w:topLinePunct w:val="0"/>
        <w:autoSpaceDE/>
        <w:autoSpaceDN/>
        <w:bidi w:val="0"/>
        <w:adjustRightInd w:val="0"/>
        <w:snapToGrid w:val="0"/>
        <w:spacing w:before="0" w:line="576"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及时召开巡察反馈会，压实巡察整改责任。</w:t>
      </w:r>
    </w:p>
    <w:p>
      <w:pPr>
        <w:pStyle w:val="10"/>
        <w:pageBreakBefore w:val="0"/>
        <w:kinsoku/>
        <w:wordWrap/>
        <w:overflowPunct/>
        <w:topLinePunct w:val="0"/>
        <w:bidi w:val="0"/>
        <w:adjustRightInd w:val="0"/>
        <w:snapToGrid w:val="0"/>
        <w:spacing w:before="0" w:line="576" w:lineRule="exact"/>
        <w:ind w:firstLine="643" w:firstLineChars="200"/>
        <w:jc w:val="left"/>
        <w:rPr>
          <w:rFonts w:hint="default" w:ascii="Times New Roman" w:hAnsi="Times New Roman" w:eastAsia="方正仿宋_GBK" w:cs="Times New Roman"/>
          <w:b/>
          <w:bCs/>
          <w:color w:val="auto"/>
          <w:sz w:val="32"/>
          <w:szCs w:val="32"/>
          <w:highlight w:val="none"/>
        </w:rPr>
      </w:pPr>
      <w:bookmarkStart w:id="20" w:name="_Toc15396601"/>
      <w:bookmarkStart w:id="21" w:name="_Toc15377200"/>
      <w:r>
        <w:rPr>
          <w:rFonts w:hint="default" w:ascii="Times New Roman" w:hAnsi="Times New Roman" w:eastAsia="方正仿宋_GBK" w:cs="Times New Roman"/>
          <w:b/>
          <w:bCs/>
          <w:color w:val="auto"/>
          <w:sz w:val="32"/>
          <w:szCs w:val="32"/>
          <w:highlight w:val="none"/>
        </w:rPr>
        <w:t>二、机构设置</w:t>
      </w:r>
      <w:bookmarkEnd w:id="20"/>
      <w:bookmarkEnd w:id="21"/>
    </w:p>
    <w:p>
      <w:pPr>
        <w:pStyle w:val="10"/>
        <w:pageBreakBefore w:val="0"/>
        <w:kinsoku/>
        <w:wordWrap/>
        <w:overflowPunct/>
        <w:topLinePunct w:val="0"/>
        <w:bidi w:val="0"/>
        <w:adjustRightInd w:val="0"/>
        <w:snapToGrid w:val="0"/>
        <w:spacing w:before="0" w:line="576" w:lineRule="exact"/>
        <w:ind w:firstLine="640" w:firstLineChars="200"/>
        <w:jc w:val="left"/>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中共阿坝县委巡察工作领导小组办公室下属二级单位1个，其中行政单位1个，事业单位1个。纳入中共阿坝县委巡察工作领导小组办公室2022年度部门决算编制范围的二级预算单位包括：</w:t>
      </w:r>
      <w:bookmarkStart w:id="22" w:name="_Toc15377202"/>
      <w:bookmarkStart w:id="23" w:name="_Toc15306276"/>
      <w:bookmarkStart w:id="24" w:name="_Toc15377433"/>
      <w:bookmarkStart w:id="25" w:name="_Toc15378449"/>
      <w:r>
        <w:rPr>
          <w:rFonts w:hint="default" w:ascii="Times New Roman" w:hAnsi="Times New Roman" w:eastAsia="方正仿宋_GBK" w:cs="Times New Roman"/>
          <w:kern w:val="2"/>
          <w:sz w:val="32"/>
          <w:szCs w:val="32"/>
          <w:lang w:val="en-US" w:eastAsia="zh-CN" w:bidi="ar-SA"/>
        </w:rPr>
        <w:t>阿坝县巡察保障中心</w:t>
      </w:r>
      <w:bookmarkEnd w:id="22"/>
      <w:bookmarkEnd w:id="23"/>
      <w:bookmarkEnd w:id="24"/>
      <w:bookmarkEnd w:id="25"/>
      <w:r>
        <w:rPr>
          <w:rFonts w:hint="default" w:ascii="Times New Roman" w:hAnsi="Times New Roman" w:eastAsia="方正仿宋_GBK" w:cs="Times New Roman"/>
          <w:kern w:val="2"/>
          <w:sz w:val="32"/>
          <w:szCs w:val="32"/>
          <w:lang w:val="en-US" w:eastAsia="zh-CN" w:bidi="ar-SA"/>
        </w:rPr>
        <w:t>。本单位本年度年末实有人数为9人，巡察办5人为行政人员，巡察保障中心4人为事业人员。</w:t>
      </w:r>
    </w:p>
    <w:p>
      <w:pPr>
        <w:pStyle w:val="3"/>
        <w:pageBreakBefore w:val="0"/>
        <w:kinsoku/>
        <w:wordWrap/>
        <w:overflowPunct/>
        <w:topLinePunct w:val="0"/>
        <w:bidi w:val="0"/>
        <w:spacing w:line="576" w:lineRule="exact"/>
        <w:ind w:right="440" w:firstLine="880" w:firstLineChars="200"/>
        <w:jc w:val="center"/>
        <w:rPr>
          <w:rFonts w:hint="default" w:ascii="Times New Roman" w:hAnsi="Times New Roman" w:cs="Times New Roman"/>
          <w:color w:val="auto"/>
          <w:highlight w:val="none"/>
        </w:rPr>
      </w:pPr>
      <w:bookmarkStart w:id="26" w:name="_Toc15396602"/>
      <w:bookmarkStart w:id="27" w:name="_Toc15377204"/>
      <w:r>
        <w:rPr>
          <w:rFonts w:hint="default" w:ascii="Times New Roman" w:hAnsi="Times New Roman" w:eastAsia="黑体" w:cs="Times New Roman"/>
          <w:b w:val="0"/>
          <w:bCs/>
          <w:color w:val="auto"/>
          <w:highlight w:val="none"/>
        </w:rPr>
        <w:t xml:space="preserve">第二部分 </w:t>
      </w:r>
      <w:r>
        <w:rPr>
          <w:rFonts w:hint="default" w:ascii="Times New Roman" w:hAnsi="Times New Roman" w:eastAsia="黑体" w:cs="Times New Roman"/>
          <w:b w:val="0"/>
          <w:bCs/>
          <w:color w:val="auto"/>
          <w:highlight w:val="none"/>
          <w:lang w:val="en-US" w:eastAsia="zh-CN"/>
        </w:rPr>
        <w:t>2022年度</w:t>
      </w:r>
      <w:r>
        <w:rPr>
          <w:rStyle w:val="26"/>
          <w:rFonts w:hint="default" w:ascii="Times New Roman" w:hAnsi="Times New Roman" w:eastAsia="黑体" w:cs="Times New Roman"/>
          <w:b w:val="0"/>
          <w:bCs/>
          <w:color w:val="auto"/>
          <w:highlight w:val="none"/>
        </w:rPr>
        <w:t>部门决算情况说明</w:t>
      </w:r>
      <w:bookmarkEnd w:id="26"/>
      <w:bookmarkEnd w:id="27"/>
    </w:p>
    <w:p>
      <w:pPr>
        <w:pStyle w:val="25"/>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outlineLvl w:val="1"/>
        <w:rPr>
          <w:rStyle w:val="27"/>
          <w:rFonts w:hint="default" w:ascii="Times New Roman" w:hAnsi="Times New Roman" w:eastAsia="黑体" w:cs="Times New Roman"/>
          <w:b w:val="0"/>
          <w:color w:val="auto"/>
          <w:highlight w:val="none"/>
        </w:rPr>
      </w:pPr>
      <w:bookmarkStart w:id="28" w:name="_Toc15396603"/>
      <w:bookmarkStart w:id="29" w:name="_Toc15377205"/>
      <w:r>
        <w:rPr>
          <w:rFonts w:hint="default" w:ascii="Times New Roman" w:hAnsi="Times New Roman" w:eastAsia="黑体" w:cs="Times New Roman"/>
          <w:color w:val="auto"/>
          <w:sz w:val="32"/>
          <w:szCs w:val="32"/>
          <w:highlight w:val="none"/>
        </w:rPr>
        <w:t>收</w:t>
      </w:r>
      <w:r>
        <w:rPr>
          <w:rStyle w:val="27"/>
          <w:rFonts w:hint="default" w:ascii="Times New Roman" w:hAnsi="Times New Roman" w:eastAsia="黑体" w:cs="Times New Roman"/>
          <w:b w:val="0"/>
          <w:color w:val="auto"/>
          <w:highlight w:val="none"/>
        </w:rPr>
        <w:t>入支出决算总体情况说明</w:t>
      </w:r>
      <w:bookmarkEnd w:id="28"/>
      <w:bookmarkEnd w:id="29"/>
    </w:p>
    <w:p>
      <w:pPr>
        <w:pStyle w:val="13"/>
        <w:keepNext w:val="0"/>
        <w:keepLines w:val="0"/>
        <w:pageBreakBefore w:val="0"/>
        <w:shd w:val="clear" w:color="auto" w:fill="FFFFFF"/>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eastAsiaTheme="minorEastAsia"/>
          <w:sz w:val="24"/>
          <w:szCs w:val="24"/>
        </w:rPr>
      </w:pPr>
      <w:bookmarkStart w:id="30" w:name="_Toc15396604"/>
      <w:bookmarkStart w:id="31" w:name="_Toc15377206"/>
      <w:r>
        <w:rPr>
          <w:rFonts w:hint="default" w:ascii="Times New Roman" w:hAnsi="Times New Roman" w:eastAsia="方正仿宋_GBK" w:cs="Times New Roman"/>
          <w:kern w:val="2"/>
          <w:sz w:val="32"/>
          <w:szCs w:val="32"/>
          <w:lang w:val="en-US" w:eastAsia="zh-CN" w:bidi="ar-SA"/>
        </w:rPr>
        <w:t>本单位本年度收入的年初预算数为170.52万元，上年度收入的年初预算数为170.52万元，差异为82.7万元；主要原因为2022年工资变动，人员变动。本年度支出的年初预算数为170.52万元，上年度支出的年初预算数为170.52万元，差异为82.7万元；主要原因为2022年工资变动，人员变动。</w:t>
      </w:r>
    </w:p>
    <w:p>
      <w:pPr>
        <w:pStyle w:val="13"/>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line="576" w:lineRule="exact"/>
        <w:ind w:left="1360" w:leftChars="0" w:firstLine="640" w:firstLineChars="200"/>
        <w:textAlignment w:val="auto"/>
        <w:rPr>
          <w:rStyle w:val="27"/>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rPr>
        <w:t>收</w:t>
      </w:r>
      <w:r>
        <w:rPr>
          <w:rStyle w:val="27"/>
          <w:rFonts w:hint="default" w:ascii="Times New Roman" w:hAnsi="Times New Roman" w:eastAsia="黑体" w:cs="Times New Roman"/>
          <w:b w:val="0"/>
          <w:color w:val="auto"/>
          <w:highlight w:val="none"/>
        </w:rPr>
        <w:t>入决算情况说明</w:t>
      </w:r>
      <w:bookmarkEnd w:id="30"/>
      <w:bookmarkEnd w:id="31"/>
    </w:p>
    <w:p>
      <w:pPr>
        <w:pStyle w:val="1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drawing>
          <wp:anchor distT="0" distB="0" distL="114300" distR="114300" simplePos="0" relativeHeight="251662336" behindDoc="0" locked="0" layoutInCell="1" allowOverlap="1">
            <wp:simplePos x="0" y="0"/>
            <wp:positionH relativeFrom="column">
              <wp:posOffset>325120</wp:posOffset>
            </wp:positionH>
            <wp:positionV relativeFrom="paragraph">
              <wp:posOffset>2334260</wp:posOffset>
            </wp:positionV>
            <wp:extent cx="5327015" cy="2550795"/>
            <wp:effectExtent l="4445" t="4445" r="21590" b="1651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ascii="Times New Roman" w:hAnsi="Times New Roman" w:eastAsia="方正仿宋_GBK" w:cs="Times New Roman"/>
          <w:kern w:val="2"/>
          <w:sz w:val="32"/>
          <w:szCs w:val="32"/>
          <w:lang w:val="en-US" w:eastAsia="zh-CN" w:bidi="ar-SA"/>
        </w:rPr>
        <w:t>本单位本年度收入调整预算数为170.52万元，收入决算数为170.52万元，预算完成度为100.00%，上年度预算完成度为0.00%。存在差异的主要原因为2022年工资变动，人员变动。 本年度支出调整预算数为170.52万元，支出决算数为170.52万元，预算完成度为100.00%，上年度预算完成度为0.00%，存在差异的主要原因为2022年工资变动，人员变动。</w:t>
      </w:r>
    </w:p>
    <w:p>
      <w:pPr>
        <w:pStyle w:val="25"/>
        <w:pageBreakBefore w:val="0"/>
        <w:numPr>
          <w:ilvl w:val="0"/>
          <w:numId w:val="1"/>
        </w:numPr>
        <w:kinsoku/>
        <w:wordWrap/>
        <w:overflowPunct/>
        <w:topLinePunct w:val="0"/>
        <w:bidi w:val="0"/>
        <w:spacing w:line="576" w:lineRule="exact"/>
        <w:ind w:firstLine="640" w:firstLineChars="200"/>
        <w:outlineLvl w:val="1"/>
        <w:rPr>
          <w:rStyle w:val="27"/>
          <w:rFonts w:hint="default" w:ascii="Times New Roman" w:hAnsi="Times New Roman" w:eastAsia="黑体" w:cs="Times New Roman"/>
          <w:b w:val="0"/>
          <w:color w:val="auto"/>
          <w:highlight w:val="none"/>
        </w:rPr>
      </w:pPr>
      <w:bookmarkStart w:id="32" w:name="_Toc15377207"/>
      <w:bookmarkStart w:id="33" w:name="_Toc15396605"/>
      <w:r>
        <w:rPr>
          <w:rFonts w:hint="default" w:ascii="Times New Roman" w:hAnsi="Times New Roman" w:eastAsia="黑体" w:cs="Times New Roman"/>
          <w:color w:val="auto"/>
          <w:sz w:val="32"/>
          <w:szCs w:val="32"/>
          <w:highlight w:val="none"/>
        </w:rPr>
        <w:t>支</w:t>
      </w:r>
      <w:r>
        <w:rPr>
          <w:rStyle w:val="27"/>
          <w:rFonts w:hint="default" w:ascii="Times New Roman" w:hAnsi="Times New Roman" w:eastAsia="黑体" w:cs="Times New Roman"/>
          <w:b w:val="0"/>
          <w:color w:val="auto"/>
          <w:highlight w:val="none"/>
        </w:rPr>
        <w:t>出决算情况说明</w:t>
      </w:r>
      <w:bookmarkEnd w:id="32"/>
      <w:bookmarkEnd w:id="3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2022年本年支出合计170.52万元，其中：基本支出170.52万元，占100%；项目支出0万元，占0%；上缴上级支出0万元，占0%；经营支出0万元，占0%；对附属单位补助支出0万元，占0%。</w:t>
      </w:r>
    </w:p>
    <w:p>
      <w:pPr>
        <w:pageBreakBefore w:val="0"/>
        <w:kinsoku/>
        <w:wordWrap/>
        <w:overflowPunct/>
        <w:topLinePunct w:val="0"/>
        <w:bidi w:val="0"/>
        <w:spacing w:line="576" w:lineRule="exact"/>
        <w:ind w:firstLine="420" w:firstLineChars="200"/>
        <w:outlineLvl w:val="1"/>
        <w:rPr>
          <w:rStyle w:val="27"/>
          <w:rFonts w:hint="default" w:ascii="Times New Roman" w:hAnsi="Times New Roman" w:eastAsia="黑体" w:cs="Times New Roman"/>
          <w:b w:val="0"/>
          <w:color w:val="auto"/>
          <w:highlight w:val="none"/>
        </w:rPr>
      </w:pPr>
      <w:bookmarkStart w:id="34" w:name="_Toc15377208"/>
      <w:bookmarkStart w:id="35" w:name="_Toc15396606"/>
      <w:r>
        <w:rPr>
          <w:rFonts w:hint="default" w:ascii="Times New Roman" w:hAnsi="Times New Roman" w:eastAsia="宋体" w:cs="Times New Roman"/>
          <w:lang w:eastAsia="zh-CN"/>
        </w:rPr>
        <w:drawing>
          <wp:anchor distT="0" distB="0" distL="114300" distR="114300" simplePos="0" relativeHeight="251663360" behindDoc="1" locked="0" layoutInCell="1" allowOverlap="1">
            <wp:simplePos x="0" y="0"/>
            <wp:positionH relativeFrom="column">
              <wp:posOffset>229235</wp:posOffset>
            </wp:positionH>
            <wp:positionV relativeFrom="paragraph">
              <wp:posOffset>67310</wp:posOffset>
            </wp:positionV>
            <wp:extent cx="5261610" cy="3757930"/>
            <wp:effectExtent l="4445" t="4445" r="10795" b="66675"/>
            <wp:wrapTight wrapText="bothSides">
              <wp:wrapPolygon>
                <wp:start x="-18" y="-26"/>
                <wp:lineTo x="-18" y="21545"/>
                <wp:lineTo x="21566" y="21545"/>
                <wp:lineTo x="21566" y="-26"/>
                <wp:lineTo x="-18" y="-26"/>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default" w:ascii="Times New Roman" w:hAnsi="Times New Roman" w:eastAsia="宋体" w:cs="Times New Roman"/>
          <w:lang w:val="en-US" w:eastAsia="zh-CN"/>
        </w:rPr>
        <w:t xml:space="preserve">  </w:t>
      </w:r>
      <w:r>
        <w:rPr>
          <w:rFonts w:hint="default" w:ascii="Times New Roman" w:hAnsi="Times New Roman" w:eastAsia="黑体" w:cs="Times New Roman"/>
          <w:color w:val="auto"/>
          <w:sz w:val="32"/>
          <w:szCs w:val="32"/>
          <w:highlight w:val="none"/>
        </w:rPr>
        <w:t>四、财</w:t>
      </w:r>
      <w:r>
        <w:rPr>
          <w:rStyle w:val="27"/>
          <w:rFonts w:hint="default" w:ascii="Times New Roman" w:hAnsi="Times New Roman" w:eastAsia="黑体" w:cs="Times New Roman"/>
          <w:b w:val="0"/>
          <w:color w:val="auto"/>
          <w:highlight w:val="none"/>
        </w:rPr>
        <w:t>政拨款收入支出决算总体情况说明</w:t>
      </w:r>
      <w:bookmarkEnd w:id="34"/>
      <w:bookmarkEnd w:id="35"/>
    </w:p>
    <w:p>
      <w:pPr>
        <w:pStyle w:val="13"/>
        <w:keepNext w:val="0"/>
        <w:keepLines w:val="0"/>
        <w:pageBreakBefore w:val="0"/>
        <w:shd w:val="clear" w:color="auto" w:fill="FFFFFF"/>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本单位本年度财政拨款收入为170.52万元，财政</w:t>
      </w:r>
      <w:bookmarkStart w:id="77" w:name="_GoBack"/>
      <w:bookmarkEnd w:id="77"/>
      <w:r>
        <w:rPr>
          <w:rFonts w:hint="default" w:ascii="Times New Roman" w:hAnsi="Times New Roman" w:eastAsia="方正仿宋_GBK" w:cs="Times New Roman"/>
          <w:kern w:val="2"/>
          <w:sz w:val="32"/>
          <w:szCs w:val="32"/>
          <w:lang w:val="en-US" w:eastAsia="zh-CN" w:bidi="ar-SA"/>
        </w:rPr>
        <w:t>拨款支出为170.52万元，其中：基本支出中人员经费支出为133.20万元，公用经费支出为37.32万元。项目支出中基本建设类项目支出为0.00万元，支出要按照基本支出和项目支出分析具体构成及特点：无</w:t>
      </w:r>
      <w:bookmarkStart w:id="36" w:name="_Toc15396607"/>
      <w:bookmarkStart w:id="37" w:name="_Toc15377209"/>
    </w:p>
    <w:p>
      <w:pPr>
        <w:pStyle w:val="13"/>
        <w:keepNext w:val="0"/>
        <w:keepLines w:val="0"/>
        <w:pageBreakBefore w:val="0"/>
        <w:shd w:val="clear" w:color="auto" w:fill="FFFFFF"/>
        <w:kinsoku/>
        <w:wordWrap/>
        <w:overflowPunct/>
        <w:topLinePunct w:val="0"/>
        <w:autoSpaceDE/>
        <w:autoSpaceDN/>
        <w:bidi w:val="0"/>
        <w:adjustRightInd/>
        <w:snapToGrid/>
        <w:spacing w:line="576" w:lineRule="exact"/>
        <w:ind w:firstLine="640" w:firstLineChars="200"/>
        <w:textAlignment w:val="auto"/>
        <w:rPr>
          <w:rStyle w:val="27"/>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27"/>
          <w:rFonts w:hint="default" w:ascii="Times New Roman" w:hAnsi="Times New Roman" w:eastAsia="黑体" w:cs="Times New Roman"/>
          <w:b w:val="0"/>
          <w:color w:val="auto"/>
          <w:highlight w:val="none"/>
        </w:rPr>
        <w:t>般公共预算财政拨款支出决算情况说明</w:t>
      </w:r>
      <w:bookmarkEnd w:id="36"/>
      <w:bookmarkEnd w:id="37"/>
    </w:p>
    <w:p>
      <w:pPr>
        <w:pageBreakBefore w:val="0"/>
        <w:kinsoku/>
        <w:wordWrap/>
        <w:overflowPunct/>
        <w:topLinePunct w:val="0"/>
        <w:bidi w:val="0"/>
        <w:spacing w:line="576" w:lineRule="exact"/>
        <w:ind w:firstLine="643" w:firstLineChars="200"/>
        <w:outlineLvl w:val="2"/>
        <w:rPr>
          <w:rFonts w:hint="default" w:ascii="Times New Roman" w:hAnsi="Times New Roman" w:eastAsia="仿宋" w:cs="Times New Roman"/>
          <w:b/>
          <w:color w:val="auto"/>
          <w:sz w:val="32"/>
          <w:szCs w:val="32"/>
          <w:highlight w:val="none"/>
        </w:rPr>
      </w:pPr>
      <w:bookmarkStart w:id="38" w:name="_Toc15377210"/>
      <w:r>
        <w:rPr>
          <w:rFonts w:hint="default" w:ascii="Times New Roman" w:hAnsi="Times New Roman" w:eastAsia="仿宋" w:cs="Times New Roman"/>
          <w:b/>
          <w:color w:val="auto"/>
          <w:sz w:val="32"/>
          <w:szCs w:val="32"/>
          <w:highlight w:val="none"/>
        </w:rPr>
        <w:t>（一）一般公共预算财政拨款支出决算总体情况</w:t>
      </w:r>
      <w:bookmarkEnd w:id="38"/>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kern w:val="2"/>
          <w:sz w:val="32"/>
          <w:szCs w:val="32"/>
          <w:lang w:val="en-US" w:eastAsia="zh-CN" w:bidi="ar-SA"/>
        </w:rPr>
        <w:t>022年一般公共预算财政拨款支出170.52万元，占本年支出合计的100%。主要原因为2022年工资变动，人员变动。</w:t>
      </w:r>
    </w:p>
    <w:p>
      <w:pPr>
        <w:pageBreakBefore w:val="0"/>
        <w:kinsoku/>
        <w:wordWrap/>
        <w:overflowPunct/>
        <w:topLinePunct w:val="0"/>
        <w:bidi w:val="0"/>
        <w:spacing w:line="576" w:lineRule="exact"/>
        <w:ind w:firstLine="643" w:firstLineChars="200"/>
        <w:outlineLvl w:val="2"/>
        <w:rPr>
          <w:rFonts w:hint="default" w:ascii="Times New Roman" w:hAnsi="Times New Roman" w:eastAsia="仿宋" w:cs="Times New Roman"/>
          <w:b/>
          <w:color w:val="auto"/>
          <w:sz w:val="32"/>
          <w:szCs w:val="32"/>
          <w:highlight w:val="none"/>
        </w:rPr>
      </w:pPr>
      <w:bookmarkStart w:id="39" w:name="_Toc15377211"/>
      <w:r>
        <w:rPr>
          <w:rFonts w:hint="default" w:ascii="Times New Roman" w:hAnsi="Times New Roman" w:eastAsia="仿宋" w:cs="Times New Roman"/>
          <w:b/>
          <w:color w:val="auto"/>
          <w:sz w:val="32"/>
          <w:szCs w:val="32"/>
          <w:highlight w:val="none"/>
        </w:rPr>
        <w:t>（二）一般公共预算财政拨款支出决算结构情况</w:t>
      </w:r>
      <w:bookmarkEnd w:id="39"/>
    </w:p>
    <w:p>
      <w:pPr>
        <w:pageBreakBefore w:val="0"/>
        <w:kinsoku/>
        <w:wordWrap/>
        <w:overflowPunct/>
        <w:topLinePunct w:val="0"/>
        <w:bidi w:val="0"/>
        <w:spacing w:line="576" w:lineRule="exact"/>
        <w:ind w:firstLine="42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宋体" w:cs="Times New Roman"/>
          <w:lang w:eastAsia="zh-CN"/>
        </w:rPr>
        <w:drawing>
          <wp:anchor distT="0" distB="0" distL="114300" distR="114300" simplePos="0" relativeHeight="251664384" behindDoc="1" locked="0" layoutInCell="1" allowOverlap="1">
            <wp:simplePos x="0" y="0"/>
            <wp:positionH relativeFrom="column">
              <wp:posOffset>255905</wp:posOffset>
            </wp:positionH>
            <wp:positionV relativeFrom="paragraph">
              <wp:posOffset>4305935</wp:posOffset>
            </wp:positionV>
            <wp:extent cx="5080000" cy="3351530"/>
            <wp:effectExtent l="4445" t="4445" r="20955" b="15875"/>
            <wp:wrapTight wrapText="bothSides">
              <wp:wrapPolygon>
                <wp:start x="-19" y="-29"/>
                <wp:lineTo x="-19" y="21457"/>
                <wp:lineTo x="21527" y="21457"/>
                <wp:lineTo x="21527" y="-29"/>
                <wp:lineTo x="-19" y="-29"/>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default" w:ascii="Times New Roman" w:hAnsi="Times New Roman" w:eastAsia="方正仿宋_GBK" w:cs="Times New Roman"/>
          <w:color w:val="auto"/>
          <w:kern w:val="0"/>
          <w:sz w:val="32"/>
          <w:szCs w:val="32"/>
          <w:highlight w:val="none"/>
          <w:lang w:val="en-US" w:eastAsia="zh-CN" w:bidi="ar-SA"/>
        </w:rPr>
        <w:t>2022年</w:t>
      </w:r>
      <w:r>
        <w:rPr>
          <w:rFonts w:hint="default" w:ascii="Times New Roman" w:hAnsi="Times New Roman" w:eastAsia="方正仿宋_GBK" w:cs="Times New Roman"/>
          <w:color w:val="auto"/>
          <w:kern w:val="0"/>
          <w:sz w:val="32"/>
          <w:szCs w:val="32"/>
          <w:highlight w:val="none"/>
          <w:lang w:val="en-US" w:eastAsia="zh-CN" w:bidi="ar-SA"/>
        </w:rPr>
        <w:t>一般公共预算财政拨款支出</w:t>
      </w:r>
      <w:r>
        <w:rPr>
          <w:rFonts w:hint="default" w:ascii="Times New Roman" w:hAnsi="Times New Roman" w:eastAsia="方正仿宋_GBK" w:cs="Times New Roman"/>
          <w:color w:val="auto"/>
          <w:kern w:val="0"/>
          <w:sz w:val="32"/>
          <w:szCs w:val="32"/>
          <w:highlight w:val="none"/>
          <w:lang w:val="en-US" w:eastAsia="zh-CN" w:bidi="ar-SA"/>
        </w:rPr>
        <w:t>170.52</w:t>
      </w:r>
      <w:r>
        <w:rPr>
          <w:rFonts w:hint="default" w:ascii="Times New Roman" w:hAnsi="Times New Roman" w:eastAsia="方正仿宋_GBK" w:cs="Times New Roman"/>
          <w:color w:val="auto"/>
          <w:kern w:val="0"/>
          <w:sz w:val="32"/>
          <w:szCs w:val="32"/>
          <w:highlight w:val="none"/>
          <w:lang w:val="en-US" w:eastAsia="zh-CN" w:bidi="ar-SA"/>
        </w:rPr>
        <w:t>万元，主要用于以下方面:</w:t>
      </w:r>
      <w:r>
        <w:rPr>
          <w:rFonts w:hint="default" w:ascii="Times New Roman" w:hAnsi="Times New Roman" w:eastAsia="仿宋" w:cs="Times New Roman"/>
          <w:b/>
          <w:color w:val="auto"/>
          <w:sz w:val="32"/>
          <w:szCs w:val="32"/>
          <w:highlight w:val="none"/>
        </w:rPr>
        <w:t>一般公共服务（类）</w:t>
      </w:r>
      <w:r>
        <w:rPr>
          <w:rFonts w:hint="default" w:ascii="Times New Roman" w:hAnsi="Times New Roman" w:eastAsia="方正仿宋_GBK" w:cs="Times New Roman"/>
          <w:color w:val="auto"/>
          <w:kern w:val="0"/>
          <w:sz w:val="32"/>
          <w:szCs w:val="32"/>
          <w:highlight w:val="none"/>
          <w:lang w:val="en-US" w:eastAsia="zh-CN" w:bidi="ar-SA"/>
        </w:rPr>
        <w:t>支出</w:t>
      </w:r>
      <w:r>
        <w:rPr>
          <w:rFonts w:hint="default" w:ascii="Times New Roman" w:hAnsi="Times New Roman" w:eastAsia="方正仿宋_GBK" w:cs="Times New Roman"/>
          <w:color w:val="auto"/>
          <w:kern w:val="0"/>
          <w:sz w:val="32"/>
          <w:szCs w:val="32"/>
          <w:highlight w:val="none"/>
          <w:lang w:val="en-US" w:eastAsia="zh-CN" w:bidi="ar-SA"/>
        </w:rPr>
        <w:t>142.17</w:t>
      </w:r>
      <w:r>
        <w:rPr>
          <w:rFonts w:hint="default" w:ascii="Times New Roman" w:hAnsi="Times New Roman" w:eastAsia="方正仿宋_GBK" w:cs="Times New Roman"/>
          <w:color w:val="auto"/>
          <w:kern w:val="0"/>
          <w:sz w:val="32"/>
          <w:szCs w:val="32"/>
          <w:highlight w:val="none"/>
          <w:lang w:val="en-US" w:eastAsia="zh-CN" w:bidi="ar-SA"/>
        </w:rPr>
        <w:t>万元，占</w:t>
      </w:r>
      <w:r>
        <w:rPr>
          <w:rFonts w:hint="default" w:ascii="Times New Roman" w:hAnsi="Times New Roman" w:eastAsia="方正仿宋_GBK" w:cs="Times New Roman"/>
          <w:color w:val="auto"/>
          <w:kern w:val="0"/>
          <w:sz w:val="32"/>
          <w:szCs w:val="32"/>
          <w:highlight w:val="none"/>
          <w:lang w:val="en-US" w:eastAsia="zh-CN" w:bidi="ar-SA"/>
        </w:rPr>
        <w:t>83.37</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仿宋" w:cs="Times New Roman"/>
          <w:b/>
          <w:color w:val="auto"/>
          <w:sz w:val="32"/>
          <w:szCs w:val="32"/>
          <w:highlight w:val="none"/>
        </w:rPr>
        <w:t>教育支出（类）</w:t>
      </w:r>
      <w:r>
        <w:rPr>
          <w:rFonts w:hint="default" w:ascii="Times New Roman" w:hAnsi="Times New Roman" w:eastAsia="方正仿宋_GBK" w:cs="Times New Roman"/>
          <w:color w:val="auto"/>
          <w:kern w:val="0"/>
          <w:sz w:val="32"/>
          <w:szCs w:val="32"/>
          <w:highlight w:val="none"/>
          <w:lang w:val="en-US" w:eastAsia="zh-CN" w:bidi="ar-SA"/>
        </w:rPr>
        <w:t>0万元，占0%；</w:t>
      </w:r>
      <w:r>
        <w:rPr>
          <w:rFonts w:hint="default" w:ascii="Times New Roman" w:hAnsi="Times New Roman" w:eastAsia="仿宋" w:cs="Times New Roman"/>
          <w:b/>
          <w:color w:val="auto"/>
          <w:sz w:val="32"/>
          <w:szCs w:val="32"/>
          <w:highlight w:val="none"/>
        </w:rPr>
        <w:t>科学技术（类）</w:t>
      </w:r>
      <w:r>
        <w:rPr>
          <w:rFonts w:hint="default" w:ascii="Times New Roman" w:hAnsi="Times New Roman" w:eastAsia="方正仿宋_GBK" w:cs="Times New Roman"/>
          <w:color w:val="auto"/>
          <w:kern w:val="0"/>
          <w:sz w:val="32"/>
          <w:szCs w:val="32"/>
          <w:highlight w:val="none"/>
          <w:lang w:val="en-US" w:eastAsia="zh-CN" w:bidi="ar-SA"/>
        </w:rPr>
        <w:t>支出0万元，占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文化旅游体育与传媒（类）支出</w:t>
      </w:r>
      <w:r>
        <w:rPr>
          <w:rFonts w:hint="default" w:ascii="Times New Roman" w:hAnsi="Times New Roman" w:eastAsia="仿宋" w:cs="Times New Roman"/>
          <w:b/>
          <w:bCs/>
          <w:color w:val="auto"/>
          <w:sz w:val="32"/>
          <w:szCs w:val="32"/>
          <w:highlight w:val="none"/>
          <w:lang w:val="en-US" w:eastAsia="zh-CN"/>
        </w:rPr>
        <w:t>0</w:t>
      </w:r>
      <w:r>
        <w:rPr>
          <w:rFonts w:hint="default" w:ascii="Times New Roman" w:hAnsi="Times New Roman" w:eastAsia="仿宋" w:cs="Times New Roman"/>
          <w:b/>
          <w:bCs/>
          <w:color w:val="auto"/>
          <w:sz w:val="32"/>
          <w:szCs w:val="32"/>
          <w:highlight w:val="none"/>
        </w:rPr>
        <w:t>万元，占</w:t>
      </w:r>
      <w:r>
        <w:rPr>
          <w:rFonts w:hint="default" w:ascii="Times New Roman" w:hAnsi="Times New Roman" w:eastAsia="仿宋" w:cs="Times New Roman"/>
          <w:b/>
          <w:bCs/>
          <w:color w:val="auto"/>
          <w:sz w:val="32"/>
          <w:szCs w:val="32"/>
          <w:highlight w:val="none"/>
          <w:lang w:val="en-US" w:eastAsia="zh-CN"/>
        </w:rPr>
        <w:t>0</w:t>
      </w:r>
      <w:r>
        <w:rPr>
          <w:rFonts w:hint="default" w:ascii="Times New Roman" w:hAnsi="Times New Roman" w:eastAsia="仿宋" w:cs="Times New Roman"/>
          <w:b/>
          <w:bCs/>
          <w:color w:val="auto"/>
          <w:sz w:val="32"/>
          <w:szCs w:val="32"/>
          <w:highlight w:val="none"/>
        </w:rPr>
        <w:t>%</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rPr>
        <w:t>社会保障和就业（类）</w:t>
      </w:r>
      <w:r>
        <w:rPr>
          <w:rFonts w:hint="default" w:ascii="Times New Roman" w:hAnsi="Times New Roman" w:eastAsia="方正仿宋_GBK" w:cs="Times New Roman"/>
          <w:color w:val="auto"/>
          <w:kern w:val="0"/>
          <w:sz w:val="32"/>
          <w:szCs w:val="32"/>
          <w:highlight w:val="none"/>
          <w:lang w:val="en-US" w:eastAsia="zh-CN" w:bidi="ar-SA"/>
        </w:rPr>
        <w:t>支出</w:t>
      </w:r>
      <w:r>
        <w:rPr>
          <w:rFonts w:hint="default" w:ascii="Times New Roman" w:hAnsi="Times New Roman" w:eastAsia="方正仿宋_GBK" w:cs="Times New Roman"/>
          <w:color w:val="auto"/>
          <w:kern w:val="0"/>
          <w:sz w:val="32"/>
          <w:szCs w:val="32"/>
          <w:highlight w:val="none"/>
          <w:lang w:val="en-US" w:eastAsia="zh-CN" w:bidi="ar-SA"/>
        </w:rPr>
        <w:t>13.28</w:t>
      </w:r>
      <w:r>
        <w:rPr>
          <w:rFonts w:hint="default" w:ascii="Times New Roman" w:hAnsi="Times New Roman" w:eastAsia="方正仿宋_GBK" w:cs="Times New Roman"/>
          <w:color w:val="auto"/>
          <w:kern w:val="0"/>
          <w:sz w:val="32"/>
          <w:szCs w:val="32"/>
          <w:highlight w:val="none"/>
          <w:lang w:val="en-US" w:eastAsia="zh-CN" w:bidi="ar-SA"/>
        </w:rPr>
        <w:t>万元，占</w:t>
      </w:r>
      <w:r>
        <w:rPr>
          <w:rFonts w:hint="default" w:ascii="Times New Roman" w:hAnsi="Times New Roman" w:eastAsia="方正仿宋_GBK" w:cs="Times New Roman"/>
          <w:color w:val="auto"/>
          <w:kern w:val="0"/>
          <w:sz w:val="32"/>
          <w:szCs w:val="32"/>
          <w:highlight w:val="none"/>
          <w:lang w:val="en-US" w:eastAsia="zh-CN" w:bidi="ar-SA"/>
        </w:rPr>
        <w:t>7.08</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仿宋" w:cs="Times New Roman"/>
          <w:b/>
          <w:bCs/>
          <w:color w:val="auto"/>
          <w:sz w:val="32"/>
          <w:szCs w:val="32"/>
          <w:highlight w:val="none"/>
        </w:rPr>
        <w:t>卫生健康支出</w:t>
      </w:r>
      <w:r>
        <w:rPr>
          <w:rFonts w:hint="default" w:ascii="Times New Roman" w:hAnsi="Times New Roman" w:eastAsia="方正仿宋_GBK" w:cs="Times New Roman"/>
          <w:color w:val="auto"/>
          <w:kern w:val="0"/>
          <w:sz w:val="32"/>
          <w:szCs w:val="32"/>
          <w:highlight w:val="none"/>
          <w:lang w:val="en-US" w:eastAsia="zh-CN" w:bidi="ar-SA"/>
        </w:rPr>
        <w:t>5.21</w:t>
      </w:r>
      <w:r>
        <w:rPr>
          <w:rFonts w:hint="default" w:ascii="Times New Roman" w:hAnsi="Times New Roman" w:eastAsia="方正仿宋_GBK" w:cs="Times New Roman"/>
          <w:color w:val="auto"/>
          <w:kern w:val="0"/>
          <w:sz w:val="32"/>
          <w:szCs w:val="32"/>
          <w:highlight w:val="none"/>
          <w:lang w:val="en-US" w:eastAsia="zh-CN" w:bidi="ar-SA"/>
        </w:rPr>
        <w:t>万元，占</w:t>
      </w:r>
      <w:r>
        <w:rPr>
          <w:rFonts w:hint="default" w:ascii="Times New Roman" w:hAnsi="Times New Roman" w:eastAsia="方正仿宋_GBK" w:cs="Times New Roman"/>
          <w:color w:val="auto"/>
          <w:kern w:val="0"/>
          <w:sz w:val="32"/>
          <w:szCs w:val="32"/>
          <w:highlight w:val="none"/>
          <w:lang w:val="en-US" w:eastAsia="zh-CN" w:bidi="ar-SA"/>
        </w:rPr>
        <w:t>3.05</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；住房保障支出</w:t>
      </w:r>
      <w:r>
        <w:rPr>
          <w:rFonts w:hint="default" w:ascii="Times New Roman" w:hAnsi="Times New Roman" w:eastAsia="方正仿宋_GBK" w:cs="Times New Roman"/>
          <w:color w:val="auto"/>
          <w:kern w:val="0"/>
          <w:sz w:val="32"/>
          <w:szCs w:val="32"/>
          <w:highlight w:val="none"/>
          <w:lang w:val="en-US" w:eastAsia="zh-CN" w:bidi="ar-SA"/>
        </w:rPr>
        <w:t>9.86</w:t>
      </w:r>
      <w:r>
        <w:rPr>
          <w:rFonts w:hint="default" w:ascii="Times New Roman" w:hAnsi="Times New Roman" w:eastAsia="方正仿宋_GBK" w:cs="Times New Roman"/>
          <w:color w:val="auto"/>
          <w:kern w:val="0"/>
          <w:sz w:val="32"/>
          <w:szCs w:val="32"/>
          <w:highlight w:val="none"/>
          <w:lang w:val="en-US" w:eastAsia="zh-CN" w:bidi="ar-SA"/>
        </w:rPr>
        <w:t>万元，占</w:t>
      </w:r>
      <w:r>
        <w:rPr>
          <w:rFonts w:hint="default" w:ascii="Times New Roman" w:hAnsi="Times New Roman" w:eastAsia="方正仿宋_GBK" w:cs="Times New Roman"/>
          <w:color w:val="auto"/>
          <w:kern w:val="0"/>
          <w:sz w:val="32"/>
          <w:szCs w:val="32"/>
          <w:highlight w:val="none"/>
          <w:lang w:val="en-US" w:eastAsia="zh-CN" w:bidi="ar-SA"/>
        </w:rPr>
        <w:t>5.78</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p>
    <w:p>
      <w:pPr>
        <w:pageBreakBefore w:val="0"/>
        <w:kinsoku/>
        <w:wordWrap/>
        <w:overflowPunct/>
        <w:topLinePunct w:val="0"/>
        <w:bidi w:val="0"/>
        <w:spacing w:line="576" w:lineRule="exact"/>
        <w:ind w:firstLine="602" w:firstLineChars="200"/>
        <w:outlineLvl w:val="2"/>
        <w:rPr>
          <w:rFonts w:hint="default" w:ascii="Times New Roman" w:hAnsi="Times New Roman" w:eastAsia="仿宋" w:cs="Times New Roman"/>
          <w:b/>
          <w:color w:val="auto"/>
          <w:sz w:val="30"/>
          <w:szCs w:val="30"/>
          <w:highlight w:val="none"/>
          <w:lang w:val="en-US" w:eastAsia="zh-CN"/>
        </w:rPr>
      </w:pPr>
      <w:bookmarkStart w:id="40" w:name="_Toc15377212"/>
      <w:r>
        <w:rPr>
          <w:rFonts w:hint="default" w:ascii="Times New Roman" w:hAnsi="Times New Roman" w:eastAsia="仿宋" w:cs="Times New Roman"/>
          <w:b/>
          <w:color w:val="auto"/>
          <w:sz w:val="30"/>
          <w:szCs w:val="30"/>
          <w:highlight w:val="none"/>
          <w:lang w:val="en-US" w:eastAsia="zh-CN"/>
        </w:rPr>
        <w:t>（三）一般公共预算财政拨款支出决算具体情况</w:t>
      </w:r>
      <w:bookmarkEnd w:id="40"/>
    </w:p>
    <w:p>
      <w:pPr>
        <w:pageBreakBefore w:val="0"/>
        <w:kinsoku/>
        <w:wordWrap/>
        <w:overflowPunct/>
        <w:topLinePunct w:val="0"/>
        <w:bidi w:val="0"/>
        <w:spacing w:line="576" w:lineRule="exact"/>
        <w:ind w:firstLine="643" w:firstLineChars="200"/>
        <w:outlineLvl w:val="2"/>
        <w:rPr>
          <w:rFonts w:hint="default" w:ascii="Times New Roman" w:hAnsi="Times New Roman" w:eastAsia="仿宋" w:cs="Times New Roman"/>
          <w:color w:val="auto"/>
          <w:sz w:val="32"/>
          <w:szCs w:val="32"/>
          <w:highlight w:val="none"/>
        </w:rPr>
      </w:pPr>
      <w:bookmarkStart w:id="41" w:name="_Toc15377444"/>
      <w:bookmarkStart w:id="42" w:name="_Toc15378460"/>
      <w:bookmarkStart w:id="43" w:name="_Toc15377213"/>
      <w:r>
        <w:rPr>
          <w:rFonts w:hint="default" w:ascii="Times New Roman" w:hAnsi="Times New Roman" w:eastAsia="仿宋" w:cs="Times New Roman"/>
          <w:b/>
          <w:color w:val="auto"/>
          <w:sz w:val="32"/>
          <w:szCs w:val="32"/>
          <w:highlight w:val="none"/>
          <w:lang w:eastAsia="zh-CN"/>
        </w:rPr>
        <w:t>2022年一</w:t>
      </w:r>
      <w:r>
        <w:rPr>
          <w:rFonts w:hint="default" w:ascii="Times New Roman" w:hAnsi="Times New Roman" w:eastAsia="仿宋" w:cs="Times New Roman"/>
          <w:b/>
          <w:color w:val="auto"/>
          <w:sz w:val="32"/>
          <w:szCs w:val="32"/>
          <w:highlight w:val="none"/>
        </w:rPr>
        <w:t>般公共预算支出决算数为</w:t>
      </w:r>
      <w:r>
        <w:rPr>
          <w:rFonts w:hint="default" w:ascii="Times New Roman" w:hAnsi="Times New Roman" w:eastAsia="仿宋" w:cs="Times New Roman"/>
          <w:b/>
          <w:color w:val="auto"/>
          <w:sz w:val="32"/>
          <w:szCs w:val="32"/>
          <w:highlight w:val="none"/>
          <w:lang w:val="en-US" w:eastAsia="zh-CN"/>
        </w:rPr>
        <w:t>170.52</w:t>
      </w:r>
      <w:r>
        <w:rPr>
          <w:rFonts w:hint="default" w:ascii="Times New Roman" w:hAnsi="Times New Roman" w:eastAsia="仿宋" w:cs="Times New Roman"/>
          <w:color w:val="auto"/>
          <w:sz w:val="32"/>
          <w:szCs w:val="32"/>
          <w:highlight w:val="none"/>
        </w:rPr>
        <w:t>，</w:t>
      </w:r>
      <w:r>
        <w:rPr>
          <w:rStyle w:val="16"/>
          <w:rFonts w:hint="default" w:ascii="Times New Roman" w:hAnsi="Times New Roman" w:eastAsia="仿宋" w:cs="Times New Roman"/>
          <w:bCs/>
          <w:color w:val="auto"/>
          <w:sz w:val="32"/>
          <w:szCs w:val="32"/>
          <w:highlight w:val="none"/>
        </w:rPr>
        <w:t>完成预算</w:t>
      </w:r>
      <w:r>
        <w:rPr>
          <w:rStyle w:val="16"/>
          <w:rFonts w:hint="default" w:ascii="Times New Roman" w:hAnsi="Times New Roman" w:eastAsia="仿宋" w:cs="Times New Roman"/>
          <w:bCs/>
          <w:color w:val="auto"/>
          <w:sz w:val="32"/>
          <w:szCs w:val="32"/>
          <w:highlight w:val="none"/>
          <w:lang w:val="en-US" w:eastAsia="zh-CN"/>
        </w:rPr>
        <w:t>100</w:t>
      </w:r>
      <w:r>
        <w:rPr>
          <w:rStyle w:val="16"/>
          <w:rFonts w:hint="default" w:ascii="Times New Roman" w:hAnsi="Times New Roman" w:eastAsia="仿宋" w:cs="Times New Roman"/>
          <w:bCs/>
          <w:color w:val="auto"/>
          <w:sz w:val="32"/>
          <w:szCs w:val="32"/>
          <w:highlight w:val="none"/>
        </w:rPr>
        <w:t>%</w:t>
      </w:r>
      <w:r>
        <w:rPr>
          <w:rStyle w:val="16"/>
          <w:rFonts w:hint="default" w:ascii="Times New Roman" w:hAnsi="Times New Roman" w:eastAsia="仿宋" w:cs="Times New Roman"/>
          <w:bCs/>
          <w:color w:val="auto"/>
          <w:sz w:val="32"/>
          <w:szCs w:val="32"/>
          <w:highlight w:val="none"/>
        </w:rPr>
        <w:t>。其中：</w:t>
      </w:r>
      <w:bookmarkEnd w:id="41"/>
      <w:bookmarkEnd w:id="42"/>
      <w:bookmarkEnd w:id="43"/>
    </w:p>
    <w:p>
      <w:pPr>
        <w:pageBreakBefore w:val="0"/>
        <w:kinsoku/>
        <w:wordWrap/>
        <w:overflowPunct/>
        <w:topLinePunct w:val="0"/>
        <w:bidi w:val="0"/>
        <w:spacing w:line="576" w:lineRule="exact"/>
        <w:ind w:firstLine="643" w:firstLineChars="200"/>
        <w:rPr>
          <w:rFonts w:hint="default" w:ascii="Times New Roman" w:hAnsi="Times New Roman" w:eastAsia="方正仿宋_GBK" w:cs="Times New Roman"/>
          <w:color w:val="auto"/>
          <w:kern w:val="0"/>
          <w:sz w:val="32"/>
          <w:szCs w:val="32"/>
          <w:highlight w:val="none"/>
          <w:lang w:val="en-US" w:eastAsia="zh-CN" w:bidi="ar-SA"/>
        </w:rPr>
      </w:pPr>
      <w:r>
        <w:rPr>
          <w:rStyle w:val="16"/>
          <w:rFonts w:hint="default" w:ascii="Times New Roman" w:hAnsi="Times New Roman" w:eastAsia="仿宋" w:cs="Times New Roman"/>
          <w:bCs/>
          <w:color w:val="auto"/>
          <w:sz w:val="32"/>
          <w:szCs w:val="32"/>
          <w:highlight w:val="none"/>
        </w:rPr>
        <w:t>1.</w:t>
      </w:r>
      <w:r>
        <w:rPr>
          <w:rStyle w:val="16"/>
          <w:rFonts w:hint="default" w:ascii="Times New Roman" w:hAnsi="Times New Roman" w:eastAsia="仿宋" w:cs="Times New Roman"/>
          <w:bCs/>
          <w:color w:val="auto"/>
          <w:sz w:val="32"/>
          <w:szCs w:val="32"/>
          <w:highlight w:val="none"/>
        </w:rPr>
        <w:t>一般公共服务（类）</w:t>
      </w:r>
      <w:r>
        <w:rPr>
          <w:rStyle w:val="16"/>
          <w:rFonts w:hint="default" w:ascii="Times New Roman" w:hAnsi="Times New Roman" w:eastAsia="仿宋" w:cs="Times New Roman"/>
          <w:bCs/>
          <w:color w:val="auto"/>
          <w:sz w:val="32"/>
          <w:szCs w:val="32"/>
          <w:highlight w:val="none"/>
        </w:rPr>
        <w:t>:</w:t>
      </w:r>
      <w:r>
        <w:rPr>
          <w:rStyle w:val="16"/>
          <w:rFonts w:hint="default" w:ascii="Times New Roman" w:hAnsi="Times New Roman" w:eastAsia="仿宋" w:cs="Times New Roman"/>
          <w:b w:val="0"/>
          <w:bCs/>
          <w:color w:val="auto"/>
          <w:sz w:val="32"/>
          <w:szCs w:val="32"/>
          <w:highlight w:val="none"/>
        </w:rPr>
        <w:t xml:space="preserve"> </w:t>
      </w:r>
      <w:r>
        <w:rPr>
          <w:rFonts w:hint="default" w:ascii="Times New Roman" w:hAnsi="Times New Roman" w:eastAsia="方正仿宋_GBK" w:cs="Times New Roman"/>
          <w:color w:val="auto"/>
          <w:kern w:val="0"/>
          <w:sz w:val="32"/>
          <w:szCs w:val="32"/>
          <w:highlight w:val="none"/>
          <w:lang w:val="en-US" w:eastAsia="zh-CN" w:bidi="ar-SA"/>
        </w:rPr>
        <w:t>支出决算为</w:t>
      </w:r>
      <w:r>
        <w:rPr>
          <w:rFonts w:hint="default" w:ascii="Times New Roman" w:hAnsi="Times New Roman" w:eastAsia="方正仿宋_GBK" w:cs="Times New Roman"/>
          <w:color w:val="auto"/>
          <w:kern w:val="0"/>
          <w:sz w:val="32"/>
          <w:szCs w:val="32"/>
          <w:highlight w:val="none"/>
          <w:lang w:val="en-US" w:eastAsia="zh-CN" w:bidi="ar-SA"/>
        </w:rPr>
        <w:t>142.17</w:t>
      </w:r>
      <w:r>
        <w:rPr>
          <w:rFonts w:hint="default" w:ascii="Times New Roman" w:hAnsi="Times New Roman" w:eastAsia="方正仿宋_GBK" w:cs="Times New Roman"/>
          <w:color w:val="auto"/>
          <w:kern w:val="0"/>
          <w:sz w:val="32"/>
          <w:szCs w:val="32"/>
          <w:highlight w:val="none"/>
          <w:lang w:val="en-US" w:eastAsia="zh-CN" w:bidi="ar-SA"/>
        </w:rPr>
        <w:t>万元，完成预算</w:t>
      </w:r>
      <w:r>
        <w:rPr>
          <w:rFonts w:hint="default" w:ascii="Times New Roman" w:hAnsi="Times New Roman" w:eastAsia="方正仿宋_GBK" w:cs="Times New Roman"/>
          <w:color w:val="auto"/>
          <w:kern w:val="0"/>
          <w:sz w:val="32"/>
          <w:szCs w:val="32"/>
          <w:highlight w:val="none"/>
          <w:lang w:val="en-US" w:eastAsia="zh-CN" w:bidi="ar-SA"/>
        </w:rPr>
        <w:t>83.37</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p>
    <w:p>
      <w:pPr>
        <w:pageBreakBefore w:val="0"/>
        <w:kinsoku/>
        <w:wordWrap/>
        <w:overflowPunct/>
        <w:topLinePunct w:val="0"/>
        <w:bidi w:val="0"/>
        <w:spacing w:line="576" w:lineRule="exact"/>
        <w:ind w:firstLine="643" w:firstLineChars="200"/>
        <w:rPr>
          <w:rFonts w:hint="default" w:ascii="Times New Roman" w:hAnsi="Times New Roman" w:eastAsia="方正仿宋_GBK" w:cs="Times New Roman"/>
          <w:color w:val="auto"/>
          <w:kern w:val="0"/>
          <w:sz w:val="32"/>
          <w:szCs w:val="32"/>
          <w:highlight w:val="none"/>
          <w:lang w:val="en-US" w:eastAsia="zh-CN" w:bidi="ar-SA"/>
        </w:rPr>
      </w:pPr>
      <w:r>
        <w:rPr>
          <w:rStyle w:val="16"/>
          <w:rFonts w:hint="default" w:ascii="Times New Roman" w:hAnsi="Times New Roman" w:eastAsia="仿宋" w:cs="Times New Roman"/>
          <w:bCs/>
          <w:color w:val="auto"/>
          <w:sz w:val="32"/>
          <w:szCs w:val="32"/>
          <w:highlight w:val="none"/>
        </w:rPr>
        <w:t>2.</w:t>
      </w:r>
      <w:r>
        <w:rPr>
          <w:rStyle w:val="16"/>
          <w:rFonts w:hint="default" w:ascii="Times New Roman" w:hAnsi="Times New Roman" w:eastAsia="仿宋" w:cs="Times New Roman"/>
          <w:bCs/>
          <w:color w:val="auto"/>
          <w:sz w:val="32"/>
          <w:szCs w:val="32"/>
          <w:highlight w:val="none"/>
        </w:rPr>
        <w:t>教育（类）</w:t>
      </w:r>
      <w:r>
        <w:rPr>
          <w:rStyle w:val="16"/>
          <w:rFonts w:hint="default" w:ascii="Times New Roman" w:hAnsi="Times New Roman" w:eastAsia="仿宋" w:cs="Times New Roman"/>
          <w:bCs/>
          <w:color w:val="auto"/>
          <w:sz w:val="32"/>
          <w:szCs w:val="32"/>
          <w:highlight w:val="none"/>
        </w:rPr>
        <w:t>:</w:t>
      </w:r>
      <w:r>
        <w:rPr>
          <w:rFonts w:hint="default" w:ascii="Times New Roman" w:hAnsi="Times New Roman" w:eastAsia="方正仿宋_GBK" w:cs="Times New Roman"/>
          <w:color w:val="auto"/>
          <w:kern w:val="0"/>
          <w:sz w:val="32"/>
          <w:szCs w:val="32"/>
          <w:highlight w:val="none"/>
          <w:lang w:val="en-US" w:eastAsia="zh-CN" w:bidi="ar-SA"/>
        </w:rPr>
        <w:t xml:space="preserve"> </w:t>
      </w:r>
      <w:r>
        <w:rPr>
          <w:rFonts w:hint="default" w:ascii="Times New Roman" w:hAnsi="Times New Roman" w:eastAsia="方正仿宋_GBK" w:cs="Times New Roman"/>
          <w:color w:val="auto"/>
          <w:kern w:val="0"/>
          <w:sz w:val="32"/>
          <w:szCs w:val="32"/>
          <w:highlight w:val="none"/>
          <w:lang w:val="en-US" w:eastAsia="zh-CN" w:bidi="ar-SA"/>
        </w:rPr>
        <w:t>支出决算为0万元，完成预算0</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p>
    <w:p>
      <w:pPr>
        <w:pageBreakBefore w:val="0"/>
        <w:kinsoku/>
        <w:wordWrap/>
        <w:overflowPunct/>
        <w:topLinePunct w:val="0"/>
        <w:bidi w:val="0"/>
        <w:spacing w:line="576" w:lineRule="exact"/>
        <w:ind w:firstLine="643" w:firstLineChars="200"/>
        <w:rPr>
          <w:rFonts w:hint="default" w:ascii="Times New Roman" w:hAnsi="Times New Roman" w:eastAsia="仿宋" w:cs="Times New Roman"/>
          <w:b/>
          <w:color w:val="auto"/>
          <w:sz w:val="32"/>
          <w:szCs w:val="32"/>
          <w:highlight w:val="none"/>
        </w:rPr>
      </w:pPr>
      <w:r>
        <w:rPr>
          <w:rStyle w:val="16"/>
          <w:rFonts w:hint="default" w:ascii="Times New Roman" w:hAnsi="Times New Roman" w:eastAsia="仿宋" w:cs="Times New Roman"/>
          <w:bCs/>
          <w:color w:val="auto"/>
          <w:sz w:val="32"/>
          <w:szCs w:val="32"/>
          <w:highlight w:val="none"/>
        </w:rPr>
        <w:t>3.</w:t>
      </w:r>
      <w:r>
        <w:rPr>
          <w:rStyle w:val="16"/>
          <w:rFonts w:hint="default" w:ascii="Times New Roman" w:hAnsi="Times New Roman" w:eastAsia="仿宋" w:cs="Times New Roman"/>
          <w:bCs/>
          <w:color w:val="auto"/>
          <w:sz w:val="32"/>
          <w:szCs w:val="32"/>
          <w:highlight w:val="none"/>
        </w:rPr>
        <w:t>科学技术（类）</w:t>
      </w:r>
      <w:r>
        <w:rPr>
          <w:rStyle w:val="16"/>
          <w:rFonts w:hint="default" w:ascii="Times New Roman" w:hAnsi="Times New Roman" w:eastAsia="仿宋" w:cs="Times New Roman"/>
          <w:bCs/>
          <w:color w:val="auto"/>
          <w:sz w:val="32"/>
          <w:szCs w:val="32"/>
          <w:highlight w:val="none"/>
        </w:rPr>
        <w:t>:</w:t>
      </w:r>
      <w:r>
        <w:rPr>
          <w:rStyle w:val="16"/>
          <w:rFonts w:hint="default" w:ascii="Times New Roman" w:hAnsi="Times New Roman" w:eastAsia="仿宋" w:cs="Times New Roman"/>
          <w:b w:val="0"/>
          <w:bCs/>
          <w:color w:val="auto"/>
          <w:sz w:val="32"/>
          <w:szCs w:val="32"/>
          <w:highlight w:val="none"/>
        </w:rPr>
        <w:t xml:space="preserve"> </w:t>
      </w:r>
      <w:r>
        <w:rPr>
          <w:rFonts w:hint="default" w:ascii="Times New Roman" w:hAnsi="Times New Roman" w:eastAsia="方正仿宋_GBK" w:cs="Times New Roman"/>
          <w:color w:val="auto"/>
          <w:kern w:val="0"/>
          <w:sz w:val="32"/>
          <w:szCs w:val="32"/>
          <w:highlight w:val="none"/>
          <w:lang w:val="en-US" w:eastAsia="zh-CN" w:bidi="ar-SA"/>
        </w:rPr>
        <w:t>支出决算为0万元，完成预算0</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p>
    <w:p>
      <w:pPr>
        <w:pageBreakBefore w:val="0"/>
        <w:kinsoku/>
        <w:wordWrap/>
        <w:overflowPunct/>
        <w:topLinePunct w:val="0"/>
        <w:bidi w:val="0"/>
        <w:spacing w:line="576" w:lineRule="exact"/>
        <w:ind w:firstLine="643" w:firstLineChars="200"/>
        <w:rPr>
          <w:rFonts w:hint="default" w:ascii="Times New Roman" w:hAnsi="Times New Roman" w:eastAsia="方正仿宋_GBK" w:cs="Times New Roman"/>
          <w:color w:val="auto"/>
          <w:kern w:val="0"/>
          <w:sz w:val="32"/>
          <w:szCs w:val="32"/>
          <w:highlight w:val="none"/>
          <w:lang w:val="en-US" w:eastAsia="zh-CN" w:bidi="ar-SA"/>
        </w:rPr>
      </w:pPr>
      <w:r>
        <w:rPr>
          <w:rStyle w:val="16"/>
          <w:rFonts w:hint="default" w:ascii="Times New Roman" w:hAnsi="Times New Roman" w:eastAsia="仿宋" w:cs="Times New Roman"/>
          <w:bCs/>
          <w:color w:val="auto"/>
          <w:sz w:val="32"/>
          <w:szCs w:val="32"/>
          <w:highlight w:val="none"/>
        </w:rPr>
        <w:t>4.</w:t>
      </w:r>
      <w:r>
        <w:rPr>
          <w:rStyle w:val="16"/>
          <w:rFonts w:hint="default" w:ascii="Times New Roman" w:hAnsi="Times New Roman" w:eastAsia="仿宋" w:cs="Times New Roman"/>
          <w:bCs/>
          <w:color w:val="auto"/>
          <w:sz w:val="32"/>
          <w:szCs w:val="32"/>
          <w:highlight w:val="none"/>
        </w:rPr>
        <w:t>文化旅游体育与传媒（类）</w:t>
      </w:r>
      <w:r>
        <w:rPr>
          <w:rStyle w:val="16"/>
          <w:rFonts w:hint="default" w:ascii="Times New Roman" w:hAnsi="Times New Roman" w:eastAsia="仿宋" w:cs="Times New Roman"/>
          <w:bCs/>
          <w:color w:val="auto"/>
          <w:sz w:val="32"/>
          <w:szCs w:val="32"/>
          <w:highlight w:val="none"/>
        </w:rPr>
        <w:t>:</w:t>
      </w:r>
      <w:r>
        <w:rPr>
          <w:rStyle w:val="16"/>
          <w:rFonts w:hint="default" w:ascii="Times New Roman" w:hAnsi="Times New Roman" w:eastAsia="仿宋" w:cs="Times New Roman"/>
          <w:b w:val="0"/>
          <w:bCs/>
          <w:color w:val="auto"/>
          <w:sz w:val="32"/>
          <w:szCs w:val="32"/>
          <w:highlight w:val="none"/>
        </w:rPr>
        <w:t xml:space="preserve"> </w:t>
      </w:r>
      <w:r>
        <w:rPr>
          <w:rFonts w:hint="default" w:ascii="Times New Roman" w:hAnsi="Times New Roman" w:eastAsia="方正仿宋_GBK" w:cs="Times New Roman"/>
          <w:color w:val="auto"/>
          <w:kern w:val="0"/>
          <w:sz w:val="32"/>
          <w:szCs w:val="32"/>
          <w:highlight w:val="none"/>
          <w:lang w:val="en-US" w:eastAsia="zh-CN" w:bidi="ar-SA"/>
        </w:rPr>
        <w:t>支出决算为0万元，完成预算0</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p>
    <w:p>
      <w:pPr>
        <w:pageBreakBefore w:val="0"/>
        <w:kinsoku/>
        <w:wordWrap/>
        <w:overflowPunct/>
        <w:topLinePunct w:val="0"/>
        <w:bidi w:val="0"/>
        <w:spacing w:line="576" w:lineRule="exact"/>
        <w:ind w:firstLine="643" w:firstLineChars="200"/>
        <w:rPr>
          <w:rFonts w:hint="default" w:ascii="Times New Roman" w:hAnsi="Times New Roman" w:eastAsia="仿宋" w:cs="Times New Roman"/>
          <w:b/>
          <w:color w:val="auto"/>
          <w:sz w:val="32"/>
          <w:szCs w:val="32"/>
          <w:highlight w:val="none"/>
        </w:rPr>
      </w:pPr>
      <w:r>
        <w:rPr>
          <w:rStyle w:val="16"/>
          <w:rFonts w:hint="default" w:ascii="Times New Roman" w:hAnsi="Times New Roman" w:eastAsia="仿宋" w:cs="Times New Roman"/>
          <w:bCs/>
          <w:color w:val="auto"/>
          <w:sz w:val="32"/>
          <w:szCs w:val="32"/>
          <w:highlight w:val="none"/>
        </w:rPr>
        <w:t>5.</w:t>
      </w:r>
      <w:r>
        <w:rPr>
          <w:rStyle w:val="16"/>
          <w:rFonts w:hint="default" w:ascii="Times New Roman" w:hAnsi="Times New Roman" w:eastAsia="仿宋" w:cs="Times New Roman"/>
          <w:bCs/>
          <w:color w:val="auto"/>
          <w:sz w:val="32"/>
          <w:szCs w:val="32"/>
          <w:highlight w:val="none"/>
        </w:rPr>
        <w:t>社会保障和就业（类）</w:t>
      </w:r>
      <w:r>
        <w:rPr>
          <w:rStyle w:val="16"/>
          <w:rFonts w:hint="default" w:ascii="Times New Roman" w:hAnsi="Times New Roman" w:eastAsia="仿宋" w:cs="Times New Roman"/>
          <w:bCs/>
          <w:color w:val="auto"/>
          <w:sz w:val="32"/>
          <w:szCs w:val="32"/>
          <w:highlight w:val="none"/>
        </w:rPr>
        <w:t>:</w:t>
      </w:r>
      <w:r>
        <w:rPr>
          <w:rStyle w:val="16"/>
          <w:rFonts w:hint="default" w:ascii="Times New Roman" w:hAnsi="Times New Roman" w:eastAsia="仿宋" w:cs="Times New Roman"/>
          <w:b w:val="0"/>
          <w:bCs/>
          <w:color w:val="auto"/>
          <w:sz w:val="32"/>
          <w:szCs w:val="32"/>
          <w:highlight w:val="none"/>
        </w:rPr>
        <w:t xml:space="preserve"> </w:t>
      </w:r>
      <w:r>
        <w:rPr>
          <w:rFonts w:hint="default" w:ascii="Times New Roman" w:hAnsi="Times New Roman" w:eastAsia="方正仿宋_GBK" w:cs="Times New Roman"/>
          <w:color w:val="auto"/>
          <w:kern w:val="0"/>
          <w:sz w:val="32"/>
          <w:szCs w:val="32"/>
          <w:highlight w:val="none"/>
          <w:lang w:val="en-US" w:eastAsia="zh-CN" w:bidi="ar-SA"/>
        </w:rPr>
        <w:t>支出决算为</w:t>
      </w:r>
      <w:r>
        <w:rPr>
          <w:rFonts w:hint="default" w:ascii="Times New Roman" w:hAnsi="Times New Roman" w:eastAsia="方正仿宋_GBK" w:cs="Times New Roman"/>
          <w:color w:val="auto"/>
          <w:kern w:val="0"/>
          <w:sz w:val="32"/>
          <w:szCs w:val="32"/>
          <w:highlight w:val="none"/>
          <w:lang w:val="en-US" w:eastAsia="zh-CN" w:bidi="ar-SA"/>
        </w:rPr>
        <w:t>13.28</w:t>
      </w:r>
      <w:r>
        <w:rPr>
          <w:rFonts w:hint="default" w:ascii="Times New Roman" w:hAnsi="Times New Roman" w:eastAsia="方正仿宋_GBK" w:cs="Times New Roman"/>
          <w:color w:val="auto"/>
          <w:kern w:val="0"/>
          <w:sz w:val="32"/>
          <w:szCs w:val="32"/>
          <w:highlight w:val="none"/>
          <w:lang w:val="en-US" w:eastAsia="zh-CN" w:bidi="ar-SA"/>
        </w:rPr>
        <w:t>万元，完成预算</w:t>
      </w:r>
      <w:r>
        <w:rPr>
          <w:rFonts w:hint="default" w:ascii="Times New Roman" w:hAnsi="Times New Roman" w:eastAsia="方正仿宋_GBK" w:cs="Times New Roman"/>
          <w:color w:val="auto"/>
          <w:kern w:val="0"/>
          <w:sz w:val="32"/>
          <w:szCs w:val="32"/>
          <w:highlight w:val="none"/>
          <w:lang w:val="en-US" w:eastAsia="zh-CN" w:bidi="ar-SA"/>
        </w:rPr>
        <w:t>7.80</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p>
    <w:p>
      <w:pPr>
        <w:pageBreakBefore w:val="0"/>
        <w:kinsoku/>
        <w:wordWrap/>
        <w:overflowPunct/>
        <w:topLinePunct w:val="0"/>
        <w:bidi w:val="0"/>
        <w:spacing w:line="576" w:lineRule="exact"/>
        <w:ind w:firstLine="643" w:firstLineChars="200"/>
        <w:rPr>
          <w:rFonts w:hint="default" w:ascii="Times New Roman" w:hAnsi="Times New Roman" w:eastAsia="方正仿宋_GBK" w:cs="Times New Roman"/>
          <w:color w:val="auto"/>
          <w:kern w:val="0"/>
          <w:sz w:val="32"/>
          <w:szCs w:val="32"/>
          <w:highlight w:val="none"/>
          <w:lang w:val="en-US" w:eastAsia="zh-CN" w:bidi="ar-SA"/>
        </w:rPr>
      </w:pPr>
      <w:r>
        <w:rPr>
          <w:rStyle w:val="16"/>
          <w:rFonts w:hint="default" w:ascii="Times New Roman" w:hAnsi="Times New Roman" w:eastAsia="仿宋" w:cs="Times New Roman"/>
          <w:bCs/>
          <w:color w:val="auto"/>
          <w:sz w:val="32"/>
          <w:szCs w:val="32"/>
          <w:highlight w:val="none"/>
        </w:rPr>
        <w:t>6.</w:t>
      </w:r>
      <w:r>
        <w:rPr>
          <w:rFonts w:hint="default" w:ascii="Times New Roman" w:hAnsi="Times New Roman" w:eastAsia="仿宋" w:cs="Times New Roman"/>
          <w:b/>
          <w:bCs/>
          <w:color w:val="auto"/>
          <w:sz w:val="32"/>
          <w:szCs w:val="32"/>
          <w:highlight w:val="none"/>
        </w:rPr>
        <w:t>卫生健康</w:t>
      </w:r>
      <w:r>
        <w:rPr>
          <w:rStyle w:val="16"/>
          <w:rFonts w:hint="default" w:ascii="Times New Roman" w:hAnsi="Times New Roman" w:eastAsia="仿宋" w:cs="Times New Roman"/>
          <w:bCs/>
          <w:color w:val="auto"/>
          <w:sz w:val="32"/>
          <w:szCs w:val="32"/>
          <w:highlight w:val="none"/>
        </w:rPr>
        <w:t>（类）</w:t>
      </w:r>
      <w:r>
        <w:rPr>
          <w:rStyle w:val="16"/>
          <w:rFonts w:hint="default" w:ascii="Times New Roman" w:hAnsi="Times New Roman" w:eastAsia="仿宋" w:cs="Times New Roman"/>
          <w:bCs/>
          <w:color w:val="auto"/>
          <w:sz w:val="32"/>
          <w:szCs w:val="32"/>
          <w:highlight w:val="none"/>
        </w:rPr>
        <w:t>:</w:t>
      </w:r>
      <w:r>
        <w:rPr>
          <w:rFonts w:hint="default" w:ascii="Times New Roman" w:hAnsi="Times New Roman" w:eastAsia="方正仿宋_GBK" w:cs="Times New Roman"/>
          <w:color w:val="auto"/>
          <w:kern w:val="0"/>
          <w:sz w:val="32"/>
          <w:szCs w:val="32"/>
          <w:highlight w:val="none"/>
          <w:lang w:val="en-US" w:eastAsia="zh-CN" w:bidi="ar-SA"/>
        </w:rPr>
        <w:t>支出决算为</w:t>
      </w:r>
      <w:r>
        <w:rPr>
          <w:rFonts w:hint="default" w:ascii="Times New Roman" w:hAnsi="Times New Roman" w:eastAsia="方正仿宋_GBK" w:cs="Times New Roman"/>
          <w:color w:val="auto"/>
          <w:kern w:val="0"/>
          <w:sz w:val="32"/>
          <w:szCs w:val="32"/>
          <w:highlight w:val="none"/>
          <w:lang w:val="en-US" w:eastAsia="zh-CN" w:bidi="ar-SA"/>
        </w:rPr>
        <w:t>5.21</w:t>
      </w:r>
      <w:r>
        <w:rPr>
          <w:rFonts w:hint="default" w:ascii="Times New Roman" w:hAnsi="Times New Roman" w:eastAsia="方正仿宋_GBK" w:cs="Times New Roman"/>
          <w:color w:val="auto"/>
          <w:kern w:val="0"/>
          <w:sz w:val="32"/>
          <w:szCs w:val="32"/>
          <w:highlight w:val="none"/>
          <w:lang w:val="en-US" w:eastAsia="zh-CN" w:bidi="ar-SA"/>
        </w:rPr>
        <w:t>万元，完成预算</w:t>
      </w:r>
      <w:r>
        <w:rPr>
          <w:rFonts w:hint="default" w:ascii="Times New Roman" w:hAnsi="Times New Roman" w:eastAsia="方正仿宋_GBK" w:cs="Times New Roman"/>
          <w:color w:val="auto"/>
          <w:kern w:val="0"/>
          <w:sz w:val="32"/>
          <w:szCs w:val="32"/>
          <w:highlight w:val="none"/>
          <w:lang w:val="en-US" w:eastAsia="zh-CN" w:bidi="ar-SA"/>
        </w:rPr>
        <w:t>3.05</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p>
    <w:p>
      <w:pPr>
        <w:pageBreakBefore w:val="0"/>
        <w:kinsoku/>
        <w:wordWrap/>
        <w:overflowPunct/>
        <w:topLinePunct w:val="0"/>
        <w:bidi w:val="0"/>
        <w:spacing w:line="576" w:lineRule="exact"/>
        <w:ind w:firstLine="643" w:firstLineChars="200"/>
        <w:rPr>
          <w:rStyle w:val="16"/>
          <w:rFonts w:hint="default" w:ascii="Times New Roman" w:hAnsi="Times New Roman" w:eastAsia="仿宋" w:cs="Times New Roman"/>
          <w:bCs/>
          <w:color w:val="auto"/>
          <w:kern w:val="2"/>
          <w:sz w:val="32"/>
          <w:szCs w:val="32"/>
          <w:highlight w:val="none"/>
          <w:lang w:val="en-US" w:eastAsia="zh-CN" w:bidi="ar-SA"/>
        </w:rPr>
      </w:pPr>
      <w:r>
        <w:rPr>
          <w:rStyle w:val="16"/>
          <w:rFonts w:hint="default" w:ascii="Times New Roman" w:hAnsi="Times New Roman" w:eastAsia="仿宋" w:cs="Times New Roman"/>
          <w:bCs/>
          <w:color w:val="auto"/>
          <w:kern w:val="2"/>
          <w:sz w:val="32"/>
          <w:szCs w:val="32"/>
          <w:highlight w:val="none"/>
          <w:lang w:val="en-US" w:eastAsia="zh-CN" w:bidi="ar-SA"/>
        </w:rPr>
        <w:t>7.住房保障支出（类）：</w:t>
      </w:r>
      <w:r>
        <w:rPr>
          <w:rFonts w:hint="default" w:ascii="Times New Roman" w:hAnsi="Times New Roman" w:eastAsia="方正仿宋_GBK" w:cs="Times New Roman"/>
          <w:color w:val="auto"/>
          <w:kern w:val="0"/>
          <w:sz w:val="32"/>
          <w:szCs w:val="32"/>
          <w:highlight w:val="none"/>
          <w:lang w:val="en-US" w:eastAsia="zh-CN" w:bidi="ar-SA"/>
        </w:rPr>
        <w:t>支出决算为</w:t>
      </w:r>
      <w:r>
        <w:rPr>
          <w:rFonts w:hint="default" w:ascii="Times New Roman" w:hAnsi="Times New Roman" w:eastAsia="方正仿宋_GBK" w:cs="Times New Roman"/>
          <w:color w:val="auto"/>
          <w:kern w:val="0"/>
          <w:sz w:val="32"/>
          <w:szCs w:val="32"/>
          <w:highlight w:val="none"/>
          <w:lang w:val="en-US" w:eastAsia="zh-CN" w:bidi="ar-SA"/>
        </w:rPr>
        <w:t>9.86</w:t>
      </w:r>
      <w:r>
        <w:rPr>
          <w:rFonts w:hint="default" w:ascii="Times New Roman" w:hAnsi="Times New Roman" w:eastAsia="方正仿宋_GBK" w:cs="Times New Roman"/>
          <w:color w:val="auto"/>
          <w:kern w:val="0"/>
          <w:sz w:val="32"/>
          <w:szCs w:val="32"/>
          <w:highlight w:val="none"/>
          <w:lang w:val="en-US" w:eastAsia="zh-CN" w:bidi="ar-SA"/>
        </w:rPr>
        <w:t>万元，完成预算</w:t>
      </w:r>
      <w:r>
        <w:rPr>
          <w:rFonts w:hint="default" w:ascii="Times New Roman" w:hAnsi="Times New Roman" w:eastAsia="方正仿宋_GBK" w:cs="Times New Roman"/>
          <w:color w:val="auto"/>
          <w:kern w:val="0"/>
          <w:sz w:val="32"/>
          <w:szCs w:val="32"/>
          <w:highlight w:val="none"/>
          <w:lang w:val="en-US" w:eastAsia="zh-CN" w:bidi="ar-SA"/>
        </w:rPr>
        <w:t>5.78</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p>
    <w:p>
      <w:pPr>
        <w:pageBreakBefore w:val="0"/>
        <w:tabs>
          <w:tab w:val="right" w:pos="8306"/>
        </w:tabs>
        <w:kinsoku/>
        <w:wordWrap/>
        <w:overflowPunct/>
        <w:topLinePunct w:val="0"/>
        <w:bidi w:val="0"/>
        <w:spacing w:line="576" w:lineRule="exact"/>
        <w:ind w:firstLine="640" w:firstLineChars="200"/>
        <w:outlineLvl w:val="1"/>
        <w:rPr>
          <w:rStyle w:val="27"/>
          <w:rFonts w:hint="default" w:ascii="Times New Roman" w:hAnsi="Times New Roman" w:cs="Times New Roman"/>
          <w:color w:val="auto"/>
          <w:highlight w:val="none"/>
        </w:rPr>
      </w:pPr>
      <w:bookmarkStart w:id="44" w:name="_Toc15396608"/>
      <w:bookmarkStart w:id="45" w:name="_Toc15377214"/>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w:t>
      </w:r>
      <w:r>
        <w:rPr>
          <w:rFonts w:hint="default" w:ascii="Times New Roman" w:hAnsi="Times New Roman" w:eastAsia="黑体" w:cs="Times New Roman"/>
          <w:b/>
          <w:color w:val="auto"/>
          <w:sz w:val="32"/>
          <w:szCs w:val="32"/>
          <w:highlight w:val="none"/>
        </w:rPr>
        <w:t>一</w:t>
      </w:r>
      <w:r>
        <w:rPr>
          <w:rStyle w:val="27"/>
          <w:rFonts w:hint="default" w:ascii="Times New Roman" w:hAnsi="Times New Roman" w:eastAsia="黑体" w:cs="Times New Roman"/>
          <w:b w:val="0"/>
          <w:color w:val="auto"/>
          <w:highlight w:val="none"/>
        </w:rPr>
        <w:t>般公共预算财政拨款基本支出决算情况说明</w:t>
      </w:r>
      <w:bookmarkEnd w:id="44"/>
      <w:bookmarkEnd w:id="45"/>
      <w:r>
        <w:rPr>
          <w:rStyle w:val="27"/>
          <w:rFonts w:hint="default" w:ascii="Times New Roman" w:hAnsi="Times New Roman" w:eastAsia="黑体" w:cs="Times New Roman"/>
          <w:b w:val="0"/>
          <w:color w:val="auto"/>
          <w:highlight w:val="none"/>
        </w:rPr>
        <w:tab/>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2022年</w:t>
      </w:r>
      <w:r>
        <w:rPr>
          <w:rFonts w:hint="default" w:ascii="Times New Roman" w:hAnsi="Times New Roman" w:eastAsia="方正仿宋_GBK" w:cs="Times New Roman"/>
          <w:color w:val="auto"/>
          <w:kern w:val="0"/>
          <w:sz w:val="32"/>
          <w:szCs w:val="32"/>
          <w:highlight w:val="none"/>
          <w:lang w:val="en-US" w:eastAsia="zh-CN" w:bidi="ar-SA"/>
        </w:rPr>
        <w:t>一般公共预算财政拨款基本支出</w:t>
      </w:r>
      <w:r>
        <w:rPr>
          <w:rFonts w:hint="default" w:ascii="Times New Roman" w:hAnsi="Times New Roman" w:eastAsia="方正仿宋_GBK" w:cs="Times New Roman"/>
          <w:color w:val="auto"/>
          <w:kern w:val="0"/>
          <w:sz w:val="32"/>
          <w:szCs w:val="32"/>
          <w:highlight w:val="none"/>
          <w:lang w:val="en-US" w:eastAsia="zh-CN" w:bidi="ar-SA"/>
        </w:rPr>
        <w:t>170.52</w:t>
      </w:r>
      <w:r>
        <w:rPr>
          <w:rFonts w:hint="default" w:ascii="Times New Roman" w:hAnsi="Times New Roman" w:eastAsia="方正仿宋_GBK" w:cs="Times New Roman"/>
          <w:color w:val="auto"/>
          <w:kern w:val="0"/>
          <w:sz w:val="32"/>
          <w:szCs w:val="32"/>
          <w:highlight w:val="none"/>
          <w:lang w:val="en-US" w:eastAsia="zh-CN" w:bidi="ar-SA"/>
        </w:rPr>
        <w:t>万元，其中：</w:t>
      </w:r>
    </w:p>
    <w:p>
      <w:pPr>
        <w:pageBreakBefore w:val="0"/>
        <w:kinsoku/>
        <w:wordWrap/>
        <w:overflowPunct/>
        <w:topLinePunct w:val="0"/>
        <w:bidi w:val="0"/>
        <w:spacing w:line="576"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方正仿宋_GBK" w:cs="Times New Roman"/>
          <w:color w:val="auto"/>
          <w:kern w:val="0"/>
          <w:sz w:val="32"/>
          <w:szCs w:val="32"/>
          <w:highlight w:val="none"/>
          <w:lang w:val="en-US" w:eastAsia="zh-CN" w:bidi="ar-SA"/>
        </w:rPr>
        <w:t>人员经费</w:t>
      </w:r>
      <w:r>
        <w:rPr>
          <w:rFonts w:hint="default" w:ascii="Times New Roman" w:hAnsi="Times New Roman" w:eastAsia="方正仿宋_GBK" w:cs="Times New Roman"/>
          <w:color w:val="auto"/>
          <w:kern w:val="0"/>
          <w:sz w:val="32"/>
          <w:szCs w:val="32"/>
          <w:highlight w:val="none"/>
          <w:lang w:val="en-US" w:eastAsia="zh-CN" w:bidi="ar-SA"/>
        </w:rPr>
        <w:t>133.20</w:t>
      </w:r>
      <w:r>
        <w:rPr>
          <w:rFonts w:hint="default" w:ascii="Times New Roman" w:hAnsi="Times New Roman" w:eastAsia="方正仿宋_GBK" w:cs="Times New Roman"/>
          <w:color w:val="auto"/>
          <w:kern w:val="0"/>
          <w:sz w:val="32"/>
          <w:szCs w:val="32"/>
          <w:highlight w:val="none"/>
          <w:lang w:val="en-US" w:eastAsia="zh-CN" w:bidi="ar-SA"/>
        </w:rPr>
        <w:t>万元，主要包括：基本工资、津贴补贴、奖金、机关事业单位基本养老保险缴费、职业年金缴费、其他社会保障缴费、奖励金、住房公积金等。</w:t>
      </w:r>
      <w:r>
        <w:rPr>
          <w:rFonts w:hint="default" w:ascii="Times New Roman" w:hAnsi="Times New Roman" w:eastAsia="仿宋" w:cs="Times New Roman"/>
          <w:color w:val="auto"/>
          <w:sz w:val="32"/>
          <w:szCs w:val="32"/>
          <w:highlight w:val="none"/>
        </w:rPr>
        <w:br w:type="textWrapping"/>
      </w:r>
      <w:r>
        <w:rPr>
          <w:rFonts w:hint="default" w:ascii="Times New Roman" w:hAnsi="Times New Roman" w:eastAsia="仿宋" w:cs="Times New Roman"/>
          <w:color w:val="auto"/>
          <w:sz w:val="32"/>
          <w:szCs w:val="32"/>
          <w:highlight w:val="none"/>
        </w:rPr>
        <w:t>　　</w:t>
      </w:r>
      <w:r>
        <w:rPr>
          <w:rFonts w:hint="default" w:ascii="Times New Roman" w:hAnsi="Times New Roman" w:eastAsia="方正仿宋_GBK" w:cs="Times New Roman"/>
          <w:color w:val="auto"/>
          <w:kern w:val="0"/>
          <w:sz w:val="32"/>
          <w:szCs w:val="32"/>
          <w:highlight w:val="none"/>
          <w:lang w:val="en-US" w:eastAsia="zh-CN" w:bidi="ar-SA"/>
        </w:rPr>
        <w:t>公用经费</w:t>
      </w:r>
      <w:r>
        <w:rPr>
          <w:rFonts w:hint="default" w:ascii="Times New Roman" w:hAnsi="Times New Roman" w:eastAsia="方正仿宋_GBK" w:cs="Times New Roman"/>
          <w:color w:val="auto"/>
          <w:kern w:val="0"/>
          <w:sz w:val="32"/>
          <w:szCs w:val="32"/>
          <w:highlight w:val="none"/>
          <w:lang w:val="en-US" w:eastAsia="zh-CN" w:bidi="ar-SA"/>
        </w:rPr>
        <w:t>37.32</w:t>
      </w:r>
      <w:r>
        <w:rPr>
          <w:rFonts w:hint="default" w:ascii="Times New Roman" w:hAnsi="Times New Roman" w:eastAsia="方正仿宋_GBK" w:cs="Times New Roman"/>
          <w:color w:val="auto"/>
          <w:kern w:val="0"/>
          <w:sz w:val="32"/>
          <w:szCs w:val="32"/>
          <w:highlight w:val="none"/>
          <w:lang w:val="en-US" w:eastAsia="zh-CN" w:bidi="ar-SA"/>
        </w:rPr>
        <w:t>万元，主要包括：办公费、邮电费、差旅费、、公务接待费、工会经费。</w:t>
      </w:r>
    </w:p>
    <w:p>
      <w:pPr>
        <w:pageBreakBefore w:val="0"/>
        <w:kinsoku/>
        <w:wordWrap/>
        <w:overflowPunct/>
        <w:topLinePunct w:val="0"/>
        <w:bidi w:val="0"/>
        <w:spacing w:line="576" w:lineRule="exact"/>
        <w:ind w:firstLine="640" w:firstLineChars="200"/>
        <w:outlineLvl w:val="1"/>
        <w:rPr>
          <w:rStyle w:val="27"/>
          <w:rFonts w:hint="default" w:ascii="Times New Roman" w:hAnsi="Times New Roman" w:eastAsia="黑体" w:cs="Times New Roman"/>
          <w:b w:val="0"/>
          <w:color w:val="auto"/>
          <w:highlight w:val="none"/>
        </w:rPr>
      </w:pPr>
      <w:bookmarkStart w:id="46" w:name="_Toc15377215"/>
      <w:bookmarkStart w:id="47" w:name="_Toc15396609"/>
      <w:r>
        <w:rPr>
          <w:rFonts w:hint="default" w:ascii="Times New Roman" w:hAnsi="Times New Roman" w:eastAsia="黑体" w:cs="Times New Roman"/>
          <w:color w:val="auto"/>
          <w:sz w:val="32"/>
          <w:szCs w:val="32"/>
          <w:highlight w:val="none"/>
        </w:rPr>
        <w:t>七、</w:t>
      </w:r>
      <w:r>
        <w:rPr>
          <w:rStyle w:val="27"/>
          <w:rFonts w:hint="default" w:ascii="Times New Roman" w:hAnsi="Times New Roman" w:eastAsia="黑体" w:cs="Times New Roman"/>
          <w:color w:val="auto"/>
          <w:highlight w:val="none"/>
        </w:rPr>
        <w:t>“</w:t>
      </w:r>
      <w:r>
        <w:rPr>
          <w:rStyle w:val="27"/>
          <w:rFonts w:hint="default" w:ascii="Times New Roman" w:hAnsi="Times New Roman" w:eastAsia="黑体" w:cs="Times New Roman"/>
          <w:b w:val="0"/>
          <w:color w:val="auto"/>
          <w:highlight w:val="none"/>
        </w:rPr>
        <w:t>三公”经费财政拨款支出决算情况说明</w:t>
      </w:r>
      <w:bookmarkEnd w:id="46"/>
      <w:bookmarkEnd w:id="47"/>
    </w:p>
    <w:p>
      <w:pPr>
        <w:pageBreakBefore w:val="0"/>
        <w:kinsoku/>
        <w:wordWrap/>
        <w:overflowPunct/>
        <w:topLinePunct w:val="0"/>
        <w:bidi w:val="0"/>
        <w:spacing w:line="576" w:lineRule="exact"/>
        <w:ind w:firstLine="643" w:firstLineChars="200"/>
        <w:outlineLvl w:val="2"/>
        <w:rPr>
          <w:rFonts w:hint="default" w:ascii="Times New Roman" w:hAnsi="Times New Roman" w:eastAsia="仿宋" w:cs="Times New Roman"/>
          <w:b/>
          <w:color w:val="auto"/>
          <w:sz w:val="32"/>
          <w:szCs w:val="32"/>
          <w:highlight w:val="none"/>
        </w:rPr>
      </w:pPr>
      <w:bookmarkStart w:id="48" w:name="_Toc15377216"/>
      <w:r>
        <w:rPr>
          <w:rFonts w:hint="default" w:ascii="Times New Roman" w:hAnsi="Times New Roman" w:eastAsia="仿宋" w:cs="Times New Roman"/>
          <w:b/>
          <w:color w:val="auto"/>
          <w:sz w:val="32"/>
          <w:szCs w:val="32"/>
          <w:highlight w:val="none"/>
        </w:rPr>
        <w:t>（一）“三公”经费财政拨款支出决算总体情况说明</w:t>
      </w:r>
      <w:bookmarkEnd w:id="48"/>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2022年</w:t>
      </w:r>
      <w:r>
        <w:rPr>
          <w:rFonts w:hint="default" w:ascii="Times New Roman" w:hAnsi="Times New Roman" w:eastAsia="方正仿宋_GBK" w:cs="Times New Roman"/>
          <w:color w:val="auto"/>
          <w:kern w:val="0"/>
          <w:sz w:val="32"/>
          <w:szCs w:val="32"/>
          <w:highlight w:val="none"/>
          <w:lang w:val="en-US" w:eastAsia="zh-CN" w:bidi="ar-SA"/>
        </w:rPr>
        <w:t>“三公”经费财政拨款支出决算为0万元。</w:t>
      </w:r>
    </w:p>
    <w:p>
      <w:pPr>
        <w:pageBreakBefore w:val="0"/>
        <w:kinsoku/>
        <w:wordWrap/>
        <w:overflowPunct/>
        <w:topLinePunct w:val="0"/>
        <w:bidi w:val="0"/>
        <w:spacing w:line="576" w:lineRule="exact"/>
        <w:ind w:firstLine="643" w:firstLineChars="200"/>
        <w:outlineLvl w:val="2"/>
        <w:rPr>
          <w:rFonts w:hint="default" w:ascii="Times New Roman" w:hAnsi="Times New Roman" w:eastAsia="仿宋" w:cs="Times New Roman"/>
          <w:b/>
          <w:color w:val="auto"/>
          <w:sz w:val="32"/>
          <w:szCs w:val="32"/>
          <w:highlight w:val="none"/>
        </w:rPr>
      </w:pPr>
      <w:bookmarkStart w:id="49" w:name="_Toc15377217"/>
      <w:r>
        <w:rPr>
          <w:rFonts w:hint="default" w:ascii="Times New Roman" w:hAnsi="Times New Roman" w:eastAsia="仿宋" w:cs="Times New Roman"/>
          <w:b/>
          <w:color w:val="auto"/>
          <w:sz w:val="32"/>
          <w:szCs w:val="32"/>
          <w:highlight w:val="none"/>
        </w:rPr>
        <w:t>（二）“三公”经费财政拨款支出决算具体情况说明</w:t>
      </w:r>
      <w:bookmarkEnd w:id="49"/>
    </w:p>
    <w:p>
      <w:pPr>
        <w:pageBreakBefore w:val="0"/>
        <w:kinsoku/>
        <w:wordWrap/>
        <w:overflowPunct/>
        <w:topLinePunct w:val="0"/>
        <w:bidi w:val="0"/>
        <w:spacing w:line="576"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方正仿宋_GBK" w:cs="Times New Roman"/>
          <w:color w:val="auto"/>
          <w:kern w:val="0"/>
          <w:sz w:val="32"/>
          <w:szCs w:val="32"/>
          <w:highlight w:val="none"/>
          <w:lang w:val="en-US" w:eastAsia="zh-CN" w:bidi="ar-SA"/>
        </w:rPr>
        <w:t>2022年</w:t>
      </w:r>
      <w:r>
        <w:rPr>
          <w:rFonts w:hint="default" w:ascii="Times New Roman" w:hAnsi="Times New Roman" w:eastAsia="方正仿宋_GBK" w:cs="Times New Roman"/>
          <w:color w:val="auto"/>
          <w:kern w:val="0"/>
          <w:sz w:val="32"/>
          <w:szCs w:val="32"/>
          <w:highlight w:val="none"/>
          <w:lang w:val="en-US" w:eastAsia="zh-CN" w:bidi="ar-SA"/>
        </w:rPr>
        <w:t>“三公”经费财政拨款支出决算中，因公出国（境</w:t>
      </w:r>
      <w:r>
        <w:rPr>
          <w:rFonts w:hint="default" w:ascii="Times New Roman" w:hAnsi="Times New Roman" w:eastAsia="仿宋" w:cs="Times New Roman"/>
          <w:color w:val="auto"/>
          <w:sz w:val="32"/>
          <w:szCs w:val="32"/>
          <w:highlight w:val="none"/>
        </w:rPr>
        <w:t>）费支出决算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rPr>
        <w:t>；公务用车购</w:t>
      </w:r>
      <w:r>
        <w:rPr>
          <w:rFonts w:hint="default" w:ascii="Times New Roman" w:hAnsi="Times New Roman" w:eastAsia="方正仿宋_GBK" w:cs="Times New Roman"/>
          <w:color w:val="auto"/>
          <w:kern w:val="0"/>
          <w:sz w:val="32"/>
          <w:szCs w:val="32"/>
          <w:highlight w:val="none"/>
          <w:lang w:val="en-US" w:eastAsia="zh-CN" w:bidi="ar-SA"/>
        </w:rPr>
        <w:t>置及运行维护费支出决算0万元，占0</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；公务接待费支出决算</w:t>
      </w:r>
      <w:r>
        <w:rPr>
          <w:rFonts w:hint="default" w:ascii="Times New Roman" w:hAnsi="Times New Roman" w:eastAsia="方正仿宋_GBK" w:cs="Times New Roman"/>
          <w:color w:val="auto"/>
          <w:kern w:val="0"/>
          <w:sz w:val="32"/>
          <w:szCs w:val="32"/>
          <w:highlight w:val="none"/>
          <w:lang w:val="en-US" w:eastAsia="zh-CN" w:bidi="ar-SA"/>
        </w:rPr>
        <w:t>0</w:t>
      </w:r>
      <w:r>
        <w:rPr>
          <w:rFonts w:hint="default" w:ascii="Times New Roman" w:hAnsi="Times New Roman" w:eastAsia="方正仿宋_GBK" w:cs="Times New Roman"/>
          <w:color w:val="auto"/>
          <w:kern w:val="0"/>
          <w:sz w:val="32"/>
          <w:szCs w:val="32"/>
          <w:highlight w:val="none"/>
          <w:lang w:val="en-US" w:eastAsia="zh-CN" w:bidi="ar-SA"/>
        </w:rPr>
        <w:t>万元，占</w:t>
      </w:r>
      <w:r>
        <w:rPr>
          <w:rFonts w:hint="default" w:ascii="Times New Roman" w:hAnsi="Times New Roman" w:eastAsia="方正仿宋_GBK" w:cs="Times New Roman"/>
          <w:color w:val="auto"/>
          <w:kern w:val="0"/>
          <w:sz w:val="32"/>
          <w:szCs w:val="32"/>
          <w:highlight w:val="none"/>
          <w:lang w:val="en-US" w:eastAsia="zh-CN" w:bidi="ar-SA"/>
        </w:rPr>
        <w:t>0</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。具体情况如下：</w:t>
      </w:r>
    </w:p>
    <w:p>
      <w:pPr>
        <w:pageBreakBefore w:val="0"/>
        <w:numPr>
          <w:ilvl w:val="0"/>
          <w:numId w:val="2"/>
        </w:numPr>
        <w:kinsoku/>
        <w:wordWrap/>
        <w:overflowPunct/>
        <w:topLinePunct w:val="0"/>
        <w:bidi w:val="0"/>
        <w:spacing w:line="576" w:lineRule="exact"/>
        <w:ind w:firstLine="643"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rPr>
        <w:t>因公出国（境）经费支出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元，</w:t>
      </w:r>
      <w:r>
        <w:rPr>
          <w:rStyle w:val="16"/>
          <w:rFonts w:hint="default" w:ascii="Times New Roman" w:hAnsi="Times New Roman" w:eastAsia="仿宋" w:cs="Times New Roman"/>
          <w:b w:val="0"/>
          <w:bCs/>
          <w:color w:val="auto"/>
          <w:sz w:val="32"/>
          <w:szCs w:val="32"/>
          <w:highlight w:val="none"/>
        </w:rPr>
        <w:t>完成预算</w:t>
      </w:r>
      <w:r>
        <w:rPr>
          <w:rStyle w:val="16"/>
          <w:rFonts w:hint="default" w:ascii="Times New Roman" w:hAnsi="Times New Roman" w:eastAsia="仿宋" w:cs="Times New Roman"/>
          <w:b w:val="0"/>
          <w:bCs/>
          <w:color w:val="auto"/>
          <w:sz w:val="32"/>
          <w:szCs w:val="32"/>
          <w:highlight w:val="none"/>
          <w:lang w:val="en-US" w:eastAsia="zh-CN"/>
        </w:rPr>
        <w:t>0</w:t>
      </w:r>
      <w:r>
        <w:rPr>
          <w:rStyle w:val="16"/>
          <w:rFonts w:hint="default" w:ascii="Times New Roman" w:hAnsi="Times New Roman" w:eastAsia="仿宋" w:cs="Times New Roman"/>
          <w:b w:val="0"/>
          <w:bCs/>
          <w:color w:val="auto"/>
          <w:sz w:val="32"/>
          <w:szCs w:val="32"/>
          <w:highlight w:val="none"/>
        </w:rPr>
        <w:t>%</w:t>
      </w:r>
      <w:r>
        <w:rPr>
          <w:rStyle w:val="16"/>
          <w:rFonts w:hint="default" w:ascii="Times New Roman" w:hAnsi="Times New Roman" w:eastAsia="仿宋"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全年安排因公出国（境）团组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次，出国（境）</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人。</w:t>
      </w:r>
    </w:p>
    <w:p>
      <w:pPr>
        <w:pageBreakBefore w:val="0"/>
        <w:numPr>
          <w:ilvl w:val="0"/>
          <w:numId w:val="0"/>
        </w:numPr>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en-US" w:eastAsia="zh-CN" w:bidi="ar-SA"/>
        </w:rPr>
        <w:t>公务用车购置及运行维护费支出0万元,完成预算0</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。公务用车运行维护费支出0万元。</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en-US" w:eastAsia="zh-CN" w:bidi="ar-SA"/>
        </w:rPr>
        <w:t>公务接待费支出0万元，完成预算0</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w:t>
      </w:r>
    </w:p>
    <w:p>
      <w:pPr>
        <w:pageBreakBefore w:val="0"/>
        <w:kinsoku/>
        <w:wordWrap/>
        <w:overflowPunct/>
        <w:topLinePunct w:val="0"/>
        <w:bidi w:val="0"/>
        <w:spacing w:line="576" w:lineRule="exact"/>
        <w:ind w:firstLine="640" w:firstLineChars="200"/>
        <w:outlineLvl w:val="1"/>
        <w:rPr>
          <w:rStyle w:val="27"/>
          <w:rFonts w:hint="default" w:ascii="Times New Roman" w:hAnsi="Times New Roman" w:eastAsia="黑体" w:cs="Times New Roman"/>
          <w:color w:val="auto"/>
          <w:highlight w:val="none"/>
        </w:rPr>
      </w:pPr>
      <w:bookmarkStart w:id="50" w:name="_Toc15377218"/>
      <w:bookmarkStart w:id="51" w:name="_Toc15396610"/>
      <w:r>
        <w:rPr>
          <w:rFonts w:hint="default" w:ascii="Times New Roman" w:hAnsi="Times New Roman" w:eastAsia="黑体" w:cs="Times New Roman"/>
          <w:color w:val="auto"/>
          <w:sz w:val="32"/>
          <w:szCs w:val="32"/>
          <w:highlight w:val="none"/>
        </w:rPr>
        <w:t>八、</w:t>
      </w:r>
      <w:r>
        <w:rPr>
          <w:rStyle w:val="27"/>
          <w:rFonts w:hint="default" w:ascii="Times New Roman" w:hAnsi="Times New Roman" w:eastAsia="黑体" w:cs="Times New Roman"/>
          <w:b w:val="0"/>
          <w:color w:val="auto"/>
          <w:highlight w:val="none"/>
        </w:rPr>
        <w:t>政府性基金预算支出决算情况说明</w:t>
      </w:r>
      <w:bookmarkEnd w:id="50"/>
      <w:bookmarkEnd w:id="51"/>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2022年</w:t>
      </w:r>
      <w:r>
        <w:rPr>
          <w:rFonts w:hint="default" w:ascii="Times New Roman" w:hAnsi="Times New Roman" w:eastAsia="方正仿宋_GBK" w:cs="Times New Roman"/>
          <w:color w:val="auto"/>
          <w:kern w:val="0"/>
          <w:sz w:val="32"/>
          <w:szCs w:val="32"/>
          <w:highlight w:val="none"/>
          <w:lang w:val="en-US" w:eastAsia="zh-CN" w:bidi="ar-SA"/>
        </w:rPr>
        <w:t>政府性基金预算财政拨款支出0元。</w:t>
      </w:r>
    </w:p>
    <w:p>
      <w:pPr>
        <w:pageBreakBefore w:val="0"/>
        <w:numPr>
          <w:ilvl w:val="0"/>
          <w:numId w:val="3"/>
        </w:numPr>
        <w:kinsoku/>
        <w:wordWrap/>
        <w:overflowPunct/>
        <w:topLinePunct w:val="0"/>
        <w:bidi w:val="0"/>
        <w:spacing w:line="576" w:lineRule="exact"/>
        <w:ind w:firstLine="640" w:firstLineChars="200"/>
        <w:outlineLvl w:val="1"/>
        <w:rPr>
          <w:rStyle w:val="27"/>
          <w:rFonts w:hint="default" w:ascii="Times New Roman" w:hAnsi="Times New Roman" w:eastAsia="黑体" w:cs="Times New Roman"/>
          <w:b w:val="0"/>
          <w:color w:val="auto"/>
          <w:highlight w:val="none"/>
        </w:rPr>
      </w:pPr>
      <w:bookmarkStart w:id="52" w:name="_Toc15396611"/>
      <w:bookmarkStart w:id="53" w:name="_Toc15377219"/>
      <w:r>
        <w:rPr>
          <w:rStyle w:val="27"/>
          <w:rFonts w:hint="default" w:ascii="Times New Roman" w:hAnsi="Times New Roman" w:eastAsia="黑体" w:cs="Times New Roman"/>
          <w:b w:val="0"/>
          <w:color w:val="auto"/>
          <w:highlight w:val="none"/>
        </w:rPr>
        <w:t>国有资本经营预算支出决算情况说明</w:t>
      </w:r>
      <w:bookmarkEnd w:id="52"/>
      <w:bookmarkEnd w:id="53"/>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2022年</w:t>
      </w:r>
      <w:r>
        <w:rPr>
          <w:rFonts w:hint="default" w:ascii="Times New Roman" w:hAnsi="Times New Roman" w:eastAsia="方正仿宋_GBK" w:cs="Times New Roman"/>
          <w:color w:val="auto"/>
          <w:kern w:val="0"/>
          <w:sz w:val="32"/>
          <w:szCs w:val="32"/>
          <w:highlight w:val="none"/>
          <w:lang w:val="en-US" w:eastAsia="zh-CN" w:bidi="ar-SA"/>
        </w:rPr>
        <w:t>国有资本经营预算财政拨款支出0万元。</w:t>
      </w:r>
    </w:p>
    <w:p>
      <w:pPr>
        <w:pageBreakBefore w:val="0"/>
        <w:numPr>
          <w:ilvl w:val="0"/>
          <w:numId w:val="3"/>
        </w:numPr>
        <w:kinsoku/>
        <w:wordWrap/>
        <w:overflowPunct/>
        <w:topLinePunct w:val="0"/>
        <w:bidi w:val="0"/>
        <w:spacing w:line="576" w:lineRule="exact"/>
        <w:ind w:firstLine="640" w:firstLineChars="200"/>
        <w:outlineLvl w:val="1"/>
        <w:rPr>
          <w:rStyle w:val="27"/>
          <w:rFonts w:hint="default" w:ascii="Times New Roman" w:hAnsi="Times New Roman" w:eastAsia="黑体" w:cs="Times New Roman"/>
          <w:b w:val="0"/>
          <w:color w:val="auto"/>
          <w:highlight w:val="none"/>
        </w:rPr>
      </w:pPr>
      <w:bookmarkStart w:id="54" w:name="_Toc15396612"/>
      <w:bookmarkStart w:id="55" w:name="_Toc15377221"/>
      <w:r>
        <w:rPr>
          <w:rStyle w:val="27"/>
          <w:rFonts w:hint="default" w:ascii="Times New Roman" w:hAnsi="Times New Roman" w:eastAsia="黑体" w:cs="Times New Roman"/>
          <w:b w:val="0"/>
          <w:color w:val="auto"/>
          <w:highlight w:val="none"/>
        </w:rPr>
        <w:t>其他重要事项的情况说明</w:t>
      </w:r>
      <w:bookmarkEnd w:id="54"/>
      <w:bookmarkEnd w:id="55"/>
    </w:p>
    <w:p>
      <w:pPr>
        <w:pageBreakBefore w:val="0"/>
        <w:kinsoku/>
        <w:wordWrap/>
        <w:overflowPunct/>
        <w:topLinePunct w:val="0"/>
        <w:bidi w:val="0"/>
        <w:spacing w:line="576" w:lineRule="exact"/>
        <w:ind w:firstLine="643" w:firstLineChars="200"/>
        <w:outlineLvl w:val="2"/>
        <w:rPr>
          <w:rFonts w:hint="default" w:ascii="Times New Roman" w:hAnsi="Times New Roman" w:eastAsia="仿宋" w:cs="Times New Roman"/>
          <w:color w:val="auto"/>
          <w:sz w:val="32"/>
          <w:szCs w:val="32"/>
          <w:highlight w:val="none"/>
        </w:rPr>
      </w:pPr>
      <w:bookmarkStart w:id="56" w:name="_Toc15377222"/>
      <w:r>
        <w:rPr>
          <w:rFonts w:hint="default" w:ascii="Times New Roman" w:hAnsi="Times New Roman" w:eastAsia="仿宋" w:cs="Times New Roman"/>
          <w:b/>
          <w:color w:val="auto"/>
          <w:sz w:val="32"/>
          <w:szCs w:val="32"/>
          <w:highlight w:val="none"/>
        </w:rPr>
        <w:t>（一）机关运行经费支出情况</w:t>
      </w:r>
      <w:bookmarkEnd w:id="56"/>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2022年</w:t>
      </w:r>
      <w:r>
        <w:rPr>
          <w:rFonts w:hint="default" w:ascii="Times New Roman" w:hAnsi="Times New Roman" w:eastAsia="方正仿宋_GBK" w:cs="Times New Roman"/>
          <w:color w:val="auto"/>
          <w:kern w:val="0"/>
          <w:sz w:val="32"/>
          <w:szCs w:val="32"/>
          <w:highlight w:val="none"/>
          <w:lang w:val="en-US" w:eastAsia="zh-CN" w:bidi="ar-SA"/>
        </w:rPr>
        <w:t>，机关运行经费支出0万元。</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hint="default" w:ascii="Times New Roman" w:hAnsi="Times New Roman" w:eastAsia="仿宋" w:cs="Times New Roman"/>
          <w:b/>
          <w:color w:val="auto"/>
          <w:sz w:val="32"/>
          <w:szCs w:val="32"/>
          <w:highlight w:val="none"/>
        </w:rPr>
      </w:pPr>
      <w:bookmarkStart w:id="57" w:name="_Toc15377223"/>
      <w:r>
        <w:rPr>
          <w:rFonts w:hint="default" w:ascii="Times New Roman" w:hAnsi="Times New Roman" w:eastAsia="仿宋" w:cs="Times New Roman"/>
          <w:b/>
          <w:color w:val="auto"/>
          <w:sz w:val="32"/>
          <w:szCs w:val="32"/>
          <w:highlight w:val="none"/>
        </w:rPr>
        <w:t>（二）政府采购支出情况</w:t>
      </w:r>
      <w:bookmarkEnd w:id="57"/>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2022年</w:t>
      </w:r>
      <w:r>
        <w:rPr>
          <w:rFonts w:hint="default" w:ascii="Times New Roman" w:hAnsi="Times New Roman" w:eastAsia="方正仿宋_GBK" w:cs="Times New Roman"/>
          <w:color w:val="auto"/>
          <w:kern w:val="0"/>
          <w:sz w:val="32"/>
          <w:szCs w:val="32"/>
          <w:highlight w:val="none"/>
          <w:lang w:val="en-US" w:eastAsia="zh-CN" w:bidi="ar-SA"/>
        </w:rPr>
        <w:t>，政府采购支出总额0万元，其中：政府采购货物支出0万元、政府采购工程支出0万元、政府采购服务支出0万元。</w:t>
      </w:r>
    </w:p>
    <w:p>
      <w:pPr>
        <w:pageBreakBefore w:val="0"/>
        <w:kinsoku/>
        <w:wordWrap/>
        <w:overflowPunct/>
        <w:topLinePunct w:val="0"/>
        <w:autoSpaceDE w:val="0"/>
        <w:autoSpaceDN w:val="0"/>
        <w:bidi w:val="0"/>
        <w:adjustRightInd w:val="0"/>
        <w:spacing w:line="576" w:lineRule="exact"/>
        <w:ind w:firstLine="643" w:firstLineChars="200"/>
        <w:jc w:val="left"/>
        <w:outlineLvl w:val="2"/>
        <w:rPr>
          <w:rFonts w:hint="default" w:ascii="Times New Roman" w:hAnsi="Times New Roman" w:eastAsia="仿宋" w:cs="Times New Roman"/>
          <w:b/>
          <w:color w:val="auto"/>
          <w:sz w:val="32"/>
          <w:szCs w:val="32"/>
          <w:highlight w:val="none"/>
        </w:rPr>
      </w:pPr>
      <w:bookmarkStart w:id="58" w:name="_Toc15377224"/>
      <w:r>
        <w:rPr>
          <w:rFonts w:hint="default" w:ascii="Times New Roman" w:hAnsi="Times New Roman" w:eastAsia="仿宋" w:cs="Times New Roman"/>
          <w:b/>
          <w:color w:val="auto"/>
          <w:sz w:val="32"/>
          <w:szCs w:val="32"/>
          <w:highlight w:val="none"/>
        </w:rPr>
        <w:t>（三）国有资产占有使用情况</w:t>
      </w:r>
      <w:bookmarkEnd w:id="58"/>
    </w:p>
    <w:p>
      <w:pPr>
        <w:pageBreakBefore w:val="0"/>
        <w:kinsoku/>
        <w:wordWrap/>
        <w:overflowPunct/>
        <w:topLinePunct w:val="0"/>
        <w:autoSpaceDE w:val="0"/>
        <w:autoSpaceDN w:val="0"/>
        <w:bidi w:val="0"/>
        <w:adjustRightInd w:val="0"/>
        <w:spacing w:line="576" w:lineRule="exact"/>
        <w:ind w:firstLine="640" w:firstLineChars="200"/>
        <w:jc w:val="left"/>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截至</w:t>
      </w:r>
      <w:r>
        <w:rPr>
          <w:rFonts w:hint="default" w:ascii="Times New Roman" w:hAnsi="Times New Roman" w:eastAsia="方正仿宋_GBK" w:cs="Times New Roman"/>
          <w:color w:val="auto"/>
          <w:kern w:val="0"/>
          <w:sz w:val="32"/>
          <w:szCs w:val="32"/>
          <w:highlight w:val="none"/>
          <w:lang w:val="en-US" w:eastAsia="zh-CN" w:bidi="ar-SA"/>
        </w:rPr>
        <w:t>2022年</w:t>
      </w:r>
      <w:r>
        <w:rPr>
          <w:rFonts w:hint="default" w:ascii="Times New Roman" w:hAnsi="Times New Roman" w:eastAsia="方正仿宋_GBK" w:cs="Times New Roman"/>
          <w:color w:val="auto"/>
          <w:kern w:val="0"/>
          <w:sz w:val="32"/>
          <w:szCs w:val="32"/>
          <w:highlight w:val="none"/>
          <w:lang w:val="en-US" w:eastAsia="zh-CN" w:bidi="ar-SA"/>
        </w:rPr>
        <w:t>12</w:t>
      </w:r>
      <w:r>
        <w:rPr>
          <w:rFonts w:hint="default" w:ascii="Times New Roman" w:hAnsi="Times New Roman" w:eastAsia="方正仿宋_GBK" w:cs="Times New Roman"/>
          <w:color w:val="auto"/>
          <w:kern w:val="0"/>
          <w:sz w:val="32"/>
          <w:szCs w:val="32"/>
          <w:highlight w:val="none"/>
          <w:lang w:val="en-US" w:eastAsia="zh-CN" w:bidi="ar-SA"/>
        </w:rPr>
        <w:t>月</w:t>
      </w:r>
      <w:r>
        <w:rPr>
          <w:rFonts w:hint="default" w:ascii="Times New Roman" w:hAnsi="Times New Roman" w:eastAsia="方正仿宋_GBK" w:cs="Times New Roman"/>
          <w:color w:val="auto"/>
          <w:kern w:val="0"/>
          <w:sz w:val="32"/>
          <w:szCs w:val="32"/>
          <w:highlight w:val="none"/>
          <w:lang w:val="en-US" w:eastAsia="zh-CN" w:bidi="ar-SA"/>
        </w:rPr>
        <w:t>31</w:t>
      </w:r>
      <w:r>
        <w:rPr>
          <w:rFonts w:hint="default" w:ascii="Times New Roman" w:hAnsi="Times New Roman" w:eastAsia="方正仿宋_GBK" w:cs="Times New Roman"/>
          <w:color w:val="auto"/>
          <w:kern w:val="0"/>
          <w:sz w:val="32"/>
          <w:szCs w:val="32"/>
          <w:highlight w:val="none"/>
          <w:lang w:val="en-US" w:eastAsia="zh-CN" w:bidi="ar-SA"/>
        </w:rPr>
        <w:t>日，共有车辆0辆，其中：主要领导干部用车0辆、机要通信用车0辆、应急保障用车0辆、其他用车0辆。</w:t>
      </w:r>
    </w:p>
    <w:p>
      <w:pPr>
        <w:pageBreakBefore w:val="0"/>
        <w:widowControl/>
        <w:kinsoku/>
        <w:wordWrap/>
        <w:overflowPunct/>
        <w:topLinePunct w:val="0"/>
        <w:bidi w:val="0"/>
        <w:spacing w:line="576" w:lineRule="exact"/>
        <w:ind w:firstLine="643" w:firstLineChars="200"/>
        <w:jc w:val="left"/>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b/>
          <w:color w:val="auto"/>
          <w:sz w:val="32"/>
          <w:szCs w:val="32"/>
          <w:highlight w:val="none"/>
        </w:rPr>
        <w:br w:type="page"/>
      </w:r>
    </w:p>
    <w:p>
      <w:pPr>
        <w:keepNext w:val="0"/>
        <w:keepLines w:val="0"/>
        <w:pageBreakBefore w:val="0"/>
        <w:widowControl w:val="0"/>
        <w:numPr>
          <w:ilvl w:val="0"/>
          <w:numId w:val="4"/>
        </w:numPr>
        <w:kinsoku/>
        <w:wordWrap/>
        <w:overflowPunct/>
        <w:topLinePunct w:val="0"/>
        <w:bidi w:val="0"/>
        <w:snapToGrid/>
        <w:spacing w:line="576" w:lineRule="exact"/>
        <w:ind w:firstLine="880" w:firstLineChars="200"/>
        <w:jc w:val="center"/>
        <w:textAlignment w:val="auto"/>
        <w:outlineLvl w:val="0"/>
        <w:rPr>
          <w:rStyle w:val="26"/>
          <w:rFonts w:hint="default" w:ascii="Times New Roman" w:hAnsi="Times New Roman" w:eastAsia="黑体" w:cs="Times New Roman"/>
          <w:b w:val="0"/>
          <w:color w:val="auto"/>
          <w:highlight w:val="none"/>
        </w:rPr>
      </w:pPr>
      <w:bookmarkStart w:id="59" w:name="_Toc15377225"/>
      <w:bookmarkStart w:id="60" w:name="_Toc15396613"/>
      <w:r>
        <w:rPr>
          <w:rFonts w:hint="default" w:ascii="Times New Roman" w:hAnsi="Times New Roman" w:eastAsia="黑体" w:cs="Times New Roman"/>
          <w:color w:val="auto"/>
          <w:sz w:val="44"/>
          <w:szCs w:val="44"/>
          <w:highlight w:val="none"/>
        </w:rPr>
        <w:t>名</w:t>
      </w:r>
      <w:r>
        <w:rPr>
          <w:rStyle w:val="26"/>
          <w:rFonts w:hint="default" w:ascii="Times New Roman" w:hAnsi="Times New Roman" w:eastAsia="黑体" w:cs="Times New Roman"/>
          <w:b w:val="0"/>
          <w:color w:val="auto"/>
          <w:highlight w:val="none"/>
        </w:rPr>
        <w:t>词解释</w:t>
      </w:r>
      <w:bookmarkEnd w:id="59"/>
      <w:bookmarkEnd w:id="60"/>
    </w:p>
    <w:p>
      <w:pPr>
        <w:keepNext w:val="0"/>
        <w:keepLines w:val="0"/>
        <w:pageBreakBefore w:val="0"/>
        <w:widowControl w:val="0"/>
        <w:kinsoku/>
        <w:wordWrap/>
        <w:overflowPunct/>
        <w:topLinePunct w:val="0"/>
        <w:bidi w:val="0"/>
        <w:snapToGrid/>
        <w:spacing w:line="576" w:lineRule="exact"/>
        <w:ind w:firstLine="883" w:firstLineChars="200"/>
        <w:jc w:val="left"/>
        <w:textAlignment w:val="auto"/>
        <w:rPr>
          <w:rFonts w:hint="default" w:ascii="Times New Roman" w:hAnsi="Times New Roman" w:cs="Times New Roman"/>
          <w:b/>
          <w:color w:val="auto"/>
          <w:sz w:val="44"/>
          <w:szCs w:val="44"/>
          <w:highlight w:val="none"/>
        </w:rPr>
      </w:pP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1.财政拨款收入：指单位从同级财政部门取得的财政预算资金。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rPr>
        <w:t>.一般公共服务（类）指</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基本工资、津贴补贴、奖金、机关事业单位基本养老保险缴费、职业年金缴费、其他社会保障缴费、奖励金、住房公积金等</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.基本支出：指为保障机构正常运转、完成日常工作任务而发生的人员支出和公用支出。</w:t>
      </w:r>
    </w:p>
    <w:p>
      <w:pPr>
        <w:pStyle w:val="24"/>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bidi w:val="0"/>
        <w:snapToGrid/>
        <w:spacing w:line="576" w:lineRule="exact"/>
        <w:ind w:firstLine="880" w:firstLineChars="200"/>
        <w:jc w:val="center"/>
        <w:textAlignment w:val="auto"/>
        <w:outlineLvl w:val="0"/>
        <w:rPr>
          <w:rFonts w:hint="default" w:ascii="Times New Roman" w:hAnsi="Times New Roman" w:eastAsia="黑体" w:cs="Times New Roman"/>
          <w:color w:val="auto"/>
          <w:sz w:val="44"/>
          <w:szCs w:val="44"/>
          <w:highlight w:val="none"/>
        </w:rPr>
      </w:pPr>
      <w:bookmarkStart w:id="61" w:name="_Toc15396614"/>
      <w:bookmarkStart w:id="62" w:name="_Toc15377226"/>
    </w:p>
    <w:p>
      <w:pPr>
        <w:keepNext w:val="0"/>
        <w:keepLines w:val="0"/>
        <w:pageBreakBefore w:val="0"/>
        <w:widowControl w:val="0"/>
        <w:kinsoku/>
        <w:wordWrap/>
        <w:overflowPunct/>
        <w:topLinePunct w:val="0"/>
        <w:bidi w:val="0"/>
        <w:snapToGrid/>
        <w:spacing w:line="576" w:lineRule="exact"/>
        <w:ind w:firstLine="880" w:firstLineChars="200"/>
        <w:jc w:val="center"/>
        <w:textAlignment w:val="auto"/>
        <w:outlineLvl w:val="0"/>
        <w:rPr>
          <w:rFonts w:hint="default" w:ascii="Times New Roman" w:hAnsi="Times New Roman" w:eastAsia="黑体" w:cs="Times New Roman"/>
          <w:color w:val="auto"/>
          <w:sz w:val="44"/>
          <w:szCs w:val="44"/>
          <w:highlight w:val="none"/>
        </w:rPr>
      </w:pPr>
    </w:p>
    <w:p>
      <w:pPr>
        <w:keepNext w:val="0"/>
        <w:keepLines w:val="0"/>
        <w:pageBreakBefore w:val="0"/>
        <w:widowControl w:val="0"/>
        <w:kinsoku/>
        <w:wordWrap/>
        <w:overflowPunct/>
        <w:topLinePunct w:val="0"/>
        <w:bidi w:val="0"/>
        <w:snapToGrid/>
        <w:spacing w:line="576" w:lineRule="exact"/>
        <w:ind w:firstLine="880" w:firstLineChars="200"/>
        <w:jc w:val="center"/>
        <w:textAlignment w:val="auto"/>
        <w:outlineLvl w:val="0"/>
        <w:rPr>
          <w:rFonts w:hint="default" w:ascii="Times New Roman" w:hAnsi="Times New Roman" w:eastAsia="黑体" w:cs="Times New Roman"/>
          <w:color w:val="auto"/>
          <w:sz w:val="44"/>
          <w:szCs w:val="44"/>
          <w:highlight w:val="none"/>
        </w:rPr>
      </w:pPr>
    </w:p>
    <w:p>
      <w:pPr>
        <w:keepNext w:val="0"/>
        <w:keepLines w:val="0"/>
        <w:pageBreakBefore w:val="0"/>
        <w:widowControl w:val="0"/>
        <w:kinsoku/>
        <w:wordWrap/>
        <w:overflowPunct/>
        <w:topLinePunct w:val="0"/>
        <w:bidi w:val="0"/>
        <w:snapToGrid/>
        <w:spacing w:line="576" w:lineRule="exact"/>
        <w:ind w:firstLine="880" w:firstLineChars="200"/>
        <w:jc w:val="center"/>
        <w:textAlignment w:val="auto"/>
        <w:outlineLvl w:val="0"/>
        <w:rPr>
          <w:rFonts w:hint="default" w:ascii="Times New Roman" w:hAnsi="Times New Roman" w:eastAsia="黑体" w:cs="Times New Roman"/>
          <w:color w:val="auto"/>
          <w:sz w:val="44"/>
          <w:szCs w:val="44"/>
          <w:highlight w:val="none"/>
        </w:rPr>
      </w:pPr>
    </w:p>
    <w:p>
      <w:pPr>
        <w:keepNext w:val="0"/>
        <w:keepLines w:val="0"/>
        <w:pageBreakBefore w:val="0"/>
        <w:widowControl w:val="0"/>
        <w:kinsoku/>
        <w:wordWrap/>
        <w:overflowPunct/>
        <w:topLinePunct w:val="0"/>
        <w:bidi w:val="0"/>
        <w:snapToGrid/>
        <w:spacing w:line="576" w:lineRule="exact"/>
        <w:ind w:firstLine="880" w:firstLineChars="200"/>
        <w:jc w:val="center"/>
        <w:textAlignment w:val="auto"/>
        <w:outlineLvl w:val="0"/>
        <w:rPr>
          <w:rFonts w:hint="default" w:ascii="Times New Roman" w:hAnsi="Times New Roman" w:eastAsia="黑体" w:cs="Times New Roman"/>
          <w:color w:val="auto"/>
          <w:sz w:val="44"/>
          <w:szCs w:val="44"/>
          <w:highlight w:val="none"/>
        </w:rPr>
      </w:pPr>
    </w:p>
    <w:p>
      <w:pPr>
        <w:pageBreakBefore w:val="0"/>
        <w:kinsoku/>
        <w:wordWrap/>
        <w:overflowPunct/>
        <w:topLinePunct w:val="0"/>
        <w:bidi w:val="0"/>
        <w:spacing w:line="576" w:lineRule="exact"/>
        <w:ind w:firstLine="880" w:firstLineChars="200"/>
        <w:jc w:val="both"/>
        <w:outlineLvl w:val="0"/>
        <w:rPr>
          <w:rFonts w:hint="default" w:ascii="Times New Roman" w:hAnsi="Times New Roman" w:eastAsia="黑体" w:cs="Times New Roman"/>
          <w:color w:val="auto"/>
          <w:sz w:val="44"/>
          <w:szCs w:val="44"/>
          <w:highlight w:val="none"/>
        </w:rPr>
      </w:pPr>
    </w:p>
    <w:p>
      <w:pPr>
        <w:pageBreakBefore w:val="0"/>
        <w:kinsoku/>
        <w:wordWrap/>
        <w:overflowPunct/>
        <w:topLinePunct w:val="0"/>
        <w:bidi w:val="0"/>
        <w:spacing w:line="576" w:lineRule="exact"/>
        <w:ind w:firstLine="880" w:firstLineChars="200"/>
        <w:jc w:val="center"/>
        <w:outlineLvl w:val="0"/>
        <w:rPr>
          <w:rStyle w:val="26"/>
          <w:rFonts w:hint="default" w:ascii="Times New Roman" w:hAnsi="Times New Roman" w:eastAsia="黑体" w:cs="Times New Roman"/>
          <w:b w:val="0"/>
          <w:color w:val="auto"/>
          <w:highlight w:val="none"/>
          <w:lang w:eastAsia="zh-CN"/>
        </w:rPr>
      </w:pPr>
      <w:r>
        <w:rPr>
          <w:rFonts w:hint="default" w:ascii="Times New Roman" w:hAnsi="Times New Roman" w:eastAsia="黑体" w:cs="Times New Roman"/>
          <w:color w:val="auto"/>
          <w:sz w:val="44"/>
          <w:szCs w:val="44"/>
          <w:highlight w:val="none"/>
        </w:rPr>
        <w:t>第</w:t>
      </w:r>
      <w:r>
        <w:rPr>
          <w:rStyle w:val="26"/>
          <w:rFonts w:hint="default" w:ascii="Times New Roman" w:hAnsi="Times New Roman" w:eastAsia="黑体" w:cs="Times New Roman"/>
          <w:b w:val="0"/>
          <w:color w:val="auto"/>
          <w:highlight w:val="none"/>
        </w:rPr>
        <w:t>四部分 附件</w:t>
      </w:r>
      <w:bookmarkEnd w:id="61"/>
    </w:p>
    <w:p>
      <w:pPr>
        <w:keepNext w:val="0"/>
        <w:keepLines w:val="0"/>
        <w:pageBreakBefore w:val="0"/>
        <w:kinsoku/>
        <w:wordWrap/>
        <w:overflowPunct/>
        <w:topLinePunct w:val="0"/>
        <w:autoSpaceDE/>
        <w:autoSpaceDN/>
        <w:bidi w:val="0"/>
        <w:spacing w:line="576" w:lineRule="exact"/>
        <w:ind w:firstLine="640" w:firstLineChars="200"/>
        <w:jc w:val="left"/>
        <w:textAlignment w:val="auto"/>
        <w:outlineLvl w:val="0"/>
        <w:rPr>
          <w:rFonts w:hint="default" w:ascii="Times New Roman" w:hAnsi="Times New Roman" w:eastAsia="方正小标宋简体" w:cs="Times New Roman"/>
          <w:color w:val="auto"/>
          <w:sz w:val="44"/>
          <w:szCs w:val="44"/>
          <w:highlight w:val="none"/>
        </w:rPr>
      </w:pPr>
      <w:r>
        <w:rPr>
          <w:rFonts w:hint="default" w:ascii="Times New Roman" w:hAnsi="Times New Roman" w:eastAsia="黑体" w:cs="Times New Roman"/>
          <w:color w:val="auto"/>
          <w:sz w:val="32"/>
          <w:szCs w:val="32"/>
          <w:highlight w:val="none"/>
        </w:rPr>
        <w:t>附件</w:t>
      </w:r>
    </w:p>
    <w:p>
      <w:pPr>
        <w:keepNext w:val="0"/>
        <w:keepLines w:val="0"/>
        <w:pageBreakBefore w:val="0"/>
        <w:kinsoku/>
        <w:wordWrap/>
        <w:overflowPunct/>
        <w:topLinePunct w:val="0"/>
        <w:autoSpaceDE/>
        <w:autoSpaceDN/>
        <w:bidi w:val="0"/>
        <w:spacing w:line="576" w:lineRule="exact"/>
        <w:ind w:firstLine="800" w:firstLineChars="200"/>
        <w:jc w:val="center"/>
        <w:textAlignment w:val="auto"/>
        <w:rPr>
          <w:rFonts w:hint="default" w:ascii="Times New Roman" w:hAnsi="Times New Roman" w:eastAsia="方正小标宋简体" w:cs="Times New Roman"/>
          <w:color w:val="auto"/>
          <w:kern w:val="0"/>
          <w:sz w:val="40"/>
          <w:szCs w:val="44"/>
          <w:highlight w:val="none"/>
          <w:lang w:val="zh-CN"/>
        </w:rPr>
      </w:pPr>
      <w:r>
        <w:rPr>
          <w:rFonts w:hint="default" w:ascii="Times New Roman" w:hAnsi="Times New Roman" w:eastAsia="方正小标宋简体" w:cs="Times New Roman"/>
          <w:color w:val="auto"/>
          <w:kern w:val="0"/>
          <w:sz w:val="40"/>
          <w:szCs w:val="44"/>
          <w:highlight w:val="none"/>
          <w:lang w:eastAsia="zh-CN"/>
        </w:rPr>
        <w:t>2022年</w:t>
      </w:r>
      <w:r>
        <w:rPr>
          <w:rFonts w:hint="default" w:ascii="Times New Roman" w:hAnsi="Times New Roman" w:eastAsia="方正小标宋简体" w:cs="Times New Roman"/>
          <w:color w:val="auto"/>
          <w:kern w:val="0"/>
          <w:sz w:val="40"/>
          <w:szCs w:val="44"/>
          <w:highlight w:val="none"/>
          <w:lang w:val="en-US" w:eastAsia="zh-CN"/>
        </w:rPr>
        <w:t>中共阿坝县委巡察工作领导小组办公室</w:t>
      </w:r>
      <w:r>
        <w:rPr>
          <w:rFonts w:hint="default" w:ascii="Times New Roman" w:hAnsi="Times New Roman" w:eastAsia="方正小标宋简体" w:cs="Times New Roman"/>
          <w:color w:val="auto"/>
          <w:kern w:val="0"/>
          <w:sz w:val="40"/>
          <w:szCs w:val="44"/>
          <w:highlight w:val="none"/>
        </w:rPr>
        <w:t>整体绩效评价报告</w:t>
      </w:r>
    </w:p>
    <w:p>
      <w:pPr>
        <w:keepNext w:val="0"/>
        <w:keepLines w:val="0"/>
        <w:pageBreakBefore w:val="0"/>
        <w:widowControl/>
        <w:kinsoku/>
        <w:wordWrap/>
        <w:overflowPunct/>
        <w:topLinePunct w:val="0"/>
        <w:autoSpaceDE/>
        <w:autoSpaceDN/>
        <w:bidi w:val="0"/>
        <w:spacing w:line="576" w:lineRule="exact"/>
        <w:ind w:firstLine="640" w:firstLineChars="200"/>
        <w:contextualSpacing/>
        <w:jc w:val="center"/>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6" w:lineRule="exact"/>
        <w:ind w:firstLine="480" w:firstLineChars="200"/>
        <w:contextualSpacing/>
        <w:jc w:val="left"/>
        <w:textAlignment w:val="auto"/>
        <w:rPr>
          <w:rFonts w:hint="default" w:ascii="Times New Roman" w:hAnsi="Times New Roman" w:eastAsia="黑体" w:cs="Times New Roman"/>
          <w:color w:val="auto"/>
          <w:kern w:val="0"/>
          <w:sz w:val="24"/>
          <w:szCs w:val="32"/>
          <w:highlight w:val="none"/>
          <w:shd w:val="clear" w:color="auto" w:fill="FFFFFF"/>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黑体" w:cs="Times New Roman"/>
          <w:color w:val="auto"/>
          <w:kern w:val="0"/>
          <w:sz w:val="32"/>
          <w:szCs w:val="32"/>
          <w:highlight w:val="none"/>
          <w:shd w:val="clear" w:color="auto" w:fill="FFFFFF"/>
          <w:lang w:val="zh-CN"/>
        </w:rPr>
      </w:pPr>
      <w:r>
        <w:rPr>
          <w:rFonts w:hint="default" w:ascii="Times New Roman" w:hAnsi="Times New Roman" w:eastAsia="黑体" w:cs="Times New Roman"/>
          <w:color w:val="auto"/>
          <w:kern w:val="0"/>
          <w:sz w:val="32"/>
          <w:szCs w:val="32"/>
          <w:highlight w:val="none"/>
          <w:shd w:val="clear" w:color="auto" w:fill="FFFFFF"/>
        </w:rPr>
        <w:t>一、</w:t>
      </w:r>
      <w:r>
        <w:rPr>
          <w:rFonts w:hint="default" w:ascii="Times New Roman" w:hAnsi="Times New Roman" w:eastAsia="黑体" w:cs="Times New Roman"/>
          <w:color w:val="auto"/>
          <w:kern w:val="0"/>
          <w:sz w:val="32"/>
          <w:szCs w:val="32"/>
          <w:highlight w:val="none"/>
          <w:shd w:val="clear" w:color="auto" w:fill="FFFFFF"/>
          <w:lang w:val="zh-CN"/>
        </w:rPr>
        <w:t>部门（单位）概况</w:t>
      </w:r>
    </w:p>
    <w:p>
      <w:pPr>
        <w:pageBreakBefore w:val="0"/>
        <w:kinsoku/>
        <w:wordWrap/>
        <w:overflowPunct/>
        <w:topLinePunct w:val="0"/>
        <w:bidi w:val="0"/>
        <w:spacing w:line="576" w:lineRule="exact"/>
        <w:ind w:firstLine="643" w:firstLineChars="200"/>
        <w:rPr>
          <w:rFonts w:hint="default" w:ascii="Times New Roman" w:hAnsi="Times New Roman" w:eastAsia="方正仿宋_GBK" w:cs="Times New Roman"/>
          <w:b/>
          <w:bCs/>
          <w:color w:val="auto"/>
          <w:kern w:val="0"/>
          <w:sz w:val="32"/>
          <w:szCs w:val="32"/>
          <w:highlight w:val="none"/>
          <w:lang w:val="zh-CN" w:eastAsia="zh-CN" w:bidi="ar-SA"/>
        </w:rPr>
      </w:pPr>
      <w:r>
        <w:rPr>
          <w:rFonts w:hint="default" w:ascii="Times New Roman" w:hAnsi="Times New Roman" w:eastAsia="方正仿宋_GBK" w:cs="Times New Roman"/>
          <w:b/>
          <w:bCs/>
          <w:color w:val="auto"/>
          <w:kern w:val="0"/>
          <w:sz w:val="32"/>
          <w:szCs w:val="32"/>
          <w:highlight w:val="none"/>
          <w:lang w:val="zh-CN" w:eastAsia="zh-CN" w:bidi="ar-SA"/>
        </w:rPr>
        <w:t>（一）机构组成。</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本单位本年度纳入本套决算编制范围的独立编制机构数共1个，比上年增加1个，变动情况及原因为人员缺少增加了巡察保障中心；独立核算机构数共1个，比上年增加1个，变动情况及原因为因为人员缺少增加了巡察保障中心。 </w:t>
      </w:r>
    </w:p>
    <w:p>
      <w:pPr>
        <w:pageBreakBefore w:val="0"/>
        <w:kinsoku/>
        <w:wordWrap/>
        <w:overflowPunct/>
        <w:topLinePunct w:val="0"/>
        <w:bidi w:val="0"/>
        <w:spacing w:line="576" w:lineRule="exact"/>
        <w:ind w:firstLine="643" w:firstLineChars="200"/>
        <w:rPr>
          <w:rFonts w:hint="default" w:ascii="Times New Roman" w:hAnsi="Times New Roman" w:eastAsia="方正仿宋_GBK" w:cs="Times New Roman"/>
          <w:b/>
          <w:bCs/>
          <w:color w:val="auto"/>
          <w:kern w:val="0"/>
          <w:sz w:val="32"/>
          <w:szCs w:val="32"/>
          <w:highlight w:val="none"/>
          <w:lang w:val="zh-CN" w:eastAsia="zh-CN" w:bidi="ar-SA"/>
        </w:rPr>
      </w:pPr>
      <w:r>
        <w:rPr>
          <w:rFonts w:hint="default" w:ascii="Times New Roman" w:hAnsi="Times New Roman" w:eastAsia="方正仿宋_GBK" w:cs="Times New Roman"/>
          <w:b/>
          <w:bCs/>
          <w:color w:val="auto"/>
          <w:kern w:val="0"/>
          <w:sz w:val="32"/>
          <w:szCs w:val="32"/>
          <w:highlight w:val="none"/>
          <w:lang w:val="zh-CN" w:eastAsia="zh-CN" w:bidi="ar-SA"/>
        </w:rPr>
        <w:t>（二）机构职能。</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1</w:t>
      </w:r>
      <w:r>
        <w:rPr>
          <w:rFonts w:hint="default" w:ascii="Times New Roman" w:hAnsi="Times New Roman" w:eastAsia="方正仿宋_GBK" w:cs="Times New Roman"/>
          <w:color w:val="auto"/>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制定出台十四届县委巡察工作规划。结合阿坝县巡察工作实际，对十四届县委五年任期内的巡察工作进行统筹规划，加强调查研究，充分征求意见，准确界定巡察对象和延伸巡察对象，制定巡察工作五年规划并报县委常委会审议。</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en-US" w:eastAsia="zh-CN" w:bidi="ar-SA"/>
        </w:rPr>
        <w:t>及时启动十四届县委首轮巡察。落实政治巡察要求，围绕“三个聚焦”监督重点，聚焦中央、省委、州委和县委各项决策部署贯彻落实情况、聚焦群众身边腐败问题和不正之风以及群众反映强烈的问题、聚焦基层党组织建设，着力发现和推动解决存在的突出问题，防止把巡察变成一般业务检查、工作督查，防止用巡察代替职能部门的管理监督。紧盯各级党组织职能责任，及时启动十四届县委首轮常规巡察。</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en-US" w:eastAsia="zh-CN" w:bidi="ar-SA"/>
        </w:rPr>
        <w:t>持续提升巡察工作质量。认真梳理提炼十三届县委巡察工作好经验、好做法。提高巡察政治站位，加强巡察制度建设，精准定位巡察重点，制定针对性的巡察方案，创新巡察方式方法，加强巡察成果运用，着力提升巡察工作质量，切实做到有形覆盖与有效覆盖相统一。</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4.</w:t>
      </w:r>
      <w:r>
        <w:rPr>
          <w:rFonts w:hint="default" w:ascii="Times New Roman" w:hAnsi="Times New Roman" w:eastAsia="方正仿宋_GBK" w:cs="Times New Roman"/>
          <w:color w:val="auto"/>
          <w:kern w:val="0"/>
          <w:sz w:val="32"/>
          <w:szCs w:val="32"/>
          <w:highlight w:val="none"/>
          <w:lang w:val="en-US" w:eastAsia="zh-CN" w:bidi="ar-SA"/>
        </w:rPr>
        <w:t>加强机构队伍建设。建立完善巡察副组长库、人才库等动态调整机制。抓好巡察干部教育培训力度，分层分类组织开展巡察业务培训。强化教育监督管理，打造忠诚干净担当的巡察队伍。畅通晋升交流渠道，激发巡察干部的工作积极性。</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5.</w:t>
      </w:r>
      <w:r>
        <w:rPr>
          <w:rFonts w:hint="default" w:ascii="Times New Roman" w:hAnsi="Times New Roman" w:eastAsia="方正仿宋_GBK" w:cs="Times New Roman"/>
          <w:color w:val="auto"/>
          <w:kern w:val="0"/>
          <w:sz w:val="32"/>
          <w:szCs w:val="32"/>
          <w:highlight w:val="none"/>
          <w:lang w:val="en-US" w:eastAsia="zh-CN" w:bidi="ar-SA"/>
        </w:rPr>
        <w:t>持续加强信息化建设。按照《关于巡视巡察信息化建设的指导意见（试行）》要求，加强巡察信息化工作培训，及时推广运用改版升级后的巡视巡察数据管理系统，完善巡察基础数据资料库，确保数据信息录入规范、准确、及时。</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6.</w:t>
      </w:r>
      <w:r>
        <w:rPr>
          <w:rFonts w:hint="default" w:ascii="Times New Roman" w:hAnsi="Times New Roman" w:eastAsia="方正仿宋_GBK" w:cs="Times New Roman"/>
          <w:color w:val="auto"/>
          <w:kern w:val="0"/>
          <w:sz w:val="32"/>
          <w:szCs w:val="32"/>
          <w:highlight w:val="none"/>
          <w:lang w:val="en-US" w:eastAsia="zh-CN" w:bidi="ar-SA"/>
        </w:rPr>
        <w:t>探索建立巡察整改评估报告机制。认真做好整改情况党内通报、社会公开工作，自觉接受广大党员、干部和群众监督。探索建立评估指标体系，通过整改评估推动做实巡察整改“后半篇文章”。</w:t>
      </w:r>
    </w:p>
    <w:p>
      <w:pPr>
        <w:pageBreakBefore w:val="0"/>
        <w:kinsoku/>
        <w:wordWrap/>
        <w:overflowPunct/>
        <w:topLinePunct w:val="0"/>
        <w:bidi w:val="0"/>
        <w:spacing w:line="576" w:lineRule="exact"/>
        <w:ind w:firstLine="643" w:firstLineChars="200"/>
        <w:rPr>
          <w:rFonts w:hint="default" w:ascii="Times New Roman" w:hAnsi="Times New Roman" w:eastAsia="方正仿宋_GBK" w:cs="Times New Roman"/>
          <w:b/>
          <w:bCs/>
          <w:color w:val="auto"/>
          <w:kern w:val="0"/>
          <w:sz w:val="32"/>
          <w:szCs w:val="32"/>
          <w:highlight w:val="none"/>
          <w:lang w:val="zh-CN" w:eastAsia="zh-CN" w:bidi="ar-SA"/>
        </w:rPr>
      </w:pPr>
      <w:r>
        <w:rPr>
          <w:rFonts w:hint="default" w:ascii="Times New Roman" w:hAnsi="Times New Roman" w:eastAsia="方正仿宋_GBK" w:cs="Times New Roman"/>
          <w:b/>
          <w:bCs/>
          <w:color w:val="auto"/>
          <w:kern w:val="0"/>
          <w:sz w:val="32"/>
          <w:szCs w:val="32"/>
          <w:highlight w:val="none"/>
          <w:lang w:val="zh-CN" w:eastAsia="zh-CN" w:bidi="ar-SA"/>
        </w:rPr>
        <w:t>（</w:t>
      </w:r>
      <w:r>
        <w:rPr>
          <w:rFonts w:hint="default" w:ascii="Times New Roman" w:hAnsi="Times New Roman" w:eastAsia="方正仿宋_GBK" w:cs="Times New Roman"/>
          <w:b/>
          <w:bCs/>
          <w:color w:val="auto"/>
          <w:kern w:val="0"/>
          <w:sz w:val="32"/>
          <w:szCs w:val="32"/>
          <w:highlight w:val="none"/>
          <w:lang w:val="en-US" w:eastAsia="zh-CN" w:bidi="ar-SA"/>
        </w:rPr>
        <w:t>三</w:t>
      </w:r>
      <w:r>
        <w:rPr>
          <w:rFonts w:hint="default" w:ascii="Times New Roman" w:hAnsi="Times New Roman" w:eastAsia="方正仿宋_GBK" w:cs="Times New Roman"/>
          <w:b/>
          <w:bCs/>
          <w:color w:val="auto"/>
          <w:kern w:val="0"/>
          <w:sz w:val="32"/>
          <w:szCs w:val="32"/>
          <w:highlight w:val="none"/>
          <w:lang w:val="zh-CN" w:eastAsia="zh-CN" w:bidi="ar-SA"/>
        </w:rPr>
        <w:t>）</w:t>
      </w:r>
      <w:r>
        <w:rPr>
          <w:rFonts w:hint="default" w:ascii="Times New Roman" w:hAnsi="Times New Roman" w:eastAsia="方正仿宋_GBK" w:cs="Times New Roman"/>
          <w:b/>
          <w:bCs/>
          <w:color w:val="auto"/>
          <w:kern w:val="0"/>
          <w:sz w:val="32"/>
          <w:szCs w:val="32"/>
          <w:highlight w:val="none"/>
          <w:lang w:val="en-US" w:eastAsia="zh-CN" w:bidi="ar-SA"/>
        </w:rPr>
        <w:t>人</w:t>
      </w:r>
      <w:r>
        <w:rPr>
          <w:rFonts w:hint="default" w:ascii="Times New Roman" w:hAnsi="Times New Roman" w:eastAsia="方正仿宋_GBK" w:cs="Times New Roman"/>
          <w:b/>
          <w:bCs/>
          <w:color w:val="auto"/>
          <w:kern w:val="0"/>
          <w:sz w:val="32"/>
          <w:szCs w:val="32"/>
          <w:highlight w:val="none"/>
          <w:lang w:val="zh-CN" w:eastAsia="zh-CN" w:bidi="ar-SA"/>
        </w:rPr>
        <w:t>员概况。</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本单位本年度年末实有人数为5人，比上年增加</w:t>
      </w:r>
      <w:r>
        <w:rPr>
          <w:rFonts w:hint="eastAsia" w:ascii="Times New Roman" w:hAnsi="Times New Roman" w:eastAsia="方正仿宋_GBK" w:cs="Times New Roman"/>
          <w:color w:val="auto"/>
          <w:kern w:val="0"/>
          <w:sz w:val="32"/>
          <w:szCs w:val="32"/>
          <w:highlight w:val="none"/>
          <w:lang w:val="en-US" w:eastAsia="zh-CN" w:bidi="ar-SA"/>
        </w:rPr>
        <w:t>0</w:t>
      </w:r>
      <w:r>
        <w:rPr>
          <w:rFonts w:hint="default" w:ascii="Times New Roman" w:hAnsi="Times New Roman" w:eastAsia="方正仿宋_GBK" w:cs="Times New Roman"/>
          <w:color w:val="auto"/>
          <w:kern w:val="0"/>
          <w:sz w:val="32"/>
          <w:szCs w:val="32"/>
          <w:highlight w:val="none"/>
          <w:lang w:val="en-US" w:eastAsia="zh-CN" w:bidi="ar-SA"/>
        </w:rPr>
        <w:t>人；年末实有离退休人数为0人，比上年增加0人；变动情况及原因为人员缺少增加了巡察保障中心。年末实有其他人数为0人，比上年增加0人；变动情况及原因为人员缺少增加了巡察保障中心。</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黑体" w:cs="Times New Roman"/>
          <w:color w:val="auto"/>
          <w:kern w:val="0"/>
          <w:sz w:val="32"/>
          <w:szCs w:val="32"/>
          <w:highlight w:val="none"/>
          <w:shd w:val="clear" w:color="auto" w:fill="FFFFFF"/>
          <w:lang w:val="en-US" w:eastAsia="zh-CN"/>
        </w:rPr>
      </w:pPr>
      <w:r>
        <w:rPr>
          <w:rFonts w:hint="default" w:ascii="Times New Roman" w:hAnsi="Times New Roman" w:eastAsia="黑体" w:cs="Times New Roman"/>
          <w:color w:val="auto"/>
          <w:kern w:val="0"/>
          <w:sz w:val="32"/>
          <w:szCs w:val="32"/>
          <w:highlight w:val="none"/>
          <w:shd w:val="clear" w:color="auto" w:fill="FFFFFF"/>
          <w:lang w:val="en-US" w:eastAsia="zh-CN"/>
        </w:rPr>
        <w:t>二、部门财政资金收支情况</w:t>
      </w:r>
    </w:p>
    <w:p>
      <w:pPr>
        <w:pageBreakBefore w:val="0"/>
        <w:kinsoku/>
        <w:wordWrap/>
        <w:overflowPunct/>
        <w:topLinePunct w:val="0"/>
        <w:bidi w:val="0"/>
        <w:spacing w:line="576" w:lineRule="exact"/>
        <w:ind w:firstLine="640" w:firstLineChars="200"/>
        <w:rPr>
          <w:rStyle w:val="16"/>
          <w:rFonts w:hint="default" w:ascii="Times New Roman" w:hAnsi="Times New Roman" w:cs="Times New Roman" w:eastAsiaTheme="minorEastAsia"/>
          <w:sz w:val="24"/>
          <w:szCs w:val="24"/>
          <w:lang w:eastAsia="zh-CN"/>
        </w:rPr>
      </w:pPr>
      <w:r>
        <w:rPr>
          <w:rFonts w:hint="default" w:ascii="Times New Roman" w:hAnsi="Times New Roman" w:eastAsia="方正仿宋_GBK" w:cs="Times New Roman"/>
          <w:color w:val="auto"/>
          <w:kern w:val="0"/>
          <w:sz w:val="32"/>
          <w:szCs w:val="32"/>
          <w:highlight w:val="none"/>
          <w:lang w:val="zh-CN" w:eastAsia="zh-CN" w:bidi="ar-SA"/>
        </w:rPr>
        <w:t>（一）部门财政资金收入情况。</w:t>
      </w:r>
      <w:r>
        <w:rPr>
          <w:rFonts w:hint="default" w:ascii="Times New Roman" w:hAnsi="Times New Roman" w:eastAsia="方正仿宋_GBK" w:cs="Times New Roman"/>
          <w:color w:val="auto"/>
          <w:kern w:val="0"/>
          <w:sz w:val="32"/>
          <w:szCs w:val="32"/>
          <w:highlight w:val="none"/>
          <w:lang w:val="en-US" w:eastAsia="zh-CN" w:bidi="ar-SA"/>
        </w:rPr>
        <w:t>本单位本年度收入的年初预算数为</w:t>
      </w:r>
      <w:r>
        <w:rPr>
          <w:rFonts w:hint="default" w:ascii="Times New Roman" w:hAnsi="Times New Roman" w:eastAsia="方正仿宋_GBK" w:cs="Times New Roman"/>
          <w:color w:val="auto"/>
          <w:kern w:val="0"/>
          <w:sz w:val="32"/>
          <w:szCs w:val="32"/>
          <w:highlight w:val="none"/>
          <w:lang w:val="en-US" w:eastAsia="zh-CN" w:bidi="ar-SA"/>
        </w:rPr>
        <w:t>170.52</w:t>
      </w:r>
      <w:r>
        <w:rPr>
          <w:rFonts w:hint="default" w:ascii="Times New Roman" w:hAnsi="Times New Roman" w:eastAsia="方正仿宋_GBK" w:cs="Times New Roman"/>
          <w:color w:val="auto"/>
          <w:kern w:val="0"/>
          <w:sz w:val="32"/>
          <w:szCs w:val="32"/>
          <w:highlight w:val="none"/>
          <w:lang w:val="en-US" w:eastAsia="zh-CN" w:bidi="ar-SA"/>
        </w:rPr>
        <w:t>万元，上年度收入的年初预算数为</w:t>
      </w:r>
      <w:r>
        <w:rPr>
          <w:rFonts w:hint="default" w:ascii="Times New Roman" w:hAnsi="Times New Roman" w:eastAsia="方正仿宋_GBK" w:cs="Times New Roman"/>
          <w:color w:val="auto"/>
          <w:kern w:val="0"/>
          <w:sz w:val="32"/>
          <w:szCs w:val="32"/>
          <w:highlight w:val="none"/>
          <w:lang w:val="en-US" w:eastAsia="zh-CN" w:bidi="ar-SA"/>
        </w:rPr>
        <w:t>87.82</w:t>
      </w:r>
      <w:r>
        <w:rPr>
          <w:rFonts w:hint="default" w:ascii="Times New Roman" w:hAnsi="Times New Roman" w:eastAsia="方正仿宋_GBK" w:cs="Times New Roman"/>
          <w:color w:val="auto"/>
          <w:kern w:val="0"/>
          <w:sz w:val="32"/>
          <w:szCs w:val="32"/>
          <w:highlight w:val="none"/>
          <w:lang w:val="en-US" w:eastAsia="zh-CN" w:bidi="ar-SA"/>
        </w:rPr>
        <w:t>万元，差异为</w:t>
      </w:r>
      <w:r>
        <w:rPr>
          <w:rFonts w:hint="default" w:ascii="Times New Roman" w:hAnsi="Times New Roman" w:eastAsia="方正仿宋_GBK" w:cs="Times New Roman"/>
          <w:color w:val="auto"/>
          <w:kern w:val="0"/>
          <w:sz w:val="32"/>
          <w:szCs w:val="32"/>
          <w:highlight w:val="none"/>
          <w:lang w:val="en-US" w:eastAsia="zh-CN" w:bidi="ar-SA"/>
        </w:rPr>
        <w:t>82.7</w:t>
      </w:r>
      <w:r>
        <w:rPr>
          <w:rFonts w:hint="default" w:ascii="Times New Roman" w:hAnsi="Times New Roman" w:eastAsia="方正仿宋_GBK" w:cs="Times New Roman"/>
          <w:color w:val="auto"/>
          <w:kern w:val="0"/>
          <w:sz w:val="32"/>
          <w:szCs w:val="32"/>
          <w:highlight w:val="none"/>
          <w:lang w:val="en-US" w:eastAsia="zh-CN" w:bidi="ar-SA"/>
        </w:rPr>
        <w:t>万元；</w:t>
      </w:r>
      <w:r>
        <w:rPr>
          <w:rStyle w:val="16"/>
          <w:rFonts w:hint="default" w:ascii="Times New Roman" w:hAnsi="Times New Roman" w:cs="Times New Roman" w:eastAsiaTheme="minorEastAsia"/>
          <w:sz w:val="24"/>
          <w:szCs w:val="24"/>
          <w:lang w:eastAsia="zh-CN"/>
        </w:rPr>
        <w:t>主要原因为2022年工资变动，人员变动。</w:t>
      </w:r>
      <w:r>
        <w:rPr>
          <w:rFonts w:hint="default" w:ascii="Times New Roman" w:hAnsi="Times New Roman" w:eastAsia="方正仿宋_GBK" w:cs="Times New Roman"/>
          <w:color w:val="auto"/>
          <w:kern w:val="0"/>
          <w:sz w:val="32"/>
          <w:szCs w:val="32"/>
          <w:highlight w:val="none"/>
          <w:lang w:val="en-US" w:eastAsia="zh-CN" w:bidi="ar-SA"/>
        </w:rPr>
        <w:t>本年度支出的年初预算数为</w:t>
      </w:r>
      <w:r>
        <w:rPr>
          <w:rFonts w:hint="default" w:ascii="Times New Roman" w:hAnsi="Times New Roman" w:eastAsia="方正仿宋_GBK" w:cs="Times New Roman"/>
          <w:color w:val="auto"/>
          <w:kern w:val="0"/>
          <w:sz w:val="32"/>
          <w:szCs w:val="32"/>
          <w:highlight w:val="none"/>
          <w:lang w:val="en-US" w:eastAsia="zh-CN" w:bidi="ar-SA"/>
        </w:rPr>
        <w:t>170.52</w:t>
      </w:r>
      <w:r>
        <w:rPr>
          <w:rFonts w:hint="default" w:ascii="Times New Roman" w:hAnsi="Times New Roman" w:eastAsia="方正仿宋_GBK" w:cs="Times New Roman"/>
          <w:color w:val="auto"/>
          <w:kern w:val="0"/>
          <w:sz w:val="32"/>
          <w:szCs w:val="32"/>
          <w:highlight w:val="none"/>
          <w:lang w:val="en-US" w:eastAsia="zh-CN" w:bidi="ar-SA"/>
        </w:rPr>
        <w:t>万元，上年度支出的年初预算数为</w:t>
      </w:r>
      <w:r>
        <w:rPr>
          <w:rFonts w:hint="default" w:ascii="Times New Roman" w:hAnsi="Times New Roman" w:eastAsia="方正仿宋_GBK" w:cs="Times New Roman"/>
          <w:color w:val="auto"/>
          <w:kern w:val="0"/>
          <w:sz w:val="32"/>
          <w:szCs w:val="32"/>
          <w:highlight w:val="none"/>
          <w:lang w:val="en-US" w:eastAsia="zh-CN" w:bidi="ar-SA"/>
        </w:rPr>
        <w:t>87.82</w:t>
      </w:r>
      <w:r>
        <w:rPr>
          <w:rFonts w:hint="default" w:ascii="Times New Roman" w:hAnsi="Times New Roman" w:eastAsia="方正仿宋_GBK" w:cs="Times New Roman"/>
          <w:color w:val="auto"/>
          <w:kern w:val="0"/>
          <w:sz w:val="32"/>
          <w:szCs w:val="32"/>
          <w:highlight w:val="none"/>
          <w:lang w:val="en-US" w:eastAsia="zh-CN" w:bidi="ar-SA"/>
        </w:rPr>
        <w:t>万元，差异为</w:t>
      </w:r>
      <w:r>
        <w:rPr>
          <w:rFonts w:hint="default" w:ascii="Times New Roman" w:hAnsi="Times New Roman" w:eastAsia="方正仿宋_GBK" w:cs="Times New Roman"/>
          <w:color w:val="auto"/>
          <w:kern w:val="0"/>
          <w:sz w:val="32"/>
          <w:szCs w:val="32"/>
          <w:highlight w:val="none"/>
          <w:lang w:val="en-US" w:eastAsia="zh-CN" w:bidi="ar-SA"/>
        </w:rPr>
        <w:t>82.7</w:t>
      </w:r>
      <w:r>
        <w:rPr>
          <w:rFonts w:hint="default" w:ascii="Times New Roman" w:hAnsi="Times New Roman" w:eastAsia="方正仿宋_GBK" w:cs="Times New Roman"/>
          <w:color w:val="auto"/>
          <w:kern w:val="0"/>
          <w:sz w:val="32"/>
          <w:szCs w:val="32"/>
          <w:highlight w:val="none"/>
          <w:lang w:val="en-US" w:eastAsia="zh-CN" w:bidi="ar-SA"/>
        </w:rPr>
        <w:t>万元；</w:t>
      </w:r>
      <w:r>
        <w:rPr>
          <w:rStyle w:val="16"/>
          <w:rFonts w:hint="default" w:ascii="Times New Roman" w:hAnsi="Times New Roman" w:cs="Times New Roman" w:eastAsiaTheme="minorEastAsia"/>
          <w:sz w:val="24"/>
          <w:szCs w:val="24"/>
          <w:lang w:eastAsia="zh-CN"/>
        </w:rPr>
        <w:t>主要原因为2022年工资变动，人员变动。</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（二）部门财政资金支出情况。</w:t>
      </w:r>
      <w:r>
        <w:rPr>
          <w:rFonts w:hint="default" w:ascii="Times New Roman" w:hAnsi="Times New Roman" w:eastAsia="方正仿宋_GBK" w:cs="Times New Roman"/>
          <w:color w:val="auto"/>
          <w:kern w:val="0"/>
          <w:sz w:val="32"/>
          <w:szCs w:val="32"/>
          <w:highlight w:val="none"/>
          <w:lang w:val="en-US" w:eastAsia="zh-CN" w:bidi="ar-SA"/>
        </w:rPr>
        <w:t>本单位本年度收入调整预算数为</w:t>
      </w:r>
      <w:r>
        <w:rPr>
          <w:rFonts w:hint="default" w:ascii="Times New Roman" w:hAnsi="Times New Roman" w:eastAsia="方正仿宋_GBK" w:cs="Times New Roman"/>
          <w:color w:val="auto"/>
          <w:kern w:val="0"/>
          <w:sz w:val="32"/>
          <w:szCs w:val="32"/>
          <w:highlight w:val="none"/>
          <w:lang w:val="en-US" w:eastAsia="zh-CN" w:bidi="ar-SA"/>
        </w:rPr>
        <w:t>170.52</w:t>
      </w:r>
      <w:r>
        <w:rPr>
          <w:rFonts w:hint="default" w:ascii="Times New Roman" w:hAnsi="Times New Roman" w:eastAsia="方正仿宋_GBK" w:cs="Times New Roman"/>
          <w:color w:val="auto"/>
          <w:kern w:val="0"/>
          <w:sz w:val="32"/>
          <w:szCs w:val="32"/>
          <w:highlight w:val="none"/>
          <w:lang w:val="en-US" w:eastAsia="zh-CN" w:bidi="ar-SA"/>
        </w:rPr>
        <w:t>万元，收入决算数为</w:t>
      </w:r>
      <w:r>
        <w:rPr>
          <w:rFonts w:hint="default" w:ascii="Times New Roman" w:hAnsi="Times New Roman" w:eastAsia="方正仿宋_GBK" w:cs="Times New Roman"/>
          <w:color w:val="auto"/>
          <w:kern w:val="0"/>
          <w:sz w:val="32"/>
          <w:szCs w:val="32"/>
          <w:highlight w:val="none"/>
          <w:lang w:val="en-US" w:eastAsia="zh-CN" w:bidi="ar-SA"/>
        </w:rPr>
        <w:t>170.52</w:t>
      </w:r>
      <w:r>
        <w:rPr>
          <w:rFonts w:hint="default" w:ascii="Times New Roman" w:hAnsi="Times New Roman" w:eastAsia="方正仿宋_GBK" w:cs="Times New Roman"/>
          <w:color w:val="auto"/>
          <w:kern w:val="0"/>
          <w:sz w:val="32"/>
          <w:szCs w:val="32"/>
          <w:highlight w:val="none"/>
          <w:lang w:val="en-US" w:eastAsia="zh-CN" w:bidi="ar-SA"/>
        </w:rPr>
        <w:t>万元，预算完成度为100.00%，上年度预算完成度为0.00%，</w:t>
      </w:r>
      <w:r>
        <w:rPr>
          <w:rStyle w:val="16"/>
          <w:rFonts w:hint="default" w:ascii="Times New Roman" w:hAnsi="Times New Roman" w:cs="Times New Roman" w:eastAsiaTheme="minorEastAsia"/>
          <w:sz w:val="24"/>
          <w:szCs w:val="24"/>
          <w:lang w:eastAsia="zh-CN"/>
        </w:rPr>
        <w:t>主要原因为2022年工资变动，人员变动。</w:t>
      </w:r>
      <w:r>
        <w:rPr>
          <w:rFonts w:hint="default" w:ascii="Times New Roman" w:hAnsi="Times New Roman" w:eastAsia="方正仿宋_GBK" w:cs="Times New Roman"/>
          <w:color w:val="auto"/>
          <w:kern w:val="0"/>
          <w:sz w:val="32"/>
          <w:szCs w:val="32"/>
          <w:highlight w:val="none"/>
          <w:lang w:val="en-US" w:eastAsia="zh-CN" w:bidi="ar-SA"/>
        </w:rPr>
        <w:t xml:space="preserve"> 本年度支出调整预算数为</w:t>
      </w:r>
      <w:r>
        <w:rPr>
          <w:rFonts w:hint="default" w:ascii="Times New Roman" w:hAnsi="Times New Roman" w:eastAsia="方正仿宋_GBK" w:cs="Times New Roman"/>
          <w:color w:val="auto"/>
          <w:kern w:val="0"/>
          <w:sz w:val="32"/>
          <w:szCs w:val="32"/>
          <w:highlight w:val="none"/>
          <w:lang w:val="en-US" w:eastAsia="zh-CN" w:bidi="ar-SA"/>
        </w:rPr>
        <w:t>170.52</w:t>
      </w:r>
      <w:r>
        <w:rPr>
          <w:rFonts w:hint="default" w:ascii="Times New Roman" w:hAnsi="Times New Roman" w:eastAsia="方正仿宋_GBK" w:cs="Times New Roman"/>
          <w:color w:val="auto"/>
          <w:kern w:val="0"/>
          <w:sz w:val="32"/>
          <w:szCs w:val="32"/>
          <w:highlight w:val="none"/>
          <w:lang w:val="en-US" w:eastAsia="zh-CN" w:bidi="ar-SA"/>
        </w:rPr>
        <w:t>万元，支出决算数为</w:t>
      </w:r>
      <w:r>
        <w:rPr>
          <w:rFonts w:hint="default" w:ascii="Times New Roman" w:hAnsi="Times New Roman" w:eastAsia="方正仿宋_GBK" w:cs="Times New Roman"/>
          <w:color w:val="auto"/>
          <w:kern w:val="0"/>
          <w:sz w:val="32"/>
          <w:szCs w:val="32"/>
          <w:highlight w:val="none"/>
          <w:lang w:val="en-US" w:eastAsia="zh-CN" w:bidi="ar-SA"/>
        </w:rPr>
        <w:t>170.52</w:t>
      </w:r>
      <w:r>
        <w:rPr>
          <w:rFonts w:hint="default" w:ascii="Times New Roman" w:hAnsi="Times New Roman" w:eastAsia="方正仿宋_GBK" w:cs="Times New Roman"/>
          <w:color w:val="auto"/>
          <w:kern w:val="0"/>
          <w:sz w:val="32"/>
          <w:szCs w:val="32"/>
          <w:highlight w:val="none"/>
          <w:lang w:val="en-US" w:eastAsia="zh-CN" w:bidi="ar-SA"/>
        </w:rPr>
        <w:t>万元，预算完成度为100.00%，上年度预算完成度为0.00%，</w:t>
      </w:r>
      <w:r>
        <w:rPr>
          <w:rStyle w:val="16"/>
          <w:rFonts w:hint="default" w:ascii="Times New Roman" w:hAnsi="Times New Roman" w:cs="Times New Roman" w:eastAsiaTheme="minorEastAsia"/>
          <w:sz w:val="24"/>
          <w:szCs w:val="24"/>
          <w:lang w:eastAsia="zh-CN"/>
        </w:rPr>
        <w:t>主要原因为2022年工资变动，人员变动。</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三、</w:t>
      </w:r>
      <w:r>
        <w:rPr>
          <w:rFonts w:hint="default" w:ascii="Times New Roman" w:hAnsi="Times New Roman" w:eastAsia="黑体" w:cs="Times New Roman"/>
          <w:color w:val="auto"/>
          <w:kern w:val="0"/>
          <w:sz w:val="32"/>
          <w:szCs w:val="32"/>
          <w:highlight w:val="none"/>
          <w:u w:val="none"/>
          <w:shd w:val="clear" w:color="auto" w:fill="FFFFFF"/>
        </w:rPr>
        <w:t>部门整体预算绩效管理情况</w:t>
      </w:r>
      <w:r>
        <w:rPr>
          <w:rFonts w:hint="default" w:ascii="Times New Roman" w:hAnsi="Times New Roman" w:eastAsia="黑体" w:cs="Times New Roman"/>
          <w:color w:val="auto"/>
          <w:kern w:val="0"/>
          <w:sz w:val="32"/>
          <w:szCs w:val="32"/>
          <w:highlight w:val="none"/>
          <w:shd w:val="clear" w:color="auto" w:fill="FFFFFF"/>
        </w:rPr>
        <w:t>（</w:t>
      </w:r>
      <w:r>
        <w:rPr>
          <w:rFonts w:hint="default" w:ascii="Times New Roman" w:hAnsi="Times New Roman" w:eastAsia="黑体" w:cs="Times New Roman"/>
          <w:color w:val="auto"/>
          <w:kern w:val="0"/>
          <w:sz w:val="32"/>
          <w:szCs w:val="32"/>
          <w:highlight w:val="none"/>
          <w:shd w:val="clear" w:color="auto" w:fill="FFFFFF"/>
          <w:lang w:eastAsia="zh-CN"/>
        </w:rPr>
        <w:t>涉及到有专项预算的部门，专项预算项目自评报告作为附件报送；</w:t>
      </w:r>
      <w:r>
        <w:rPr>
          <w:rFonts w:hint="default" w:ascii="Times New Roman" w:hAnsi="Times New Roman" w:eastAsia="黑体" w:cs="Times New Roman"/>
          <w:color w:val="auto"/>
          <w:kern w:val="0"/>
          <w:sz w:val="32"/>
          <w:szCs w:val="32"/>
          <w:highlight w:val="none"/>
          <w:shd w:val="clear" w:color="auto" w:fill="FFFFFF"/>
          <w:lang w:val="en-US" w:eastAsia="zh-CN"/>
        </w:rPr>
        <w:t>特定目标类部门预算项目绩效目标自评表作为附表报送</w:t>
      </w:r>
      <w:r>
        <w:rPr>
          <w:rFonts w:hint="default" w:ascii="Times New Roman" w:hAnsi="Times New Roman" w:eastAsia="黑体" w:cs="Times New Roman"/>
          <w:color w:val="auto"/>
          <w:kern w:val="0"/>
          <w:sz w:val="32"/>
          <w:szCs w:val="32"/>
          <w:highlight w:val="none"/>
          <w:shd w:val="clear" w:color="auto" w:fill="FFFFFF"/>
        </w:rPr>
        <w:t>）</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（一）部门预算项目绩效管理。</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（二）</w:t>
      </w:r>
      <w:r>
        <w:rPr>
          <w:rFonts w:hint="default" w:ascii="Times New Roman" w:hAnsi="Times New Roman" w:eastAsia="方正仿宋_GBK" w:cs="Times New Roman"/>
          <w:color w:val="auto"/>
          <w:kern w:val="0"/>
          <w:sz w:val="32"/>
          <w:szCs w:val="32"/>
          <w:highlight w:val="none"/>
          <w:lang w:val="zh-CN" w:eastAsia="zh-CN" w:bidi="ar-SA"/>
        </w:rPr>
        <w:t>结果应用情况。</w:t>
      </w:r>
    </w:p>
    <w:p>
      <w:pPr>
        <w:pStyle w:val="2"/>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w:t>
      </w:r>
      <w:r>
        <w:rPr>
          <w:rFonts w:hint="default" w:ascii="Times New Roman" w:hAnsi="Times New Roman" w:eastAsia="方正仿宋_GBK" w:cs="Times New Roman"/>
          <w:color w:val="auto"/>
          <w:kern w:val="0"/>
          <w:sz w:val="32"/>
          <w:szCs w:val="32"/>
          <w:highlight w:val="none"/>
          <w:lang w:val="en-US" w:eastAsia="zh-CN" w:bidi="ar-SA"/>
        </w:rPr>
        <w:t>三</w:t>
      </w:r>
      <w:r>
        <w:rPr>
          <w:rFonts w:hint="default" w:ascii="Times New Roman" w:hAnsi="Times New Roman" w:eastAsia="方正仿宋_GBK" w:cs="Times New Roman"/>
          <w:color w:val="auto"/>
          <w:kern w:val="0"/>
          <w:sz w:val="32"/>
          <w:szCs w:val="32"/>
          <w:highlight w:val="none"/>
          <w:lang w:val="zh-CN" w:eastAsia="zh-CN" w:bidi="ar-SA"/>
        </w:rPr>
        <w:t>）</w:t>
      </w:r>
      <w:r>
        <w:rPr>
          <w:rFonts w:hint="default" w:ascii="Times New Roman" w:hAnsi="Times New Roman" w:eastAsia="方正仿宋_GBK" w:cs="Times New Roman"/>
          <w:color w:val="auto"/>
          <w:kern w:val="0"/>
          <w:sz w:val="32"/>
          <w:szCs w:val="32"/>
          <w:highlight w:val="none"/>
          <w:lang w:val="zh-CN" w:eastAsia="zh-CN" w:bidi="ar-SA"/>
        </w:rPr>
        <w:t>自评质量</w:t>
      </w:r>
    </w:p>
    <w:p>
      <w:pPr>
        <w:pStyle w:val="2"/>
        <w:pageBreakBefore w:val="0"/>
        <w:kinsoku/>
        <w:wordWrap/>
        <w:overflowPunct/>
        <w:topLinePunct w:val="0"/>
        <w:bidi w:val="0"/>
        <w:spacing w:line="576" w:lineRule="exact"/>
        <w:ind w:firstLine="640" w:firstLineChars="200"/>
        <w:rPr>
          <w:rFonts w:hint="default" w:ascii="Times New Roman" w:hAnsi="Times New Roman" w:eastAsia="仿宋_GB2312" w:cs="Times New Roman"/>
          <w:color w:val="auto"/>
          <w:kern w:val="0"/>
          <w:sz w:val="32"/>
          <w:szCs w:val="32"/>
          <w:highlight w:val="none"/>
          <w:shd w:val="clear" w:color="auto" w:fill="FFFFFF"/>
          <w:lang w:val="en-US" w:eastAsia="zh-CN"/>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auto"/>
          <w:kern w:val="0"/>
          <w:sz w:val="32"/>
          <w:szCs w:val="32"/>
          <w:highlight w:val="none"/>
          <w:shd w:val="clear" w:color="auto" w:fill="FFFFFF"/>
          <w:lang w:val="zh-CN"/>
        </w:rPr>
      </w:pPr>
      <w:r>
        <w:rPr>
          <w:rFonts w:hint="default" w:ascii="Times New Roman" w:hAnsi="Times New Roman" w:eastAsia="仿宋_GB2312" w:cs="Times New Roman"/>
          <w:color w:val="auto"/>
          <w:kern w:val="0"/>
          <w:sz w:val="32"/>
          <w:szCs w:val="32"/>
          <w:highlight w:val="none"/>
          <w:shd w:val="clear" w:color="auto" w:fill="FFFFFF"/>
          <w:lang w:val="zh-CN"/>
        </w:rPr>
        <w:t>（一）评价结论。</w:t>
      </w:r>
    </w:p>
    <w:p>
      <w:pPr>
        <w:pStyle w:val="2"/>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widowControl/>
        <w:numPr>
          <w:ilvl w:val="0"/>
          <w:numId w:val="5"/>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shd w:val="clear" w:color="auto" w:fill="FFFFFF"/>
          <w:lang w:val="zh-CN"/>
        </w:rPr>
      </w:pPr>
      <w:r>
        <w:rPr>
          <w:rFonts w:hint="default" w:ascii="Times New Roman" w:hAnsi="Times New Roman" w:eastAsia="仿宋_GB2312" w:cs="Times New Roman"/>
          <w:color w:val="auto"/>
          <w:kern w:val="0"/>
          <w:sz w:val="32"/>
          <w:szCs w:val="32"/>
          <w:highlight w:val="none"/>
          <w:shd w:val="clear" w:color="auto" w:fill="FFFFFF"/>
          <w:lang w:val="zh-CN"/>
        </w:rPr>
        <w:t>存在问题。</w:t>
      </w:r>
    </w:p>
    <w:p>
      <w:pPr>
        <w:pStyle w:val="2"/>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auto"/>
          <w:kern w:val="0"/>
          <w:sz w:val="32"/>
          <w:szCs w:val="32"/>
          <w:highlight w:val="none"/>
          <w:shd w:val="clear" w:color="auto" w:fill="FFFFFF"/>
          <w:lang w:val="zh-CN"/>
        </w:rPr>
      </w:pPr>
      <w:r>
        <w:rPr>
          <w:rFonts w:hint="default" w:ascii="Times New Roman" w:hAnsi="Times New Roman" w:eastAsia="仿宋_GB2312" w:cs="Times New Roman"/>
          <w:color w:val="auto"/>
          <w:kern w:val="0"/>
          <w:sz w:val="32"/>
          <w:szCs w:val="32"/>
          <w:highlight w:val="none"/>
          <w:shd w:val="clear" w:color="auto" w:fill="FFFFFF"/>
          <w:lang w:val="zh-CN"/>
        </w:rPr>
        <w:t>（三）改进建议。</w:t>
      </w:r>
    </w:p>
    <w:p>
      <w:pPr>
        <w:pStyle w:val="2"/>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 xml:space="preserve">无 </w:t>
      </w: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kern w:val="0"/>
          <w:sz w:val="32"/>
          <w:szCs w:val="32"/>
          <w:highlight w:val="none"/>
          <w:shd w:val="clear" w:color="auto" w:fill="FFFFFF"/>
          <w:lang w:val="zh-CN"/>
        </w:rPr>
      </w:pPr>
    </w:p>
    <w:p>
      <w:pPr>
        <w:pStyle w:val="2"/>
        <w:pageBreakBefore w:val="0"/>
        <w:kinsoku/>
        <w:wordWrap/>
        <w:overflowPunct/>
        <w:topLinePunct w:val="0"/>
        <w:bidi w:val="0"/>
        <w:spacing w:line="576" w:lineRule="exact"/>
        <w:ind w:firstLine="640" w:firstLineChars="200"/>
        <w:rPr>
          <w:rFonts w:hint="default" w:ascii="Times New Roman" w:hAnsi="Times New Roman" w:cs="Times New Roman"/>
          <w:color w:val="auto"/>
          <w:highlight w:val="none"/>
          <w:lang w:val="zh-CN"/>
        </w:rPr>
      </w:pPr>
      <w:r>
        <w:rPr>
          <w:rFonts w:hint="default" w:ascii="Times New Roman" w:hAnsi="Times New Roman" w:cs="Times New Roman"/>
          <w:color w:val="auto"/>
          <w:kern w:val="0"/>
          <w:sz w:val="32"/>
          <w:szCs w:val="32"/>
          <w:highlight w:val="none"/>
          <w:shd w:val="clear" w:color="auto" w:fill="FFFFFF"/>
          <w:lang w:val="zh-CN"/>
        </w:rPr>
        <w:t>附件</w:t>
      </w:r>
    </w:p>
    <w:p>
      <w:pPr>
        <w:keepNext w:val="0"/>
        <w:keepLines w:val="0"/>
        <w:pageBreakBefore w:val="0"/>
        <w:widowControl w:val="0"/>
        <w:kinsoku/>
        <w:wordWrap/>
        <w:overflowPunct/>
        <w:topLinePunct w:val="0"/>
        <w:autoSpaceDE/>
        <w:autoSpaceDN/>
        <w:bidi w:val="0"/>
        <w:spacing w:line="576" w:lineRule="exact"/>
        <w:ind w:firstLine="800" w:firstLineChars="200"/>
        <w:jc w:val="center"/>
        <w:textAlignment w:val="auto"/>
        <w:rPr>
          <w:rFonts w:hint="default" w:ascii="Times New Roman" w:hAnsi="Times New Roman" w:eastAsia="方正小标宋简体" w:cs="Times New Roman"/>
          <w:color w:val="auto"/>
          <w:kern w:val="2"/>
          <w:sz w:val="40"/>
          <w:szCs w:val="40"/>
          <w:highlight w:val="none"/>
          <w:lang w:val="zh-CN" w:eastAsia="zh-CN" w:bidi="ar-SA"/>
        </w:rPr>
      </w:pPr>
      <w:r>
        <w:rPr>
          <w:rFonts w:hint="default" w:ascii="Times New Roman" w:hAnsi="Times New Roman" w:eastAsia="方正小标宋简体" w:cs="Times New Roman"/>
          <w:color w:val="auto"/>
          <w:kern w:val="2"/>
          <w:sz w:val="40"/>
          <w:szCs w:val="40"/>
          <w:highlight w:val="none"/>
          <w:lang w:val="en-US" w:eastAsia="zh-CN" w:bidi="ar-SA"/>
        </w:rPr>
        <w:t>2022年</w:t>
      </w:r>
      <w:r>
        <w:rPr>
          <w:rFonts w:hint="default" w:ascii="Times New Roman" w:hAnsi="Times New Roman" w:eastAsia="方正小标宋简体" w:cs="Times New Roman"/>
          <w:color w:val="auto"/>
          <w:kern w:val="2"/>
          <w:sz w:val="40"/>
          <w:szCs w:val="40"/>
          <w:highlight w:val="none"/>
          <w:lang w:val="zh-CN" w:eastAsia="zh-CN" w:bidi="ar-SA"/>
        </w:rPr>
        <w:t>专项预算项目支出绩效自评报告范本</w:t>
      </w:r>
    </w:p>
    <w:p>
      <w:pPr>
        <w:keepNext w:val="0"/>
        <w:keepLines w:val="0"/>
        <w:pageBreakBefore w:val="0"/>
        <w:widowControl w:val="0"/>
        <w:kinsoku/>
        <w:wordWrap/>
        <w:overflowPunct/>
        <w:topLinePunct w:val="0"/>
        <w:autoSpaceDE/>
        <w:autoSpaceDN/>
        <w:bidi w:val="0"/>
        <w:spacing w:line="576" w:lineRule="exact"/>
        <w:ind w:firstLine="640" w:firstLineChars="200"/>
        <w:jc w:val="center"/>
        <w:textAlignment w:val="auto"/>
        <w:rPr>
          <w:rFonts w:hint="default" w:ascii="Times New Roman" w:hAnsi="Times New Roman" w:eastAsia="仿宋_GB2312" w:cs="Times New Roman"/>
          <w:color w:val="auto"/>
          <w:kern w:val="2"/>
          <w:sz w:val="32"/>
          <w:szCs w:val="32"/>
          <w:highlight w:val="none"/>
          <w:lang w:val="zh-CN" w:eastAsia="zh-CN" w:bidi="ar-SA"/>
        </w:rPr>
      </w:pPr>
      <w:r>
        <w:rPr>
          <w:rFonts w:hint="default" w:ascii="Times New Roman" w:hAnsi="Times New Roman" w:eastAsia="仿宋_GB2312" w:cs="Times New Roman"/>
          <w:color w:val="auto"/>
          <w:kern w:val="2"/>
          <w:sz w:val="32"/>
          <w:szCs w:val="32"/>
          <w:highlight w:val="none"/>
          <w:lang w:val="zh-CN" w:eastAsia="zh-CN" w:bidi="ar-SA"/>
        </w:rPr>
        <w:t>（主管部门自评）</w:t>
      </w:r>
    </w:p>
    <w:p>
      <w:pPr>
        <w:keepNext w:val="0"/>
        <w:keepLines w:val="0"/>
        <w:pageBreakBefore w:val="0"/>
        <w:widowControl w:val="0"/>
        <w:kinsoku/>
        <w:wordWrap/>
        <w:overflowPunct/>
        <w:topLinePunct w:val="0"/>
        <w:autoSpaceDE/>
        <w:autoSpaceDN/>
        <w:bidi w:val="0"/>
        <w:spacing w:line="576" w:lineRule="exact"/>
        <w:ind w:firstLine="640" w:firstLineChars="200"/>
        <w:jc w:val="center"/>
        <w:textAlignment w:val="auto"/>
        <w:rPr>
          <w:rFonts w:hint="default" w:ascii="Times New Roman" w:hAnsi="Times New Roman" w:eastAsia="宋体" w:cs="Times New Roman"/>
          <w:color w:val="auto"/>
          <w:kern w:val="2"/>
          <w:sz w:val="32"/>
          <w:szCs w:val="32"/>
          <w:highlight w:val="none"/>
          <w:lang w:val="zh-CN" w:eastAsia="zh-CN" w:bidi="ar-SA"/>
        </w:rPr>
      </w:pP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黑体" w:cs="Times New Roman"/>
          <w:color w:val="auto"/>
          <w:sz w:val="32"/>
          <w:szCs w:val="32"/>
          <w:highlight w:val="none"/>
          <w:lang w:val="zh-CN"/>
        </w:rPr>
      </w:pPr>
      <w:r>
        <w:rPr>
          <w:rFonts w:hint="default" w:ascii="Times New Roman" w:hAnsi="Times New Roman" w:eastAsia="黑体" w:cs="Times New Roman"/>
          <w:color w:val="auto"/>
          <w:sz w:val="32"/>
          <w:szCs w:val="32"/>
          <w:highlight w:val="none"/>
        </w:rPr>
        <w:t>一、</w:t>
      </w:r>
      <w:r>
        <w:rPr>
          <w:rFonts w:hint="default" w:ascii="Times New Roman" w:hAnsi="Times New Roman" w:eastAsia="黑体" w:cs="Times New Roman"/>
          <w:color w:val="auto"/>
          <w:sz w:val="32"/>
          <w:szCs w:val="32"/>
          <w:highlight w:val="none"/>
          <w:lang w:val="zh-CN"/>
        </w:rPr>
        <w:t>项目概况</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（一）项目基本情况。</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1．说明项目主管部门（单位）在该项目管理中的职能。</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zh-CN" w:eastAsia="zh-CN" w:bidi="ar-SA"/>
        </w:rPr>
        <w:t>项目立项、资金申报的依据。</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zh-CN" w:eastAsia="zh-CN" w:bidi="ar-SA"/>
        </w:rPr>
        <w:t>资金管理办法制定情况，资金支持具体项目的条件、范围与支持方式概况。</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4.</w:t>
      </w:r>
      <w:r>
        <w:rPr>
          <w:rFonts w:hint="default" w:ascii="Times New Roman" w:hAnsi="Times New Roman" w:eastAsia="方正仿宋_GBK" w:cs="Times New Roman"/>
          <w:color w:val="auto"/>
          <w:kern w:val="0"/>
          <w:sz w:val="32"/>
          <w:szCs w:val="32"/>
          <w:highlight w:val="none"/>
          <w:lang w:val="zh-CN" w:eastAsia="zh-CN" w:bidi="ar-SA"/>
        </w:rPr>
        <w:t>资金分配的原则及考虑因素。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（二）项目绩效目标。</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1．项目主要内容。</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zh-CN" w:eastAsia="zh-CN" w:bidi="ar-SA"/>
        </w:rPr>
        <w:t>项目应实现的具体绩效目标，包括目标的量化、细化情况以及项目实施进度计划等。</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zh-CN" w:eastAsia="zh-CN" w:bidi="ar-SA"/>
        </w:rPr>
        <w:t>分析评价申报内容是否与实际相符，申报目标是否合理可行。</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（三）项目自评步骤及方法。</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二、项目资金申报及使用情况</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（一）项目资金申报及批复情况。</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仿宋_GB2312" w:cs="Times New Roman"/>
          <w:color w:val="auto"/>
          <w:sz w:val="32"/>
          <w:szCs w:val="32"/>
          <w:highlight w:val="none"/>
          <w:lang w:val="zh-CN"/>
        </w:rPr>
        <w:t>说明项目资金申报、批复及预算调整等程序的相关情况。</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（二）资金计划、到位及使用情况（可用表格形式反映）。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1．资金计划。</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zh-CN" w:eastAsia="zh-CN" w:bidi="ar-SA"/>
        </w:rPr>
        <w:t>资金到位。</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zh-CN" w:eastAsia="zh-CN" w:bidi="ar-SA"/>
        </w:rPr>
        <w:t>资金使用。</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（三）项目财务管理情况。</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三、项目实施及管理情况</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结合项目组织实施管理办法，重点围绕以下内容进行分析评价，并对自评中发现的问题分析说明。</w:t>
      </w:r>
    </w:p>
    <w:p>
      <w:pPr>
        <w:keepNext w:val="0"/>
        <w:keepLines w:val="0"/>
        <w:pageBreakBefore w:val="0"/>
        <w:numPr>
          <w:ilvl w:val="0"/>
          <w:numId w:val="6"/>
        </w:numPr>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项目组织架构及实施流程。</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（二）项目管理情况。</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（三）项目监管情况。</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黑体" w:cs="Times New Roman"/>
          <w:color w:val="auto"/>
          <w:sz w:val="32"/>
          <w:szCs w:val="32"/>
          <w:highlight w:val="none"/>
        </w:rPr>
        <w:t>四、项目绩效情况</w:t>
      </w:r>
      <w:r>
        <w:rPr>
          <w:rFonts w:hint="default" w:ascii="Times New Roman" w:hAnsi="Times New Roman" w:eastAsia="仿宋_GB2312" w:cs="Times New Roman"/>
          <w:color w:val="auto"/>
          <w:sz w:val="32"/>
          <w:szCs w:val="32"/>
          <w:highlight w:val="none"/>
          <w:lang w:val="zh-CN"/>
        </w:rPr>
        <w:tab/>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（一）项目完成情况。</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（二）项目效益情况。</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五、评价结论及建议</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（一）评价结论。</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（二）存在的问题。</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楷体_GB2312" w:cs="Times New Roman"/>
          <w:b/>
          <w:color w:val="auto"/>
          <w:sz w:val="32"/>
          <w:szCs w:val="32"/>
          <w:highlight w:val="none"/>
          <w:lang w:val="zh-CN"/>
        </w:rPr>
      </w:pPr>
      <w:r>
        <w:rPr>
          <w:rFonts w:hint="default" w:ascii="Times New Roman" w:hAnsi="Times New Roman" w:eastAsia="楷体_GB2312" w:cs="Times New Roman"/>
          <w:b/>
          <w:color w:val="auto"/>
          <w:sz w:val="32"/>
          <w:szCs w:val="32"/>
          <w:highlight w:val="none"/>
          <w:lang w:val="zh-CN"/>
        </w:rPr>
        <w:t>（三）相关建议。</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en-US" w:eastAsia="zh-CN" w:bidi="ar-SA"/>
        </w:rPr>
        <w:t>无</w:t>
      </w:r>
    </w:p>
    <w:p>
      <w:pPr>
        <w:pStyle w:val="2"/>
        <w:pageBreakBefore w:val="0"/>
        <w:kinsoku/>
        <w:wordWrap/>
        <w:overflowPunct/>
        <w:topLinePunct w:val="0"/>
        <w:bidi w:val="0"/>
        <w:spacing w:line="576" w:lineRule="exact"/>
        <w:ind w:firstLine="600" w:firstLineChars="200"/>
        <w:rPr>
          <w:rFonts w:hint="default" w:ascii="Times New Roman" w:hAnsi="Times New Roman" w:cs="Times New Roman"/>
          <w:color w:val="auto"/>
          <w:highlight w:val="none"/>
          <w:lang w:val="zh-CN"/>
        </w:rPr>
      </w:pPr>
    </w:p>
    <w:p>
      <w:pPr>
        <w:pStyle w:val="2"/>
        <w:pageBreakBefore w:val="0"/>
        <w:kinsoku/>
        <w:wordWrap/>
        <w:overflowPunct/>
        <w:topLinePunct w:val="0"/>
        <w:bidi w:val="0"/>
        <w:spacing w:line="576" w:lineRule="exact"/>
        <w:ind w:firstLine="600" w:firstLineChars="200"/>
        <w:rPr>
          <w:rFonts w:hint="default" w:ascii="Times New Roman" w:hAnsi="Times New Roman" w:cs="Times New Roman"/>
          <w:color w:val="auto"/>
          <w:highlight w:val="none"/>
          <w:lang w:val="zh-CN"/>
        </w:rPr>
      </w:pPr>
    </w:p>
    <w:p>
      <w:pPr>
        <w:pStyle w:val="2"/>
        <w:pageBreakBefore w:val="0"/>
        <w:kinsoku/>
        <w:wordWrap/>
        <w:overflowPunct/>
        <w:topLinePunct w:val="0"/>
        <w:bidi w:val="0"/>
        <w:spacing w:line="576" w:lineRule="exact"/>
        <w:ind w:firstLine="600" w:firstLineChars="200"/>
        <w:rPr>
          <w:rFonts w:hint="default" w:ascii="Times New Roman" w:hAnsi="Times New Roman" w:cs="Times New Roman"/>
          <w:color w:val="auto"/>
          <w:highlight w:val="none"/>
          <w:lang w:val="zh-CN"/>
        </w:rPr>
      </w:pPr>
    </w:p>
    <w:p>
      <w:pPr>
        <w:pStyle w:val="2"/>
        <w:pageBreakBefore w:val="0"/>
        <w:kinsoku/>
        <w:wordWrap/>
        <w:overflowPunct/>
        <w:topLinePunct w:val="0"/>
        <w:bidi w:val="0"/>
        <w:spacing w:line="576" w:lineRule="exact"/>
        <w:ind w:firstLine="600" w:firstLineChars="200"/>
        <w:rPr>
          <w:rFonts w:hint="default" w:ascii="Times New Roman" w:hAnsi="Times New Roman" w:cs="Times New Roman"/>
          <w:color w:val="auto"/>
          <w:highlight w:val="none"/>
          <w:lang w:val="zh-CN"/>
        </w:rPr>
      </w:pPr>
    </w:p>
    <w:p>
      <w:pPr>
        <w:pStyle w:val="2"/>
        <w:pageBreakBefore w:val="0"/>
        <w:kinsoku/>
        <w:wordWrap/>
        <w:overflowPunct/>
        <w:topLinePunct w:val="0"/>
        <w:bidi w:val="0"/>
        <w:spacing w:line="576" w:lineRule="exact"/>
        <w:ind w:firstLine="600" w:firstLineChars="200"/>
        <w:rPr>
          <w:rFonts w:hint="default" w:ascii="Times New Roman" w:hAnsi="Times New Roman" w:cs="Times New Roman"/>
          <w:color w:val="auto"/>
          <w:highlight w:val="none"/>
          <w:lang w:val="zh-CN"/>
        </w:rPr>
      </w:pPr>
    </w:p>
    <w:tbl>
      <w:tblPr>
        <w:tblStyle w:val="14"/>
        <w:tblpPr w:leftFromText="180" w:rightFromText="180" w:vertAnchor="text" w:horzAnchor="page" w:tblpX="1281" w:tblpY="660"/>
        <w:tblOverlap w:val="never"/>
        <w:tblW w:w="98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77"/>
        <w:gridCol w:w="1142"/>
        <w:gridCol w:w="1635"/>
        <w:gridCol w:w="1189"/>
        <w:gridCol w:w="1224"/>
        <w:gridCol w:w="2410"/>
        <w:gridCol w:w="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bidi w:val="0"/>
              <w:spacing w:beforeAutospacing="0" w:line="576" w:lineRule="exact"/>
              <w:ind w:firstLine="643" w:firstLineChars="200"/>
              <w:jc w:val="both"/>
              <w:textAlignment w:val="center"/>
              <w:rPr>
                <w:rFonts w:hint="default" w:ascii="Times New Roman" w:hAnsi="Times New Roman" w:eastAsia="宋体" w:cs="Times New Roman"/>
                <w:b/>
                <w:i w:val="0"/>
                <w:color w:val="auto"/>
                <w:sz w:val="32"/>
                <w:szCs w:val="32"/>
                <w:highlight w:val="none"/>
                <w:u w:val="none"/>
              </w:rPr>
            </w:pPr>
            <w:r>
              <w:rPr>
                <w:rFonts w:hint="default" w:ascii="Times New Roman" w:hAnsi="Times New Roman" w:cs="Times New Roman"/>
                <w:b/>
                <w:i w:val="0"/>
                <w:color w:val="auto"/>
                <w:sz w:val="32"/>
                <w:szCs w:val="32"/>
                <w:highlight w:val="none"/>
                <w:u w:val="none"/>
                <w:lang w:val="en-US" w:eastAsia="zh-CN"/>
              </w:rPr>
              <w:t>2022年</w:t>
            </w:r>
            <w:r>
              <w:rPr>
                <w:rFonts w:hint="default" w:ascii="Times New Roman" w:hAnsi="Times New Roman" w:eastAsia="宋体" w:cs="Times New Roman"/>
                <w:b/>
                <w:i w:val="0"/>
                <w:color w:val="auto"/>
                <w:sz w:val="32"/>
                <w:szCs w:val="32"/>
                <w:highlight w:val="none"/>
                <w:u w:val="none"/>
                <w:lang w:val="en-US" w:eastAsia="zh-CN"/>
              </w:rPr>
              <w:t>100万元以上（含）特定目标类部门预算项目绩效目标自评</w:t>
            </w:r>
          </w:p>
        </w:tc>
        <w:tc>
          <w:tcPr>
            <w:tcW w:w="234" w:type="dxa"/>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bidi w:val="0"/>
              <w:spacing w:line="576" w:lineRule="exact"/>
              <w:ind w:firstLine="643" w:firstLineChars="200"/>
              <w:jc w:val="center"/>
              <w:textAlignment w:val="center"/>
              <w:rPr>
                <w:rFonts w:hint="default" w:ascii="Times New Roman" w:hAnsi="Times New Roman" w:eastAsia="宋体" w:cs="Times New Roman"/>
                <w:b/>
                <w:i w:val="0"/>
                <w:color w:val="auto"/>
                <w:kern w:val="0"/>
                <w:sz w:val="32"/>
                <w:szCs w:val="3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center"/>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both"/>
              <w:textAlignment w:val="center"/>
              <w:rPr>
                <w:rFonts w:hint="default" w:ascii="Times New Roman" w:hAnsi="Times New Roman" w:eastAsia="宋体" w:cs="Times New Roman"/>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center"/>
              <w:textAlignment w:val="center"/>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项目预算</w:t>
            </w:r>
            <w:r>
              <w:rPr>
                <w:rFonts w:hint="default" w:ascii="Times New Roman" w:hAnsi="Times New Roman" w:eastAsia="宋体" w:cs="Times New Roman"/>
                <w:i w:val="0"/>
                <w:color w:val="auto"/>
                <w:kern w:val="0"/>
                <w:sz w:val="24"/>
                <w:szCs w:val="24"/>
                <w:highlight w:val="none"/>
                <w:u w:val="none"/>
                <w:lang w:val="en-US" w:eastAsia="zh-CN" w:bidi="ar"/>
              </w:rPr>
              <w:br w:type="textWrapping"/>
            </w:r>
            <w:r>
              <w:rPr>
                <w:rFonts w:hint="default" w:ascii="Times New Roman" w:hAnsi="Times New Roman" w:eastAsia="宋体" w:cs="Times New Roman"/>
                <w:i w:val="0"/>
                <w:color w:val="auto"/>
                <w:kern w:val="0"/>
                <w:sz w:val="24"/>
                <w:szCs w:val="24"/>
                <w:highlight w:val="none"/>
                <w:u w:val="none"/>
                <w:lang w:val="en-US" w:eastAsia="zh-CN" w:bidi="ar"/>
              </w:rPr>
              <w:t>执行情况</w:t>
            </w:r>
            <w:r>
              <w:rPr>
                <w:rFonts w:hint="default" w:ascii="Times New Roman" w:hAnsi="Times New Roman" w:eastAsia="宋体" w:cs="Times New Roman"/>
                <w:i w:val="0"/>
                <w:color w:val="auto"/>
                <w:kern w:val="0"/>
                <w:sz w:val="24"/>
                <w:szCs w:val="24"/>
                <w:highlight w:val="none"/>
                <w:u w:val="none"/>
                <w:lang w:val="en-US" w:eastAsia="zh-CN" w:bidi="ar"/>
              </w:rPr>
              <w:br w:type="textWrapping"/>
            </w:r>
            <w:r>
              <w:rPr>
                <w:rFonts w:hint="default" w:ascii="Times New Roman" w:hAnsi="Times New Roman" w:eastAsia="宋体" w:cs="Times New Roman"/>
                <w:i w:val="0"/>
                <w:color w:val="auto"/>
                <w:kern w:val="0"/>
                <w:sz w:val="24"/>
                <w:szCs w:val="24"/>
                <w:highlight w:val="none"/>
                <w:u w:val="none"/>
                <w:lang w:val="en-US" w:eastAsia="zh-CN" w:bidi="ar"/>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left"/>
              <w:textAlignment w:val="center"/>
              <w:rPr>
                <w:rFonts w:hint="default" w:ascii="Times New Roman" w:hAnsi="Times New Roman" w:eastAsia="宋体" w:cs="Times New Roman"/>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right"/>
              <w:textAlignment w:val="center"/>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480" w:firstLineChars="200"/>
              <w:jc w:val="center"/>
              <w:rPr>
                <w:rFonts w:hint="default" w:ascii="Times New Roman" w:hAnsi="Times New Roman" w:eastAsia="宋体" w:cs="Times New Roman"/>
                <w:i w:val="0"/>
                <w:color w:val="auto"/>
                <w:sz w:val="24"/>
                <w:szCs w:val="24"/>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left"/>
              <w:textAlignment w:val="center"/>
              <w:rPr>
                <w:rFonts w:hint="default" w:ascii="Times New Roman" w:hAnsi="Times New Roman" w:eastAsia="宋体" w:cs="Times New Roman"/>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both"/>
              <w:textAlignment w:val="center"/>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480" w:firstLineChars="200"/>
              <w:jc w:val="center"/>
              <w:rPr>
                <w:rFonts w:hint="default" w:ascii="Times New Roman" w:hAnsi="Times New Roman" w:eastAsia="宋体" w:cs="Times New Roman"/>
                <w:i w:val="0"/>
                <w:color w:val="auto"/>
                <w:sz w:val="24"/>
                <w:szCs w:val="24"/>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left"/>
              <w:textAlignment w:val="center"/>
              <w:rPr>
                <w:rFonts w:hint="default" w:ascii="Times New Roman" w:hAnsi="Times New Roman" w:eastAsia="宋体" w:cs="Times New Roman"/>
                <w:i w:val="0"/>
                <w:color w:val="auto"/>
                <w:sz w:val="24"/>
                <w:szCs w:val="24"/>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center"/>
              <w:textAlignment w:val="center"/>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default" w:ascii="Times New Roman" w:hAnsi="Times New Roman" w:eastAsia="宋体" w:cs="Times New Roman"/>
                <w:i w:val="0"/>
                <w:color w:val="auto"/>
                <w:kern w:val="0"/>
                <w:sz w:val="24"/>
                <w:szCs w:val="24"/>
                <w:highlight w:val="none"/>
                <w:u w:val="none"/>
                <w:lang w:val="en-US" w:eastAsia="zh-CN" w:bidi="ar"/>
              </w:rPr>
              <w:t>年度总体目标</w:t>
            </w:r>
          </w:p>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center"/>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center"/>
              <w:textAlignment w:val="center"/>
              <w:rPr>
                <w:rFonts w:hint="default" w:ascii="Times New Roman" w:hAnsi="Times New Roman" w:eastAsia="宋体" w:cs="Times New Roman"/>
                <w:i w:val="0"/>
                <w:color w:val="auto"/>
                <w:sz w:val="24"/>
                <w:szCs w:val="24"/>
                <w:highlight w:val="none"/>
                <w:u w:val="none"/>
              </w:rPr>
            </w:pPr>
            <w:r>
              <w:rPr>
                <w:rFonts w:hint="default" w:ascii="Times New Roman" w:hAnsi="Times New Roman" w:eastAsia="宋体" w:cs="Times New Roman"/>
                <w:i w:val="0"/>
                <w:color w:val="auto"/>
                <w:kern w:val="0"/>
                <w:sz w:val="24"/>
                <w:szCs w:val="24"/>
                <w:highlight w:val="none"/>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480" w:firstLineChars="200"/>
              <w:jc w:val="center"/>
              <w:rPr>
                <w:rFonts w:hint="default" w:ascii="Times New Roman" w:hAnsi="Times New Roman" w:eastAsia="宋体" w:cs="Times New Roman"/>
                <w:i w:val="0"/>
                <w:color w:val="auto"/>
                <w:sz w:val="24"/>
                <w:szCs w:val="24"/>
                <w:highlight w:val="none"/>
                <w:u w:val="none"/>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left"/>
              <w:textAlignment w:val="top"/>
              <w:rPr>
                <w:rFonts w:hint="default" w:ascii="Times New Roman" w:hAnsi="Times New Roman" w:eastAsia="宋体" w:cs="Times New Roman"/>
                <w:i w:val="0"/>
                <w:color w:val="auto"/>
                <w:sz w:val="24"/>
                <w:szCs w:val="24"/>
                <w:highlight w:val="none"/>
                <w:u w:val="none"/>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480" w:firstLineChars="200"/>
              <w:jc w:val="left"/>
              <w:textAlignment w:val="top"/>
              <w:rPr>
                <w:rFonts w:hint="default" w:ascii="Times New Roman" w:hAnsi="Times New Roman" w:eastAsia="宋体" w:cs="Times New Roman"/>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right"/>
              <w:textAlignment w:val="center"/>
              <w:rPr>
                <w:rFonts w:hint="default" w:ascii="Times New Roman" w:hAnsi="Times New Roman" w:eastAsia="仿宋_GB2312" w:cs="Times New Roman"/>
                <w:i w:val="0"/>
                <w:color w:val="auto"/>
                <w:kern w:val="0"/>
                <w:sz w:val="28"/>
                <w:szCs w:val="28"/>
                <w:highlight w:val="none"/>
                <w:u w:val="none"/>
                <w:lang w:val="en-US" w:eastAsia="zh-CN" w:bidi="ar"/>
              </w:rPr>
            </w:pPr>
            <w:r>
              <w:rPr>
                <w:rFonts w:hint="default" w:ascii="Times New Roman" w:hAnsi="Times New Roman" w:eastAsia="仿宋_GB2312" w:cs="Times New Roman"/>
                <w:i w:val="0"/>
                <w:color w:val="auto"/>
                <w:kern w:val="0"/>
                <w:sz w:val="28"/>
                <w:szCs w:val="28"/>
                <w:highlight w:val="none"/>
                <w:u w:val="none"/>
                <w:lang w:val="en-US" w:eastAsia="zh-CN" w:bidi="ar"/>
              </w:rPr>
              <w:t>一级</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right"/>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center"/>
              <w:rPr>
                <w:rFonts w:hint="default" w:ascii="Times New Roman" w:hAnsi="Times New Roman" w:eastAsia="仿宋_GB2312" w:cs="Times New Roman"/>
                <w:i w:val="0"/>
                <w:color w:val="auto"/>
                <w:kern w:val="0"/>
                <w:sz w:val="28"/>
                <w:szCs w:val="28"/>
                <w:highlight w:val="none"/>
                <w:u w:val="none"/>
                <w:lang w:val="en-US" w:eastAsia="zh-CN" w:bidi="ar"/>
              </w:rPr>
            </w:pPr>
            <w:r>
              <w:rPr>
                <w:rFonts w:hint="default" w:ascii="Times New Roman" w:hAnsi="Times New Roman" w:eastAsia="仿宋_GB2312" w:cs="Times New Roman"/>
                <w:i w:val="0"/>
                <w:color w:val="auto"/>
                <w:kern w:val="0"/>
                <w:sz w:val="28"/>
                <w:szCs w:val="28"/>
                <w:highlight w:val="none"/>
                <w:u w:val="none"/>
                <w:lang w:val="en-US" w:eastAsia="zh-CN" w:bidi="ar"/>
              </w:rPr>
              <w:t>二级</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right"/>
              <w:textAlignment w:val="center"/>
              <w:rPr>
                <w:rFonts w:hint="default" w:ascii="Times New Roman" w:hAnsi="Times New Roman" w:eastAsia="仿宋_GB2312" w:cs="Times New Roman"/>
                <w:i w:val="0"/>
                <w:color w:val="auto"/>
                <w:kern w:val="0"/>
                <w:sz w:val="28"/>
                <w:szCs w:val="28"/>
                <w:highlight w:val="none"/>
                <w:u w:val="none"/>
                <w:lang w:val="en-US" w:eastAsia="zh-CN" w:bidi="ar"/>
              </w:rPr>
            </w:pPr>
            <w:r>
              <w:rPr>
                <w:rFonts w:hint="default" w:ascii="Times New Roman" w:hAnsi="Times New Roman" w:eastAsia="仿宋_GB2312" w:cs="Times New Roman"/>
                <w:i w:val="0"/>
                <w:color w:val="auto"/>
                <w:kern w:val="0"/>
                <w:sz w:val="28"/>
                <w:szCs w:val="28"/>
                <w:highlight w:val="none"/>
                <w:u w:val="none"/>
                <w:lang w:val="en-US" w:eastAsia="zh-CN" w:bidi="ar"/>
              </w:rPr>
              <w:t>三级</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right"/>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center"/>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kern w:val="0"/>
                <w:sz w:val="28"/>
                <w:szCs w:val="28"/>
                <w:highlight w:val="none"/>
                <w:u w:val="none"/>
                <w:lang w:val="en-US" w:eastAsia="zh-CN" w:bidi="ar"/>
              </w:rPr>
            </w:pPr>
            <w:r>
              <w:rPr>
                <w:rFonts w:hint="default" w:ascii="Times New Roman" w:hAnsi="Times New Roman" w:eastAsia="仿宋_GB2312" w:cs="Times New Roman"/>
                <w:i w:val="0"/>
                <w:color w:val="auto"/>
                <w:kern w:val="0"/>
                <w:sz w:val="28"/>
                <w:szCs w:val="28"/>
                <w:highlight w:val="none"/>
                <w:u w:val="none"/>
                <w:lang w:val="en-US" w:eastAsia="zh-CN" w:bidi="ar"/>
              </w:rPr>
              <w:t>完成</w:t>
            </w:r>
          </w:p>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15"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793"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效益</w:t>
            </w:r>
            <w:r>
              <w:rPr>
                <w:rFonts w:hint="default" w:ascii="Times New Roman" w:hAnsi="Times New Roman" w:eastAsia="仿宋_GB2312" w:cs="Times New Roman"/>
                <w:i w:val="0"/>
                <w:color w:val="auto"/>
                <w:kern w:val="0"/>
                <w:sz w:val="28"/>
                <w:szCs w:val="28"/>
                <w:highlight w:val="none"/>
                <w:u w:val="none"/>
                <w:lang w:val="en-US" w:eastAsia="zh-CN" w:bidi="ar"/>
              </w:rPr>
              <w:br w:type="textWrapping"/>
            </w:r>
            <w:r>
              <w:rPr>
                <w:rFonts w:hint="default" w:ascii="Times New Roman" w:hAnsi="Times New Roman" w:eastAsia="仿宋_GB2312" w:cs="Times New Roman"/>
                <w:i w:val="0"/>
                <w:color w:val="auto"/>
                <w:kern w:val="0"/>
                <w:sz w:val="28"/>
                <w:szCs w:val="28"/>
                <w:highlight w:val="none"/>
                <w:u w:val="none"/>
                <w:lang w:val="en-US" w:eastAsia="zh-CN" w:bidi="ar"/>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577"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480" w:hRule="atLeast"/>
        </w:trPr>
        <w:tc>
          <w:tcPr>
            <w:tcW w:w="1977"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234" w:type="dxa"/>
          <w:trHeight w:val="530" w:hRule="atLeast"/>
        </w:trPr>
        <w:tc>
          <w:tcPr>
            <w:tcW w:w="197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76" w:lineRule="exact"/>
              <w:ind w:firstLine="560" w:firstLineChars="200"/>
              <w:jc w:val="center"/>
              <w:rPr>
                <w:rFonts w:hint="default" w:ascii="Times New Roman" w:hAnsi="Times New Roman" w:eastAsia="仿宋_GB2312" w:cs="Times New Roman"/>
                <w:i w:val="0"/>
                <w:color w:val="auto"/>
                <w:sz w:val="28"/>
                <w:szCs w:val="28"/>
                <w:highlight w:val="none"/>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满意度指标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bottom"/>
              <w:rPr>
                <w:rFonts w:hint="default" w:ascii="Times New Roman" w:hAnsi="Times New Roman" w:eastAsia="仿宋_GB2312" w:cs="Times New Roman"/>
                <w:i w:val="0"/>
                <w:color w:val="auto"/>
                <w:sz w:val="28"/>
                <w:szCs w:val="28"/>
                <w:highlight w:val="none"/>
                <w:u w:val="none"/>
              </w:rPr>
            </w:pPr>
            <w:r>
              <w:rPr>
                <w:rFonts w:hint="default" w:ascii="Times New Roman" w:hAnsi="Times New Roman" w:eastAsia="仿宋_GB2312" w:cs="Times New Roman"/>
                <w:i w:val="0"/>
                <w:color w:val="auto"/>
                <w:kern w:val="0"/>
                <w:sz w:val="28"/>
                <w:szCs w:val="28"/>
                <w:highlight w:val="none"/>
                <w:u w:val="none"/>
                <w:lang w:val="en-US" w:eastAsia="zh-CN" w:bidi="ar"/>
              </w:rPr>
              <w:t>满意度指标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576" w:lineRule="exact"/>
              <w:ind w:firstLine="560" w:firstLineChars="200"/>
              <w:jc w:val="center"/>
              <w:textAlignment w:val="bottom"/>
              <w:rPr>
                <w:rFonts w:hint="default" w:ascii="Times New Roman" w:hAnsi="Times New Roman" w:eastAsia="仿宋_GB2312" w:cs="Times New Roman"/>
                <w:i w:val="0"/>
                <w:color w:val="auto"/>
                <w:sz w:val="28"/>
                <w:szCs w:val="28"/>
                <w:highlight w:val="none"/>
                <w:u w:val="none"/>
              </w:rPr>
            </w:pPr>
          </w:p>
        </w:tc>
      </w:tr>
    </w:tbl>
    <w:p>
      <w:pPr>
        <w:keepNext w:val="0"/>
        <w:keepLines w:val="0"/>
        <w:pageBreakBefore w:val="0"/>
        <w:widowControl/>
        <w:kinsoku/>
        <w:wordWrap/>
        <w:overflowPunct/>
        <w:topLinePunct w:val="0"/>
        <w:autoSpaceDE/>
        <w:autoSpaceDN/>
        <w:bidi w:val="0"/>
        <w:adjustRightInd w:val="0"/>
        <w:snapToGrid w:val="0"/>
        <w:spacing w:afterAutospacing="0" w:line="576" w:lineRule="exact"/>
        <w:ind w:firstLine="640" w:firstLineChars="200"/>
        <w:contextualSpacing/>
        <w:jc w:val="left"/>
        <w:textAlignment w:val="auto"/>
        <w:rPr>
          <w:rFonts w:hint="default" w:ascii="Times New Roman" w:hAnsi="Times New Roman" w:eastAsia="仿宋_GB2312" w:cs="Times New Roman"/>
          <w:b w:val="0"/>
          <w:bCs w:val="0"/>
          <w:color w:val="auto"/>
          <w:kern w:val="0"/>
          <w:sz w:val="32"/>
          <w:szCs w:val="32"/>
          <w:highlight w:val="none"/>
          <w:shd w:val="clear" w:color="auto" w:fill="FFFFFF"/>
          <w:lang w:val="zh-CN"/>
        </w:rPr>
      </w:pPr>
      <w:r>
        <w:rPr>
          <w:rFonts w:hint="default" w:ascii="Times New Roman" w:hAnsi="Times New Roman" w:eastAsia="仿宋_GB2312" w:cs="Times New Roman"/>
          <w:b w:val="0"/>
          <w:bCs w:val="0"/>
          <w:color w:val="auto"/>
          <w:kern w:val="0"/>
          <w:sz w:val="32"/>
          <w:szCs w:val="32"/>
          <w:highlight w:val="none"/>
          <w:shd w:val="clear" w:color="auto" w:fill="FFFFFF"/>
          <w:lang w:val="zh-CN"/>
        </w:rPr>
        <w:t>附表：</w:t>
      </w:r>
    </w:p>
    <w:p>
      <w:pPr>
        <w:pageBreakBefore w:val="0"/>
        <w:widowControl/>
        <w:kinsoku/>
        <w:wordWrap/>
        <w:overflowPunct/>
        <w:topLinePunct w:val="0"/>
        <w:bidi w:val="0"/>
        <w:adjustRightInd w:val="0"/>
        <w:snapToGrid w:val="0"/>
        <w:spacing w:line="576" w:lineRule="exact"/>
        <w:ind w:firstLine="640" w:firstLineChars="200"/>
        <w:contextualSpacing/>
        <w:jc w:val="left"/>
        <w:rPr>
          <w:rFonts w:hint="default" w:ascii="Times New Roman" w:hAnsi="Times New Roman" w:cs="Times New Roman"/>
          <w:color w:val="auto"/>
          <w:highlight w:val="none"/>
        </w:rPr>
      </w:pPr>
      <w:r>
        <w:rPr>
          <w:rFonts w:hint="default" w:ascii="Times New Roman" w:hAnsi="Times New Roman" w:eastAsia="仿宋_GB2312" w:cs="Times New Roman"/>
          <w:color w:val="auto"/>
          <w:kern w:val="0"/>
          <w:sz w:val="32"/>
          <w:szCs w:val="32"/>
          <w:highlight w:val="none"/>
          <w:shd w:val="clear" w:color="auto" w:fill="FFFFFF"/>
          <w:lang w:val="en-US" w:eastAsia="zh-CN"/>
        </w:rPr>
        <w:t>（注：有两个及以上100万元以上（含）特定目标类部门预算项目的，需分别开展绩效目标自评并填写附表）</w:t>
      </w:r>
    </w:p>
    <w:p>
      <w:pPr>
        <w:pageBreakBefore w:val="0"/>
        <w:kinsoku/>
        <w:wordWrap/>
        <w:overflowPunct/>
        <w:topLinePunct w:val="0"/>
        <w:bidi w:val="0"/>
        <w:spacing w:line="576" w:lineRule="exact"/>
        <w:ind w:firstLine="880" w:firstLineChars="200"/>
        <w:rPr>
          <w:rStyle w:val="26"/>
          <w:rFonts w:hint="default" w:ascii="Times New Roman" w:hAnsi="Times New Roman" w:eastAsia="黑体" w:cs="Times New Roman"/>
          <w:b w:val="0"/>
          <w:color w:val="auto"/>
          <w:highlight w:val="none"/>
        </w:rPr>
      </w:pPr>
    </w:p>
    <w:p>
      <w:pPr>
        <w:pageBreakBefore w:val="0"/>
        <w:widowControl/>
        <w:kinsoku/>
        <w:wordWrap/>
        <w:overflowPunct/>
        <w:topLinePunct w:val="0"/>
        <w:bidi w:val="0"/>
        <w:spacing w:line="576" w:lineRule="exact"/>
        <w:ind w:firstLine="880" w:firstLineChars="200"/>
        <w:jc w:val="left"/>
        <w:rPr>
          <w:rStyle w:val="26"/>
          <w:rFonts w:hint="default" w:ascii="Times New Roman" w:hAnsi="Times New Roman" w:eastAsia="黑体" w:cs="Times New Roman"/>
          <w:b w:val="0"/>
          <w:color w:val="auto"/>
          <w:highlight w:val="none"/>
        </w:rPr>
      </w:pPr>
      <w:r>
        <w:rPr>
          <w:rStyle w:val="26"/>
          <w:rFonts w:hint="default" w:ascii="Times New Roman" w:hAnsi="Times New Roman" w:eastAsia="黑体" w:cs="Times New Roman"/>
          <w:b w:val="0"/>
          <w:color w:val="auto"/>
          <w:highlight w:val="none"/>
        </w:rPr>
        <w:br w:type="page"/>
      </w:r>
    </w:p>
    <w:p>
      <w:pPr>
        <w:pageBreakBefore w:val="0"/>
        <w:numPr>
          <w:ilvl w:val="0"/>
          <w:numId w:val="0"/>
        </w:numPr>
        <w:kinsoku/>
        <w:wordWrap/>
        <w:overflowPunct/>
        <w:topLinePunct w:val="0"/>
        <w:bidi w:val="0"/>
        <w:spacing w:line="576" w:lineRule="exact"/>
        <w:ind w:leftChars="150" w:firstLine="880" w:firstLineChars="200"/>
        <w:jc w:val="center"/>
        <w:outlineLvl w:val="0"/>
        <w:rPr>
          <w:rStyle w:val="26"/>
          <w:rFonts w:hint="default" w:ascii="Times New Roman" w:hAnsi="Times New Roman" w:eastAsia="黑体" w:cs="Times New Roman"/>
          <w:b w:val="0"/>
          <w:color w:val="auto"/>
          <w:highlight w:val="none"/>
        </w:rPr>
      </w:pPr>
      <w:bookmarkStart w:id="63" w:name="_Toc15396618"/>
      <w:r>
        <w:rPr>
          <w:rStyle w:val="26"/>
          <w:rFonts w:hint="default" w:ascii="Times New Roman" w:hAnsi="Times New Roman" w:eastAsia="黑体" w:cs="Times New Roman"/>
          <w:b w:val="0"/>
          <w:color w:val="auto"/>
          <w:highlight w:val="none"/>
          <w:lang w:val="en-US" w:eastAsia="zh-CN"/>
        </w:rPr>
        <w:t xml:space="preserve">第五部分  </w:t>
      </w:r>
      <w:r>
        <w:rPr>
          <w:rStyle w:val="26"/>
          <w:rFonts w:hint="default" w:ascii="Times New Roman" w:hAnsi="Times New Roman" w:eastAsia="黑体" w:cs="Times New Roman"/>
          <w:b w:val="0"/>
          <w:color w:val="auto"/>
          <w:highlight w:val="none"/>
        </w:rPr>
        <w:t>附表</w:t>
      </w:r>
      <w:bookmarkEnd w:id="62"/>
      <w:bookmarkEnd w:id="63"/>
      <w:bookmarkStart w:id="64" w:name="_Toc15396619"/>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一、收入支出决算总表</w:t>
      </w:r>
      <w:bookmarkEnd w:id="64"/>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65" w:name="_Toc15396620"/>
      <w:r>
        <w:rPr>
          <w:rFonts w:hint="default" w:ascii="Times New Roman" w:hAnsi="Times New Roman" w:eastAsia="方正仿宋_GBK" w:cs="Times New Roman"/>
          <w:color w:val="auto"/>
          <w:kern w:val="0"/>
          <w:sz w:val="32"/>
          <w:szCs w:val="32"/>
          <w:highlight w:val="none"/>
          <w:lang w:val="zh-CN" w:eastAsia="zh-CN" w:bidi="ar-SA"/>
        </w:rPr>
        <w:t>二、收入决算表</w:t>
      </w:r>
      <w:bookmarkEnd w:id="65"/>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66" w:name="_Toc15396621"/>
      <w:r>
        <w:rPr>
          <w:rFonts w:hint="default" w:ascii="Times New Roman" w:hAnsi="Times New Roman" w:eastAsia="方正仿宋_GBK" w:cs="Times New Roman"/>
          <w:color w:val="auto"/>
          <w:kern w:val="0"/>
          <w:sz w:val="32"/>
          <w:szCs w:val="32"/>
          <w:highlight w:val="none"/>
          <w:lang w:val="zh-CN" w:eastAsia="zh-CN" w:bidi="ar-SA"/>
        </w:rPr>
        <w:t>三、支出决算表</w:t>
      </w:r>
      <w:bookmarkEnd w:id="66"/>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67" w:name="_Toc15396622"/>
      <w:r>
        <w:rPr>
          <w:rFonts w:hint="default" w:ascii="Times New Roman" w:hAnsi="Times New Roman" w:eastAsia="方正仿宋_GBK" w:cs="Times New Roman"/>
          <w:color w:val="auto"/>
          <w:kern w:val="0"/>
          <w:sz w:val="32"/>
          <w:szCs w:val="32"/>
          <w:highlight w:val="none"/>
          <w:lang w:val="zh-CN" w:eastAsia="zh-CN" w:bidi="ar-SA"/>
        </w:rPr>
        <w:t>四、财政拨款收入支出决算总表</w:t>
      </w:r>
      <w:bookmarkEnd w:id="67"/>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68" w:name="_Toc15396623"/>
      <w:r>
        <w:rPr>
          <w:rFonts w:hint="default" w:ascii="Times New Roman" w:hAnsi="Times New Roman" w:eastAsia="方正仿宋_GBK" w:cs="Times New Roman"/>
          <w:color w:val="auto"/>
          <w:kern w:val="0"/>
          <w:sz w:val="32"/>
          <w:szCs w:val="32"/>
          <w:highlight w:val="none"/>
          <w:lang w:val="zh-CN" w:eastAsia="zh-CN" w:bidi="ar-SA"/>
        </w:rPr>
        <w:t>五、财政拨款支出决算明细表</w:t>
      </w:r>
      <w:bookmarkEnd w:id="68"/>
      <w:bookmarkStart w:id="69" w:name="_Toc15396624"/>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六、一般公共预算财政拨款支出决算表</w:t>
      </w:r>
      <w:bookmarkEnd w:id="69"/>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70" w:name="_Toc15396625"/>
      <w:r>
        <w:rPr>
          <w:rFonts w:hint="default" w:ascii="Times New Roman" w:hAnsi="Times New Roman" w:eastAsia="方正仿宋_GBK" w:cs="Times New Roman"/>
          <w:color w:val="auto"/>
          <w:kern w:val="0"/>
          <w:sz w:val="32"/>
          <w:szCs w:val="32"/>
          <w:highlight w:val="none"/>
          <w:lang w:val="zh-CN" w:eastAsia="zh-CN" w:bidi="ar-SA"/>
        </w:rPr>
        <w:t>七、一般公共预算财政拨款支出决算明细表</w:t>
      </w:r>
      <w:bookmarkEnd w:id="70"/>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71" w:name="_Toc15396626"/>
      <w:r>
        <w:rPr>
          <w:rFonts w:hint="default" w:ascii="Times New Roman" w:hAnsi="Times New Roman" w:eastAsia="方正仿宋_GBK" w:cs="Times New Roman"/>
          <w:color w:val="auto"/>
          <w:kern w:val="0"/>
          <w:sz w:val="32"/>
          <w:szCs w:val="32"/>
          <w:highlight w:val="none"/>
          <w:lang w:val="zh-CN" w:eastAsia="zh-CN" w:bidi="ar-SA"/>
        </w:rPr>
        <w:t>八、一般公共预算财政拨款基本支出决算表</w:t>
      </w:r>
      <w:bookmarkEnd w:id="71"/>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72" w:name="_Toc15396627"/>
      <w:r>
        <w:rPr>
          <w:rFonts w:hint="default" w:ascii="Times New Roman" w:hAnsi="Times New Roman" w:eastAsia="方正仿宋_GBK" w:cs="Times New Roman"/>
          <w:color w:val="auto"/>
          <w:kern w:val="0"/>
          <w:sz w:val="32"/>
          <w:szCs w:val="32"/>
          <w:highlight w:val="none"/>
          <w:lang w:val="zh-CN" w:eastAsia="zh-CN" w:bidi="ar-SA"/>
        </w:rPr>
        <w:t>九、一般公共预算财政拨款项目支出决算表</w:t>
      </w:r>
      <w:bookmarkEnd w:id="72"/>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73" w:name="_Toc15396628"/>
      <w:r>
        <w:rPr>
          <w:rFonts w:hint="default" w:ascii="Times New Roman" w:hAnsi="Times New Roman" w:eastAsia="方正仿宋_GBK" w:cs="Times New Roman"/>
          <w:color w:val="auto"/>
          <w:kern w:val="0"/>
          <w:sz w:val="32"/>
          <w:szCs w:val="32"/>
          <w:highlight w:val="none"/>
          <w:lang w:val="zh-CN" w:eastAsia="zh-CN" w:bidi="ar-SA"/>
        </w:rPr>
        <w:t>十、一般公共预算财政拨款“三公”经费支出决算表</w:t>
      </w:r>
      <w:bookmarkEnd w:id="73"/>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74" w:name="_Toc15396629"/>
      <w:r>
        <w:rPr>
          <w:rFonts w:hint="default" w:ascii="Times New Roman" w:hAnsi="Times New Roman" w:eastAsia="方正仿宋_GBK" w:cs="Times New Roman"/>
          <w:color w:val="auto"/>
          <w:kern w:val="0"/>
          <w:sz w:val="32"/>
          <w:szCs w:val="32"/>
          <w:highlight w:val="none"/>
          <w:lang w:val="zh-CN" w:eastAsia="zh-CN" w:bidi="ar-SA"/>
        </w:rPr>
        <w:t>十一、政府性基金预算财政拨款收入支出决算表</w:t>
      </w:r>
      <w:bookmarkEnd w:id="74"/>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75" w:name="_Toc15396630"/>
      <w:r>
        <w:rPr>
          <w:rFonts w:hint="default" w:ascii="Times New Roman" w:hAnsi="Times New Roman" w:eastAsia="方正仿宋_GBK" w:cs="Times New Roman"/>
          <w:color w:val="auto"/>
          <w:kern w:val="0"/>
          <w:sz w:val="32"/>
          <w:szCs w:val="32"/>
          <w:highlight w:val="none"/>
          <w:lang w:val="zh-CN" w:eastAsia="zh-CN" w:bidi="ar-SA"/>
        </w:rPr>
        <w:t>十二、政府性基金预算财政拨款“三公”经费支出决算表</w:t>
      </w:r>
      <w:bookmarkEnd w:id="75"/>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bookmarkStart w:id="76" w:name="_Toc15396631"/>
      <w:r>
        <w:rPr>
          <w:rFonts w:hint="default" w:ascii="Times New Roman" w:hAnsi="Times New Roman" w:eastAsia="方正仿宋_GBK" w:cs="Times New Roman"/>
          <w:color w:val="auto"/>
          <w:kern w:val="0"/>
          <w:sz w:val="32"/>
          <w:szCs w:val="32"/>
          <w:highlight w:val="none"/>
          <w:lang w:val="zh-CN" w:eastAsia="zh-CN" w:bidi="ar-SA"/>
        </w:rPr>
        <w:t>十三、国有资本经营预算财政拨款收入支出决算表</w:t>
      </w:r>
      <w:bookmarkEnd w:id="76"/>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color w:val="auto"/>
          <w:kern w:val="0"/>
          <w:sz w:val="32"/>
          <w:szCs w:val="32"/>
          <w:highlight w:val="none"/>
          <w:lang w:val="zh-CN" w:eastAsia="zh-CN" w:bidi="ar-SA"/>
        </w:rPr>
      </w:pPr>
      <w:r>
        <w:rPr>
          <w:rFonts w:hint="default" w:ascii="Times New Roman" w:hAnsi="Times New Roman" w:eastAsia="方正仿宋_GBK" w:cs="Times New Roman"/>
          <w:color w:val="auto"/>
          <w:kern w:val="0"/>
          <w:sz w:val="32"/>
          <w:szCs w:val="32"/>
          <w:highlight w:val="none"/>
          <w:lang w:val="zh-CN" w:eastAsia="zh-CN" w:bidi="ar-SA"/>
        </w:rPr>
        <w:t>十四、国有资本经营预算财政拨款支出决算表</w:t>
      </w:r>
    </w:p>
    <w:sectPr>
      <w:headerReference r:id="rId3" w:type="default"/>
      <w:footerReference r:id="rId4" w:type="default"/>
      <w:pgSz w:w="11906" w:h="16838"/>
      <w:pgMar w:top="2098" w:right="1474" w:bottom="1984" w:left="1587" w:header="851" w:footer="992" w:gutter="0"/>
      <w:paperSrc/>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861373"/>
    <w:multiLevelType w:val="singleLevel"/>
    <w:tmpl w:val="9C861373"/>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5182759"/>
    <w:multiLevelType w:val="singleLevel"/>
    <w:tmpl w:val="D5182759"/>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4548A3F9"/>
    <w:multiLevelType w:val="singleLevel"/>
    <w:tmpl w:val="4548A3F9"/>
    <w:lvl w:ilvl="0" w:tentative="0">
      <w:start w:val="1"/>
      <w:numFmt w:val="decimal"/>
      <w:lvlText w:val="%1."/>
      <w:lvlJc w:val="left"/>
      <w:pPr>
        <w:tabs>
          <w:tab w:val="left" w:pos="312"/>
        </w:tabs>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xZWE0YjYwMGRiZThiYTU1NWFhNzkyZjBmYTZlNz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66E0107"/>
    <w:rsid w:val="068C6543"/>
    <w:rsid w:val="07996F6E"/>
    <w:rsid w:val="086214FA"/>
    <w:rsid w:val="0A2032A3"/>
    <w:rsid w:val="0B573B5B"/>
    <w:rsid w:val="0CAF5D27"/>
    <w:rsid w:val="0CF257C9"/>
    <w:rsid w:val="0DD81011"/>
    <w:rsid w:val="101860EC"/>
    <w:rsid w:val="10C055FF"/>
    <w:rsid w:val="118107EC"/>
    <w:rsid w:val="13D50BC4"/>
    <w:rsid w:val="16BB723D"/>
    <w:rsid w:val="1BE2642C"/>
    <w:rsid w:val="1BE8440E"/>
    <w:rsid w:val="1C66090D"/>
    <w:rsid w:val="1D155CEE"/>
    <w:rsid w:val="1E7523B4"/>
    <w:rsid w:val="1F1B37E6"/>
    <w:rsid w:val="1FA63159"/>
    <w:rsid w:val="1FAA111A"/>
    <w:rsid w:val="23860B96"/>
    <w:rsid w:val="240371BF"/>
    <w:rsid w:val="24B43F7F"/>
    <w:rsid w:val="252E7263"/>
    <w:rsid w:val="25B3066C"/>
    <w:rsid w:val="28CA642A"/>
    <w:rsid w:val="29FD04D3"/>
    <w:rsid w:val="2B8D373E"/>
    <w:rsid w:val="2C8A61B5"/>
    <w:rsid w:val="2CFD286E"/>
    <w:rsid w:val="2D570D01"/>
    <w:rsid w:val="2DF04E50"/>
    <w:rsid w:val="319F7F4E"/>
    <w:rsid w:val="3640380C"/>
    <w:rsid w:val="36AA5135"/>
    <w:rsid w:val="37E16F03"/>
    <w:rsid w:val="3846101B"/>
    <w:rsid w:val="3AEB7C3F"/>
    <w:rsid w:val="3D7E55FF"/>
    <w:rsid w:val="3D98207C"/>
    <w:rsid w:val="3DB05388"/>
    <w:rsid w:val="3FD21086"/>
    <w:rsid w:val="40E911E0"/>
    <w:rsid w:val="44E268DA"/>
    <w:rsid w:val="48795BC0"/>
    <w:rsid w:val="492029E5"/>
    <w:rsid w:val="4A627F82"/>
    <w:rsid w:val="4B484E66"/>
    <w:rsid w:val="4B4F25DA"/>
    <w:rsid w:val="4BE068DB"/>
    <w:rsid w:val="4CD44CC9"/>
    <w:rsid w:val="4D577224"/>
    <w:rsid w:val="4DCF5BAB"/>
    <w:rsid w:val="4EAB630A"/>
    <w:rsid w:val="4ECE2238"/>
    <w:rsid w:val="4FE04011"/>
    <w:rsid w:val="55865FC9"/>
    <w:rsid w:val="580A0270"/>
    <w:rsid w:val="58D37184"/>
    <w:rsid w:val="5AF92295"/>
    <w:rsid w:val="5CD71FC4"/>
    <w:rsid w:val="5EA86705"/>
    <w:rsid w:val="5EC70236"/>
    <w:rsid w:val="66D36C50"/>
    <w:rsid w:val="6C4A05C8"/>
    <w:rsid w:val="6E610B0B"/>
    <w:rsid w:val="6E7E3605"/>
    <w:rsid w:val="6F221637"/>
    <w:rsid w:val="6F353D26"/>
    <w:rsid w:val="6FF5CC65"/>
    <w:rsid w:val="715C0E4B"/>
    <w:rsid w:val="72203C32"/>
    <w:rsid w:val="72734D90"/>
    <w:rsid w:val="73AD73D5"/>
    <w:rsid w:val="73B6EB34"/>
    <w:rsid w:val="752A766A"/>
    <w:rsid w:val="7801079E"/>
    <w:rsid w:val="787C453D"/>
    <w:rsid w:val="79EE5BA4"/>
    <w:rsid w:val="7A894339"/>
    <w:rsid w:val="7AF731E3"/>
    <w:rsid w:val="7C5801C0"/>
    <w:rsid w:val="7E043FBE"/>
    <w:rsid w:val="7EEF11D3"/>
    <w:rsid w:val="7F9976CE"/>
    <w:rsid w:val="7FA30C79"/>
    <w:rsid w:val="7FC2473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semiHidden/>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able of figures"/>
    <w:basedOn w:val="1"/>
    <w:next w:val="1"/>
    <w:qFormat/>
    <w:uiPriority w:val="0"/>
    <w:pPr>
      <w:ind w:left="200" w:leftChars="200" w:hanging="200" w:hangingChars="200"/>
    </w:p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semiHidden/>
    <w:unhideWhenUsed/>
    <w:qFormat/>
    <w:uiPriority w:val="99"/>
    <w:pPr>
      <w:spacing w:before="100" w:beforeAutospacing="1" w:after="100" w:afterAutospacing="1"/>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2"/>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7"/>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收入决算明细图</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spPr>
              <a:solidFill>
                <a:schemeClr val="accent1"/>
              </a:solidFill>
              <a:ln w="19050">
                <a:solidFill>
                  <a:schemeClr val="lt1"/>
                </a:solidFill>
              </a:ln>
              <a:effectLst/>
            </c:spPr>
          </c:dPt>
          <c:dPt>
            <c:idx val="3"/>
            <c:invertIfNegative val="0"/>
            <c:bubble3D val="0"/>
            <c:spPr>
              <a:solidFill>
                <a:schemeClr val="accent1"/>
              </a:solidFill>
              <a:ln w="19050">
                <a:solidFill>
                  <a:schemeClr val="lt1"/>
                </a:solidFill>
              </a:ln>
              <a:effectLst/>
            </c:spPr>
          </c:dPt>
          <c:dLbls>
            <c:delete val="1"/>
          </c:dLbls>
          <c:cat>
            <c:strRef>
              <c:f>Sheet1!$A$2:$A$5</c:f>
              <c:strCache>
                <c:ptCount val="4"/>
                <c:pt idx="0">
                  <c:v>一般公共预算财政拨款收入</c:v>
                </c:pt>
                <c:pt idx="1">
                  <c:v>政府性基金预算财政拨款收入</c:v>
                </c:pt>
                <c:pt idx="2">
                  <c:v>国有资本经营预算财政拨款收入为</c:v>
                </c:pt>
                <c:pt idx="3">
                  <c:v>上级补助收入</c:v>
                </c:pt>
              </c:strCache>
            </c:strRef>
          </c:cat>
          <c:val>
            <c:numRef>
              <c:f>Sheet1!$B$2:$B$5</c:f>
              <c:numCache>
                <c:formatCode>General</c:formatCode>
                <c:ptCount val="4"/>
                <c:pt idx="0">
                  <c:v>170.52</c:v>
                </c:pt>
                <c:pt idx="1">
                  <c:v>0</c:v>
                </c:pt>
                <c:pt idx="2">
                  <c:v>0</c:v>
                </c:pt>
                <c:pt idx="3">
                  <c:v>0</c:v>
                </c:pt>
              </c:numCache>
            </c:numRef>
          </c:val>
        </c:ser>
        <c:dLbls>
          <c:showLegendKey val="0"/>
          <c:showVal val="0"/>
          <c:showCatName val="0"/>
          <c:showSerName val="0"/>
          <c:showPercent val="0"/>
          <c:showBubbleSize val="0"/>
        </c:dLbls>
        <c:gapWidth val="150"/>
        <c:overlap val="0"/>
        <c:axId val="885323980"/>
        <c:axId val="451032182"/>
      </c:barChart>
      <c:catAx>
        <c:axId val="88532398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1032182"/>
        <c:crosses val="autoZero"/>
        <c:auto val="1"/>
        <c:lblAlgn val="ctr"/>
        <c:lblOffset val="100"/>
        <c:noMultiLvlLbl val="0"/>
      </c:catAx>
      <c:valAx>
        <c:axId val="4510321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5323980"/>
        <c:crosses val="autoZero"/>
        <c:crossBetween val="between"/>
      </c:valAx>
      <c:spPr>
        <a:noFill/>
        <a:ln>
          <a:noFill/>
        </a:ln>
        <a:effectLst/>
      </c:spPr>
    </c:plotArea>
    <c:legend>
      <c:legendPos val="b"/>
      <c:layout>
        <c:manualLayout>
          <c:xMode val="edge"/>
          <c:yMode val="edge"/>
          <c:x val="0.183454523781142"/>
          <c:y val="0.683165624150123"/>
          <c:w val="0.706758850876147"/>
          <c:h val="0.30867555072069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67325"/>
          <c:y val="0.120166666666667"/>
          <c:w val="0.905175"/>
          <c:h val="0.717233333333333"/>
        </c:manualLayout>
      </c:layout>
      <c:barChart>
        <c:barDir val="col"/>
        <c:grouping val="clustered"/>
        <c:varyColors val="0"/>
        <c:ser>
          <c:idx val="0"/>
          <c:order val="0"/>
          <c:tx>
            <c:strRef>
              <c:f>Sheet1!$B$1</c:f>
              <c:strCache>
                <c:ptCount val="1"/>
                <c:pt idx="0">
                  <c:v>支出决算明细图</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spPr>
              <a:solidFill>
                <a:schemeClr val="accent1"/>
              </a:solidFill>
              <a:ln w="19050">
                <a:solidFill>
                  <a:schemeClr val="lt1"/>
                </a:solidFill>
              </a:ln>
              <a:effectLst/>
            </c:spPr>
          </c:dPt>
          <c:dPt>
            <c:idx val="3"/>
            <c:invertIfNegative val="0"/>
            <c:bubble3D val="0"/>
            <c:spPr>
              <a:solidFill>
                <a:schemeClr val="accent1"/>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142.17</c:v>
                </c:pt>
                <c:pt idx="1">
                  <c:v>13.28</c:v>
                </c:pt>
                <c:pt idx="2">
                  <c:v>5.21</c:v>
                </c:pt>
                <c:pt idx="3">
                  <c:v>9.86</c:v>
                </c:pt>
              </c:numCache>
            </c:numRef>
          </c:val>
        </c:ser>
        <c:dLbls>
          <c:showLegendKey val="0"/>
          <c:showVal val="0"/>
          <c:showCatName val="0"/>
          <c:showSerName val="0"/>
          <c:showPercent val="0"/>
          <c:showBubbleSize val="0"/>
        </c:dLbls>
        <c:gapWidth val="150"/>
        <c:overlap val="0"/>
        <c:axId val="154133390"/>
        <c:axId val="85443301"/>
      </c:barChart>
      <c:catAx>
        <c:axId val="15413339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443301"/>
        <c:crosses val="autoZero"/>
        <c:auto val="1"/>
        <c:lblAlgn val="ctr"/>
        <c:lblOffset val="100"/>
        <c:noMultiLvlLbl val="0"/>
      </c:catAx>
      <c:valAx>
        <c:axId val="854433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13339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705"/>
          <c:y val="0.0200833649109511"/>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807"/>
          <c:y val="0.105721864342554"/>
          <c:w val="0.905175"/>
          <c:h val="0.678552482000758"/>
        </c:manualLayout>
      </c:layout>
      <c:barChart>
        <c:barDir val="col"/>
        <c:grouping val="clustered"/>
        <c:varyColors val="0"/>
        <c:ser>
          <c:idx val="0"/>
          <c:order val="0"/>
          <c:tx>
            <c:strRef>
              <c:f>Sheet1!$B$1</c:f>
              <c:strCache>
                <c:ptCount val="1"/>
                <c:pt idx="0">
                  <c:v>支出决算明细图</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spPr>
              <a:solidFill>
                <a:schemeClr val="accent1"/>
              </a:solidFill>
              <a:ln w="19050">
                <a:solidFill>
                  <a:schemeClr val="lt1"/>
                </a:solidFill>
              </a:ln>
              <a:effectLst/>
            </c:spPr>
          </c:dPt>
          <c:dPt>
            <c:idx val="3"/>
            <c:invertIfNegative val="0"/>
            <c:bubble3D val="0"/>
            <c:spPr>
              <a:solidFill>
                <a:schemeClr val="accent1"/>
              </a:solidFill>
              <a:ln w="19050">
                <a:solidFill>
                  <a:schemeClr val="lt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142.17</c:v>
                </c:pt>
                <c:pt idx="1">
                  <c:v>13.28</c:v>
                </c:pt>
                <c:pt idx="2">
                  <c:v>5.21</c:v>
                </c:pt>
                <c:pt idx="3">
                  <c:v>9.86</c:v>
                </c:pt>
              </c:numCache>
            </c:numRef>
          </c:val>
        </c:ser>
        <c:dLbls>
          <c:showLegendKey val="0"/>
          <c:showVal val="0"/>
          <c:showCatName val="0"/>
          <c:showSerName val="0"/>
          <c:showPercent val="0"/>
          <c:showBubbleSize val="0"/>
        </c:dLbls>
        <c:gapWidth val="150"/>
        <c:overlap val="0"/>
        <c:axId val="154133390"/>
        <c:axId val="85443301"/>
      </c:barChart>
      <c:catAx>
        <c:axId val="15413339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443301"/>
        <c:crosses val="autoZero"/>
        <c:auto val="1"/>
        <c:lblAlgn val="ctr"/>
        <c:lblOffset val="100"/>
        <c:noMultiLvlLbl val="0"/>
      </c:catAx>
      <c:valAx>
        <c:axId val="854433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13339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5754</Words>
  <Characters>6153</Characters>
  <Lines>61</Lines>
  <Paragraphs>17</Paragraphs>
  <TotalTime>13</TotalTime>
  <ScaleCrop>false</ScaleCrop>
  <LinksUpToDate>false</LinksUpToDate>
  <CharactersWithSpaces>6189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2022-08-08T09:11:00Z</cp:lastPrinted>
  <dcterms:modified xsi:type="dcterms:W3CDTF">2023-09-09T10:24:54Z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C16875B051844E889D204B684CFC69F9</vt:lpwstr>
  </property>
</Properties>
</file>